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left w:val="none"/>
          <w:bottom w:val="none"/>
          <w:right w:val="none"/>
          <w:insideH w:val="none"/>
          <w:insideV w:val="none"/>
        </w:tblBorders>
      </w:tblPr>
      <w:tblGrid>
        <w:gridCol w:w="4819"/>
        <w:gridCol w:w="4819"/>
      </w:tblGrid>
      <w:tr>
        <w:tc>
          <w:tcPr>
            <w:tcW w:type="dxa" w:w="4819"/>
            <w:tcBorders>
              <w:top w:val="none" w:sz="0"/>
              <w:left w:val="none" w:sz="0"/>
              <w:bottom w:val="none" w:sz="0"/>
              <w:right w:val="none" w:sz="0"/>
            </w:tcBorders>
            <w:tcMar>
              <w:top w:type="dxa" w:w="0"/>
              <w:left w:type="dxa" w:w="0"/>
              <w:bottom w:type="dxa" w:w="0"/>
              <w:right w:type="dxa" w:w="0"/>
            </w:tcMar>
          </w:tcPr>
          <w:p>
            <w:pPr>
              <w:jc w:val="left"/>
            </w:pPr>
            <w:r>
              <w:drawing>
                <wp:inline distT="0" distB="0" distL="0" distR="0">
                  <wp:extent cx="200025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00250" cy="533400"/>
                          </a:xfrm>
                          <a:prstGeom prst="rect">
                            <a:avLst/>
                          </a:prstGeom>
                        </pic:spPr>
                      </pic:pic>
                    </a:graphicData>
                  </a:graphic>
                </wp:inline>
              </w:drawing>
            </w:r>
          </w:p>
        </w:tc>
        <w:tc>
          <w:tcPr>
            <w:tcW w:type="dxa" w:w="4819"/>
            <w:tcBorders>
              <w:top w:val="none" w:sz="0"/>
              <w:left w:val="none" w:sz="0"/>
              <w:bottom w:val="none" w:sz="0"/>
              <w:right w:val="none" w:sz="0"/>
            </w:tcBorders>
            <w:tcMar>
              <w:top w:type="dxa" w:w="0"/>
              <w:left w:type="dxa" w:w="0"/>
              <w:bottom w:type="dxa" w:w="0"/>
              <w:right w:type="dxa" w:w="0"/>
            </w:tcMar>
          </w:tcPr>
          <w:p>
            <w:pPr>
              <w:jc w:val="right"/>
            </w:pPr>
            <w:r>
              <w:drawing>
                <wp:inline distT="0" distB="0" distL="0" distR="0">
                  <wp:extent cx="2095500"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514350"/>
                          </a:xfrm>
                          <a:prstGeom prst="rect">
                            <a:avLst/>
                          </a:prstGeom>
                        </pic:spPr>
                      </pic:pic>
                    </a:graphicData>
                  </a:graphic>
                </wp:inline>
              </w:drawing>
            </w:r>
          </w:p>
        </w:tc>
      </w:tr>
    </w:tbl>
    <w:p>
      <w:pPr>
        <w:pBdr>
          <w:bottom w:val="single" w:color="08A6D4" w:sz="18" w:space="2"/>
        </w:pBdr>
        <w:spacing w:after="160" w:before="80"/>
      </w:pPr>
      <w:r>
        <w:rPr>
          <w:rFonts w:ascii="Arial" w:cs="Arial" w:eastAsia="Arial" w:hAnsi="Arial"/>
          <w:sz w:val="2"/>
          <w:szCs w:val="2"/>
        </w:rPr>
        <w:t xml:space="preserve"/>
      </w:r>
    </w:p>
    <w:p>
      <w:pPr>
        <w:spacing w:after="60" w:before="0"/>
        <w:jc w:val="left"/>
      </w:pPr>
      <w:r>
        <w:rPr>
          <w:rFonts w:ascii="Arial" w:cs="Arial" w:eastAsia="Arial" w:hAnsi="Arial"/>
          <w:b/>
          <w:bCs/>
          <w:i w:val="false"/>
          <w:iCs w:val="false"/>
          <w:color w:val="08A6D4"/>
          <w:sz w:val="20"/>
          <w:szCs w:val="20"/>
        </w:rPr>
        <w:t xml:space="preserve">CE018-SP-08</w:t>
      </w:r>
    </w:p>
    <w:p>
      <w:pPr>
        <w:spacing w:after="80" w:before="0"/>
        <w:jc w:val="left"/>
      </w:pPr>
      <w:r>
        <w:rPr>
          <w:rFonts w:ascii="Arial" w:cs="Arial" w:eastAsia="Arial" w:hAnsi="Arial"/>
          <w:b/>
          <w:bCs/>
          <w:i w:val="false"/>
          <w:iCs w:val="false"/>
          <w:color w:val="263858"/>
          <w:sz w:val="40"/>
          <w:szCs w:val="40"/>
        </w:rPr>
        <w:t xml:space="preserve">Managed Assistant Instructions Template</w:t>
      </w:r>
    </w:p>
    <w:p>
      <w:pPr>
        <w:spacing w:after="200" w:before="0"/>
        <w:jc w:val="left"/>
      </w:pPr>
      <w:r>
        <w:rPr>
          <w:rFonts w:ascii="Arial" w:cs="Arial" w:eastAsia="Arial" w:hAnsi="Arial"/>
          <w:b w:val="false"/>
          <w:bCs w:val="false"/>
          <w:i w:val="false"/>
          <w:iCs w:val="false"/>
          <w:color w:val="754887"/>
          <w:sz w:val="22"/>
          <w:szCs w:val="22"/>
        </w:rPr>
        <w:t xml:space="preserve">Stage 02 — Govern AI use  |  The persistent, controlled workspace configuration — not a personal prompt</w:t>
      </w:r>
    </w:p>
    <w:tbl>
      <w:tblPr>
        <w:tblW w:type="dxa" w:w="9638"/>
        <w:tblBorders>
          <w:top w:val="single" w:color="C9D2DD" w:sz="4"/>
          <w:left w:val="single" w:color="C9D2DD" w:sz="4"/>
          <w:bottom w:val="single" w:color="C9D2DD" w:sz="4"/>
          <w:right w:val="single" w:color="C9D2DD" w:sz="4"/>
          <w:insideH w:val="single" w:color="C9D2DD" w:sz="4"/>
          <w:insideV w:val="single" w:color="C9D2DD" w:sz="4"/>
        </w:tblBorders>
      </w:tblPr>
      <w:tblGrid>
        <w:gridCol w:w="2600"/>
        <w:gridCol w:w="7038"/>
      </w:tblGrid>
      <w:tr>
        <w:tc>
          <w:tcPr>
            <w:tcW w:type="dxa" w:w="2600"/>
            <w:shd w:fill="DFF3F8" w:color="auto" w:val="clear"/>
            <w:tcMar>
              <w:top w:type="dxa" w:w="60"/>
              <w:left w:type="dxa" w:w="90"/>
              <w:bottom w:type="dxa" w:w="60"/>
              <w:right w:type="dxa" w:w="90"/>
            </w:tcMar>
          </w:tcPr>
          <w:p>
            <w:pPr>
              <w:spacing w:after="20"/>
              <w:jc w:val="left"/>
            </w:pPr>
            <w:r>
              <w:rPr>
                <w:rFonts w:ascii="Arial" w:cs="Arial" w:eastAsia="Arial" w:hAnsi="Arial"/>
                <w:b/>
                <w:bCs/>
                <w:color w:val="263858"/>
                <w:sz w:val="18"/>
                <w:szCs w:val="18"/>
              </w:rPr>
              <w:t xml:space="preserve">Document reference</w:t>
            </w:r>
          </w:p>
        </w:tc>
        <w:tc>
          <w:tcPr>
            <w:tcW w:type="dxa" w:w="7038"/>
            <w:tcMar>
              <w:top w:type="dxa" w:w="60"/>
              <w:left w:type="dxa" w:w="90"/>
              <w:bottom w:type="dxa" w:w="60"/>
              <w:right w:type="dxa" w:w="90"/>
            </w:tcMar>
          </w:tcPr>
          <w:p>
            <w:pPr>
              <w:spacing w:after="20"/>
              <w:jc w:val="left"/>
            </w:pPr>
            <w:r>
              <w:rPr>
                <w:rFonts w:ascii="Arial" w:cs="Arial" w:eastAsia="Arial" w:hAnsi="Arial"/>
                <w:b w:val="false"/>
                <w:bCs w:val="false"/>
                <w:color w:val="263858"/>
                <w:sz w:val="18"/>
                <w:szCs w:val="18"/>
              </w:rPr>
              <w:t xml:space="preserve">CE018-SP-08</w:t>
            </w:r>
          </w:p>
        </w:tc>
      </w:tr>
      <w:tr>
        <w:tc>
          <w:tcPr>
            <w:tcW w:type="dxa" w:w="2600"/>
            <w:shd w:fill="DFF3F8" w:color="auto" w:val="clear"/>
            <w:tcMar>
              <w:top w:type="dxa" w:w="60"/>
              <w:left w:type="dxa" w:w="90"/>
              <w:bottom w:type="dxa" w:w="60"/>
              <w:right w:type="dxa" w:w="90"/>
            </w:tcMar>
          </w:tcPr>
          <w:p>
            <w:pPr>
              <w:spacing w:after="20"/>
              <w:jc w:val="left"/>
            </w:pPr>
            <w:r>
              <w:rPr>
                <w:rFonts w:ascii="Arial" w:cs="Arial" w:eastAsia="Arial" w:hAnsi="Arial"/>
                <w:b/>
                <w:bCs/>
                <w:color w:val="263858"/>
                <w:sz w:val="18"/>
                <w:szCs w:val="18"/>
              </w:rPr>
              <w:t xml:space="preserve">Template title</w:t>
            </w:r>
          </w:p>
        </w:tc>
        <w:tc>
          <w:tcPr>
            <w:tcW w:type="dxa" w:w="70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8"/>
                <w:szCs w:val="18"/>
              </w:rPr>
              <w:t xml:space="preserve">Managed Assistant Instructions Template</w:t>
            </w:r>
          </w:p>
        </w:tc>
      </w:tr>
      <w:tr>
        <w:tc>
          <w:tcPr>
            <w:tcW w:type="dxa" w:w="2600"/>
            <w:shd w:fill="DFF3F8" w:color="auto" w:val="clear"/>
            <w:tcMar>
              <w:top w:type="dxa" w:w="60"/>
              <w:left w:type="dxa" w:w="90"/>
              <w:bottom w:type="dxa" w:w="60"/>
              <w:right w:type="dxa" w:w="90"/>
            </w:tcMar>
          </w:tcPr>
          <w:p>
            <w:pPr>
              <w:spacing w:after="20"/>
              <w:jc w:val="left"/>
            </w:pPr>
            <w:r>
              <w:rPr>
                <w:rFonts w:ascii="Arial" w:cs="Arial" w:eastAsia="Arial" w:hAnsi="Arial"/>
                <w:b/>
                <w:bCs/>
                <w:color w:val="263858"/>
                <w:sz w:val="18"/>
                <w:szCs w:val="18"/>
              </w:rPr>
              <w:t xml:space="preserve">Starter pack stage</w:t>
            </w:r>
          </w:p>
        </w:tc>
        <w:tc>
          <w:tcPr>
            <w:tcW w:type="dxa" w:w="7038"/>
            <w:tcMar>
              <w:top w:type="dxa" w:w="60"/>
              <w:left w:type="dxa" w:w="90"/>
              <w:bottom w:type="dxa" w:w="60"/>
              <w:right w:type="dxa" w:w="90"/>
            </w:tcMar>
          </w:tcPr>
          <w:p>
            <w:pPr>
              <w:spacing w:after="20"/>
              <w:jc w:val="left"/>
            </w:pPr>
            <w:r>
              <w:rPr>
                <w:rFonts w:ascii="Arial" w:cs="Arial" w:eastAsia="Arial" w:hAnsi="Arial"/>
                <w:b w:val="false"/>
                <w:bCs w:val="false"/>
                <w:color w:val="263858"/>
                <w:sz w:val="18"/>
                <w:szCs w:val="18"/>
              </w:rPr>
              <w:t xml:space="preserve">02 — Govern AI use</w:t>
            </w:r>
          </w:p>
        </w:tc>
      </w:tr>
      <w:tr>
        <w:tc>
          <w:tcPr>
            <w:tcW w:type="dxa" w:w="2600"/>
            <w:shd w:fill="DFF3F8" w:color="auto" w:val="clear"/>
            <w:tcMar>
              <w:top w:type="dxa" w:w="60"/>
              <w:left w:type="dxa" w:w="90"/>
              <w:bottom w:type="dxa" w:w="60"/>
              <w:right w:type="dxa" w:w="90"/>
            </w:tcMar>
          </w:tcPr>
          <w:p>
            <w:pPr>
              <w:spacing w:after="20"/>
              <w:jc w:val="left"/>
            </w:pPr>
            <w:r>
              <w:rPr>
                <w:rFonts w:ascii="Arial" w:cs="Arial" w:eastAsia="Arial" w:hAnsi="Arial"/>
                <w:b/>
                <w:bCs/>
                <w:color w:val="263858"/>
                <w:sz w:val="18"/>
                <w:szCs w:val="18"/>
              </w:rPr>
              <w:t xml:space="preserve">Accountable owner</w:t>
            </w:r>
          </w:p>
        </w:tc>
        <w:tc>
          <w:tcPr>
            <w:tcW w:type="dxa" w:w="70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8"/>
                <w:szCs w:val="18"/>
              </w:rPr>
              <w:t xml:space="preserve">Project Controls Lead (maintains) / accountable decision owner (approves sections 6, 7 and 11)</w:t>
            </w:r>
          </w:p>
        </w:tc>
      </w:tr>
      <w:tr>
        <w:tc>
          <w:tcPr>
            <w:tcW w:type="dxa" w:w="2600"/>
            <w:shd w:fill="DFF3F8" w:color="auto" w:val="clear"/>
            <w:tcMar>
              <w:top w:type="dxa" w:w="60"/>
              <w:left w:type="dxa" w:w="90"/>
              <w:bottom w:type="dxa" w:w="60"/>
              <w:right w:type="dxa" w:w="90"/>
            </w:tcMar>
          </w:tcPr>
          <w:p>
            <w:pPr>
              <w:spacing w:after="20"/>
              <w:jc w:val="left"/>
            </w:pPr>
            <w:r>
              <w:rPr>
                <w:rFonts w:ascii="Arial" w:cs="Arial" w:eastAsia="Arial" w:hAnsi="Arial"/>
                <w:b/>
                <w:bCs/>
                <w:color w:val="263858"/>
                <w:sz w:val="18"/>
                <w:szCs w:val="18"/>
              </w:rPr>
              <w:t xml:space="preserve">Version</w:t>
            </w:r>
          </w:p>
        </w:tc>
        <w:tc>
          <w:tcPr>
            <w:tcW w:type="dxa" w:w="7038"/>
            <w:tcMar>
              <w:top w:type="dxa" w:w="60"/>
              <w:left w:type="dxa" w:w="90"/>
              <w:bottom w:type="dxa" w:w="60"/>
              <w:right w:type="dxa" w:w="90"/>
            </w:tcMar>
          </w:tcPr>
          <w:p>
            <w:pPr>
              <w:spacing w:after="20"/>
              <w:jc w:val="left"/>
            </w:pPr>
            <w:r>
              <w:rPr>
                <w:rFonts w:ascii="Arial" w:cs="Arial" w:eastAsia="Arial" w:hAnsi="Arial"/>
                <w:b w:val="false"/>
                <w:bCs w:val="false"/>
                <w:color w:val="263858"/>
                <w:sz w:val="18"/>
                <w:szCs w:val="18"/>
              </w:rPr>
              <w:t xml:space="preserve">v1.0</w:t>
            </w:r>
          </w:p>
        </w:tc>
      </w:tr>
      <w:tr>
        <w:tc>
          <w:tcPr>
            <w:tcW w:type="dxa" w:w="2600"/>
            <w:shd w:fill="DFF3F8" w:color="auto" w:val="clear"/>
            <w:tcMar>
              <w:top w:type="dxa" w:w="60"/>
              <w:left w:type="dxa" w:w="90"/>
              <w:bottom w:type="dxa" w:w="60"/>
              <w:right w:type="dxa" w:w="90"/>
            </w:tcMar>
          </w:tcPr>
          <w:p>
            <w:pPr>
              <w:spacing w:after="20"/>
              <w:jc w:val="left"/>
            </w:pPr>
            <w:r>
              <w:rPr>
                <w:rFonts w:ascii="Arial" w:cs="Arial" w:eastAsia="Arial" w:hAnsi="Arial"/>
                <w:b/>
                <w:bCs/>
                <w:color w:val="263858"/>
                <w:sz w:val="18"/>
                <w:szCs w:val="18"/>
              </w:rPr>
              <w:t xml:space="preserve">Status</w:t>
            </w:r>
          </w:p>
        </w:tc>
        <w:tc>
          <w:tcPr>
            <w:tcW w:type="dxa" w:w="70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8"/>
                <w:szCs w:val="18"/>
              </w:rPr>
              <w:t xml:space="preserve">TEMPLATE — CONFIGURE BEFORE USE (blank)  |  ISSUED FOR PROJECT MANAGER REVIEW (IFR) — NOT APPROVED (worked example)</w:t>
            </w:r>
          </w:p>
        </w:tc>
      </w:tr>
      <w:tr>
        <w:tc>
          <w:tcPr>
            <w:tcW w:type="dxa" w:w="2600"/>
            <w:shd w:fill="DFF3F8" w:color="auto" w:val="clear"/>
            <w:tcMar>
              <w:top w:type="dxa" w:w="60"/>
              <w:left w:type="dxa" w:w="90"/>
              <w:bottom w:type="dxa" w:w="60"/>
              <w:right w:type="dxa" w:w="90"/>
            </w:tcMar>
          </w:tcPr>
          <w:p>
            <w:pPr>
              <w:spacing w:after="20"/>
              <w:jc w:val="left"/>
            </w:pPr>
            <w:r>
              <w:rPr>
                <w:rFonts w:ascii="Arial" w:cs="Arial" w:eastAsia="Arial" w:hAnsi="Arial"/>
                <w:b/>
                <w:bCs/>
                <w:color w:val="263858"/>
                <w:sz w:val="18"/>
                <w:szCs w:val="18"/>
              </w:rPr>
              <w:t xml:space="preserve">Issue date</w:t>
            </w:r>
          </w:p>
        </w:tc>
        <w:tc>
          <w:tcPr>
            <w:tcW w:type="dxa" w:w="7038"/>
            <w:tcMar>
              <w:top w:type="dxa" w:w="60"/>
              <w:left w:type="dxa" w:w="90"/>
              <w:bottom w:type="dxa" w:w="60"/>
              <w:right w:type="dxa" w:w="90"/>
            </w:tcMar>
          </w:tcPr>
          <w:p>
            <w:pPr>
              <w:spacing w:after="20"/>
              <w:jc w:val="left"/>
            </w:pPr>
            <w:r>
              <w:rPr>
                <w:rFonts w:ascii="Arial" w:cs="Arial" w:eastAsia="Arial" w:hAnsi="Arial"/>
                <w:b w:val="false"/>
                <w:bCs w:val="false"/>
                <w:color w:val="263858"/>
                <w:sz w:val="18"/>
                <w:szCs w:val="18"/>
              </w:rPr>
              <w:t xml:space="preserve">2026-03-31</w:t>
            </w:r>
          </w:p>
        </w:tc>
      </w:tr>
      <w:tr>
        <w:tc>
          <w:tcPr>
            <w:tcW w:type="dxa" w:w="2600"/>
            <w:shd w:fill="DFF3F8" w:color="auto" w:val="clear"/>
            <w:tcMar>
              <w:top w:type="dxa" w:w="60"/>
              <w:left w:type="dxa" w:w="90"/>
              <w:bottom w:type="dxa" w:w="60"/>
              <w:right w:type="dxa" w:w="90"/>
            </w:tcMar>
          </w:tcPr>
          <w:p>
            <w:pPr>
              <w:spacing w:after="20"/>
              <w:jc w:val="left"/>
            </w:pPr>
            <w:r>
              <w:rPr>
                <w:rFonts w:ascii="Arial" w:cs="Arial" w:eastAsia="Arial" w:hAnsi="Arial"/>
                <w:b/>
                <w:bCs/>
                <w:color w:val="263858"/>
                <w:sz w:val="18"/>
                <w:szCs w:val="18"/>
              </w:rPr>
              <w:t xml:space="preserve">Project</w:t>
            </w:r>
          </w:p>
        </w:tc>
        <w:tc>
          <w:tcPr>
            <w:tcW w:type="dxa" w:w="70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8"/>
                <w:szCs w:val="18"/>
              </w:rPr>
              <w:t xml:space="preserve">Westbridge Station Access and Enabling Works (WSAE)</w:t>
            </w:r>
          </w:p>
        </w:tc>
      </w:tr>
      <w:tr>
        <w:tc>
          <w:tcPr>
            <w:tcW w:type="dxa" w:w="2600"/>
            <w:shd w:fill="DFF3F8" w:color="auto" w:val="clear"/>
            <w:tcMar>
              <w:top w:type="dxa" w:w="60"/>
              <w:left w:type="dxa" w:w="90"/>
              <w:bottom w:type="dxa" w:w="60"/>
              <w:right w:type="dxa" w:w="90"/>
            </w:tcMar>
          </w:tcPr>
          <w:p>
            <w:pPr>
              <w:spacing w:after="20"/>
              <w:jc w:val="left"/>
            </w:pPr>
            <w:r>
              <w:rPr>
                <w:rFonts w:ascii="Arial" w:cs="Arial" w:eastAsia="Arial" w:hAnsi="Arial"/>
                <w:b/>
                <w:bCs/>
                <w:color w:val="263858"/>
                <w:sz w:val="18"/>
                <w:szCs w:val="18"/>
              </w:rPr>
              <w:t xml:space="preserve">Worked example</w:t>
            </w:r>
          </w:p>
        </w:tc>
        <w:tc>
          <w:tcPr>
            <w:tcW w:type="dxa" w:w="7038"/>
            <w:tcMar>
              <w:top w:type="dxa" w:w="60"/>
              <w:left w:type="dxa" w:w="90"/>
              <w:bottom w:type="dxa" w:w="60"/>
              <w:right w:type="dxa" w:w="90"/>
            </w:tcMar>
          </w:tcPr>
          <w:p>
            <w:pPr>
              <w:spacing w:after="20"/>
              <w:jc w:val="left"/>
            </w:pPr>
            <w:r>
              <w:rPr>
                <w:rFonts w:ascii="Arial" w:cs="Arial" w:eastAsia="Arial" w:hAnsi="Arial"/>
                <w:b w:val="false"/>
                <w:bCs w:val="false"/>
                <w:color w:val="263858"/>
                <w:sz w:val="18"/>
                <w:szCs w:val="18"/>
              </w:rPr>
              <w:t xml:space="preserve">CE-018 — Restricted access to the Platform 4 worksite</w:t>
            </w:r>
          </w:p>
        </w:tc>
      </w:tr>
      <w:tr>
        <w:tc>
          <w:tcPr>
            <w:tcW w:type="dxa" w:w="2600"/>
            <w:shd w:fill="DFF3F8" w:color="auto" w:val="clear"/>
            <w:tcMar>
              <w:top w:type="dxa" w:w="60"/>
              <w:left w:type="dxa" w:w="90"/>
              <w:bottom w:type="dxa" w:w="60"/>
              <w:right w:type="dxa" w:w="90"/>
            </w:tcMar>
          </w:tcPr>
          <w:p>
            <w:pPr>
              <w:spacing w:after="20"/>
              <w:jc w:val="left"/>
            </w:pPr>
            <w:r>
              <w:rPr>
                <w:rFonts w:ascii="Arial" w:cs="Arial" w:eastAsia="Arial" w:hAnsi="Arial"/>
                <w:b/>
                <w:bCs/>
                <w:color w:val="263858"/>
                <w:sz w:val="18"/>
                <w:szCs w:val="18"/>
              </w:rPr>
              <w:t xml:space="preserve">Classification</w:t>
            </w:r>
          </w:p>
        </w:tc>
        <w:tc>
          <w:tcPr>
            <w:tcW w:type="dxa" w:w="70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8"/>
                <w:szCs w:val="18"/>
              </w:rPr>
              <w:t xml:space="preserve">Fictional Demonstration Data</w:t>
            </w:r>
          </w:p>
        </w:tc>
      </w:tr>
      <w:tr>
        <w:tc>
          <w:tcPr>
            <w:tcW w:type="dxa" w:w="2600"/>
            <w:shd w:fill="DFF3F8" w:color="auto" w:val="clear"/>
            <w:tcMar>
              <w:top w:type="dxa" w:w="60"/>
              <w:left w:type="dxa" w:w="90"/>
              <w:bottom w:type="dxa" w:w="60"/>
              <w:right w:type="dxa" w:w="90"/>
            </w:tcMar>
          </w:tcPr>
          <w:p>
            <w:pPr>
              <w:spacing w:after="20"/>
              <w:jc w:val="left"/>
            </w:pPr>
            <w:r>
              <w:rPr>
                <w:rFonts w:ascii="Arial" w:cs="Arial" w:eastAsia="Arial" w:hAnsi="Arial"/>
                <w:b/>
                <w:bCs/>
                <w:color w:val="263858"/>
                <w:sz w:val="18"/>
                <w:szCs w:val="18"/>
              </w:rPr>
              <w:t xml:space="preserve">Previous template</w:t>
            </w:r>
          </w:p>
        </w:tc>
        <w:tc>
          <w:tcPr>
            <w:tcW w:type="dxa" w:w="7038"/>
            <w:tcMar>
              <w:top w:type="dxa" w:w="60"/>
              <w:left w:type="dxa" w:w="90"/>
              <w:bottom w:type="dxa" w:w="60"/>
              <w:right w:type="dxa" w:w="90"/>
            </w:tcMar>
          </w:tcPr>
          <w:p>
            <w:pPr>
              <w:spacing w:after="20"/>
              <w:jc w:val="left"/>
            </w:pPr>
            <w:r>
              <w:rPr>
                <w:rFonts w:ascii="Arial" w:cs="Arial" w:eastAsia="Arial" w:hAnsi="Arial"/>
                <w:b w:val="false"/>
                <w:bCs w:val="false"/>
                <w:color w:val="263858"/>
                <w:sz w:val="18"/>
                <w:szCs w:val="18"/>
              </w:rPr>
              <w:t xml:space="preserve">CE018-SP-07 Task Control Brief</w:t>
            </w:r>
          </w:p>
        </w:tc>
      </w:tr>
      <w:tr>
        <w:tc>
          <w:tcPr>
            <w:tcW w:type="dxa" w:w="2600"/>
            <w:shd w:fill="DFF3F8" w:color="auto" w:val="clear"/>
            <w:tcMar>
              <w:top w:type="dxa" w:w="60"/>
              <w:left w:type="dxa" w:w="90"/>
              <w:bottom w:type="dxa" w:w="60"/>
              <w:right w:type="dxa" w:w="90"/>
            </w:tcMar>
          </w:tcPr>
          <w:p>
            <w:pPr>
              <w:spacing w:after="20"/>
              <w:jc w:val="left"/>
            </w:pPr>
            <w:r>
              <w:rPr>
                <w:rFonts w:ascii="Arial" w:cs="Arial" w:eastAsia="Arial" w:hAnsi="Arial"/>
                <w:b/>
                <w:bCs/>
                <w:color w:val="263858"/>
                <w:sz w:val="18"/>
                <w:szCs w:val="18"/>
              </w:rPr>
              <w:t xml:space="preserve">Next template</w:t>
            </w:r>
          </w:p>
        </w:tc>
        <w:tc>
          <w:tcPr>
            <w:tcW w:type="dxa" w:w="70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8"/>
                <w:szCs w:val="18"/>
              </w:rPr>
              <w:t xml:space="preserve">CE018-SP-09 Authority and Escalation Matrix</w:t>
            </w:r>
          </w:p>
        </w:tc>
      </w:tr>
    </w:tbl>
    <w:p>
      <w:pPr>
        <w:spacing w:after="120" w:before="160"/>
      </w:pPr>
      <w:r>
        <w:drawing>
          <wp:inline distT="0" distB="0" distL="0" distR="0">
            <wp:extent cx="3810000"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581025"/>
                    </a:xfrm>
                    <a:prstGeom prst="rect">
                      <a:avLst/>
                    </a:prstGeom>
                  </pic:spPr>
                </pic:pic>
              </a:graphicData>
            </a:graphic>
          </wp:inline>
        </w:drawing>
      </w:r>
    </w:p>
    <w:tbl>
      <w:tblPr>
        <w:tblW w:type="dxa" w:w="9638"/>
        <w:tblBorders>
          <w:top w:val="single" w:color="263858" w:sz="6"/>
          <w:left w:val="single" w:color="263858" w:sz="18"/>
          <w:bottom w:val="single" w:color="263858" w:sz="6"/>
          <w:right w:val="single" w:color="263858" w:sz="6"/>
          <w:insideH w:val="none" w:sz="0"/>
          <w:insideV w:val="none" w:sz="0"/>
        </w:tblBorders>
      </w:tblPr>
      <w:tblGrid>
        <w:gridCol w:w="9638"/>
      </w:tblGrid>
      <w:tr>
        <w:tc>
          <w:tcPr>
            <w:tcW w:type="dxa" w:w="9638"/>
            <w:shd w:fill="EDF1F6" w:color="auto" w:val="clear"/>
            <w:tcMar>
              <w:top w:type="dxa" w:w="120"/>
              <w:left w:type="dxa" w:w="160"/>
              <w:bottom w:type="dxa" w:w="120"/>
              <w:right w:type="dxa" w:w="140"/>
            </w:tcMar>
          </w:tcPr>
          <w:p>
            <w:pPr>
              <w:spacing w:after="60"/>
            </w:pPr>
            <w:r>
              <w:rPr>
                <w:rFonts w:ascii="Arial" w:cs="Arial" w:eastAsia="Arial" w:hAnsi="Arial"/>
                <w:b/>
                <w:bCs/>
                <w:color w:val="263858"/>
                <w:sz w:val="19"/>
                <w:szCs w:val="19"/>
              </w:rPr>
              <w:t xml:space="preserve">Retained human authority</w:t>
            </w:r>
          </w:p>
          <w:p>
            <w:pPr>
              <w:spacing w:after="40"/>
            </w:pPr>
            <w:r>
              <w:rPr>
                <w:rFonts w:ascii="Arial" w:cs="Arial" w:eastAsia="Arial" w:hAnsi="Arial"/>
                <w:color w:val="263858"/>
                <w:sz w:val="18"/>
                <w:szCs w:val="18"/>
              </w:rPr>
              <w:t xml:space="preserve">This template is configured Project Controls assurance support. It is not a contractual communication and it does not state NEC4 or legal compliance.</w:t>
            </w:r>
          </w:p>
          <w:p>
            <w:pPr>
              <w:spacing w:after="40"/>
            </w:pPr>
            <w:r>
              <w:rPr>
                <w:rFonts w:ascii="Arial" w:cs="Arial" w:eastAsia="Arial" w:hAnsi="Arial"/>
                <w:color w:val="263858"/>
                <w:sz w:val="18"/>
                <w:szCs w:val="18"/>
              </w:rPr>
              <w:t xml:space="preserve">In the CE-018 worked example, Elena Brooks, NEC4 Project Manager, retains every contractual decision. In your own use, name the relevant contractual role or accountable decision owner in place of Elena Brooks.</w:t>
            </w:r>
          </w:p>
        </w:tc>
      </w:tr>
    </w:tbl>
    <w:p>
      <w:pPr>
        <w:pStyle w:val="Heading1"/>
        <w:pageBreakBefore/>
        <w:pBdr>
          <w:bottom w:val="single" w:color="08A6D4" w:sz="12" w:space="4"/>
        </w:pBdr>
        <w:spacing w:after="140" w:before="320"/>
      </w:pPr>
      <w:r>
        <w:rPr>
          <w:rFonts w:ascii="Arial" w:cs="Arial" w:eastAsia="Arial" w:hAnsi="Arial"/>
          <w:b/>
          <w:bCs/>
          <w:color w:val="263858"/>
          <w:sz w:val="26"/>
          <w:szCs w:val="26"/>
        </w:rPr>
        <w:t xml:space="preserve">1. Purpose</w:t>
      </w:r>
    </w:p>
    <w:p>
      <w:pPr>
        <w:spacing w:after="100" w:before="0"/>
        <w:jc w:val="left"/>
      </w:pPr>
      <w:r>
        <w:rPr>
          <w:rFonts w:ascii="Arial" w:cs="Arial" w:eastAsia="Arial" w:hAnsi="Arial"/>
          <w:b w:val="false"/>
          <w:bCs w:val="false"/>
          <w:i w:val="false"/>
          <w:iCs w:val="false"/>
          <w:color w:val="263858"/>
          <w:sz w:val="20"/>
          <w:szCs w:val="20"/>
        </w:rPr>
        <w:t xml:space="preserve">This template holds the assistant’s standing instructions in a managed, version-controlled workspace. It is the mechanism by which the charter and the task control brief become operative for every run, regardless of who is at the keyboard.</w:t>
      </w:r>
    </w:p>
    <w:p>
      <w:pPr>
        <w:spacing w:after="100" w:before="0"/>
        <w:jc w:val="left"/>
      </w:pPr>
      <w:r>
        <w:rPr>
          <w:rFonts w:ascii="Arial" w:cs="Arial" w:eastAsia="Arial" w:hAnsi="Arial"/>
          <w:b w:val="false"/>
          <w:bCs w:val="false"/>
          <w:i w:val="false"/>
          <w:iCs w:val="false"/>
          <w:color w:val="263858"/>
          <w:sz w:val="20"/>
          <w:szCs w:val="20"/>
        </w:rPr>
        <w:t xml:space="preserve">A personal prompt or an individual assistant memory is not an organisational control. It is invisible to assurance, cannot be audited and disappears when the individual does. Instructions that matter must be held in the managed workspace, versioned and approved.</w:t>
      </w:r>
    </w:p>
    <w:p>
      <w:pPr>
        <w:pStyle w:val="Heading1"/>
        <w:pBdr>
          <w:bottom w:val="single" w:color="08A6D4" w:sz="12" w:space="4"/>
        </w:pBdr>
        <w:spacing w:after="140" w:before="320"/>
      </w:pPr>
      <w:r>
        <w:rPr>
          <w:rFonts w:ascii="Arial" w:cs="Arial" w:eastAsia="Arial" w:hAnsi="Arial"/>
          <w:b/>
          <w:bCs/>
          <w:color w:val="263858"/>
          <w:sz w:val="26"/>
          <w:szCs w:val="26"/>
        </w:rPr>
        <w:t xml:space="preserve">2. When to use this template</w:t>
      </w:r>
    </w:p>
    <w:p>
      <w:pPr>
        <w:pStyle w:val="ListParagraph"/>
        <w:numPr>
          <w:ilvl w:val="0"/>
          <w:numId w:val="2"/>
        </w:numPr>
        <w:spacing w:after="60"/>
      </w:pPr>
      <w:r>
        <w:rPr>
          <w:rFonts w:ascii="Arial" w:cs="Arial" w:eastAsia="Arial" w:hAnsi="Arial"/>
          <w:color w:val="263858"/>
          <w:sz w:val="20"/>
          <w:szCs w:val="20"/>
        </w:rPr>
        <w:t xml:space="preserve">When configuring a managed workspace for an approved use case for the first time.</w:t>
      </w:r>
    </w:p>
    <w:p>
      <w:pPr>
        <w:pStyle w:val="ListParagraph"/>
        <w:numPr>
          <w:ilvl w:val="0"/>
          <w:numId w:val="2"/>
        </w:numPr>
        <w:spacing w:after="60"/>
      </w:pPr>
      <w:r>
        <w:rPr>
          <w:rFonts w:ascii="Arial" w:cs="Arial" w:eastAsia="Arial" w:hAnsi="Arial"/>
          <w:color w:val="263858"/>
          <w:sz w:val="20"/>
          <w:szCs w:val="20"/>
        </w:rPr>
        <w:t xml:space="preserve">When the task control brief, the approved source register, the test definitions or the authority matrix changes.</w:t>
      </w:r>
    </w:p>
    <w:p>
      <w:pPr>
        <w:pStyle w:val="ListParagraph"/>
        <w:numPr>
          <w:ilvl w:val="0"/>
          <w:numId w:val="2"/>
        </w:numPr>
        <w:spacing w:after="60"/>
      </w:pPr>
      <w:r>
        <w:rPr>
          <w:rFonts w:ascii="Arial" w:cs="Arial" w:eastAsia="Arial" w:hAnsi="Arial"/>
          <w:color w:val="263858"/>
          <w:sz w:val="20"/>
          <w:szCs w:val="20"/>
        </w:rPr>
        <w:t xml:space="preserve">When a new operator takes over the task, to confirm that the configuration is current and approved.</w:t>
      </w:r>
    </w:p>
    <w:p>
      <w:pPr>
        <w:pStyle w:val="ListParagraph"/>
        <w:numPr>
          <w:ilvl w:val="0"/>
          <w:numId w:val="2"/>
        </w:numPr>
        <w:spacing w:after="60"/>
      </w:pPr>
      <w:r>
        <w:rPr>
          <w:rFonts w:ascii="Arial" w:cs="Arial" w:eastAsia="Arial" w:hAnsi="Arial"/>
          <w:color w:val="263858"/>
          <w:sz w:val="20"/>
          <w:szCs w:val="20"/>
        </w:rPr>
        <w:t xml:space="preserve">At the scheduled review, and after any recorded refusal or control breach.</w:t>
      </w:r>
    </w:p>
    <w:p>
      <w:pPr>
        <w:pStyle w:val="Heading1"/>
        <w:pBdr>
          <w:bottom w:val="single" w:color="08A6D4" w:sz="12" w:space="4"/>
        </w:pBdr>
        <w:spacing w:after="140" w:before="320"/>
      </w:pPr>
      <w:r>
        <w:rPr>
          <w:rFonts w:ascii="Arial" w:cs="Arial" w:eastAsia="Arial" w:hAnsi="Arial"/>
          <w:b/>
          <w:bCs/>
          <w:color w:val="263858"/>
          <w:sz w:val="26"/>
          <w:szCs w:val="26"/>
        </w:rPr>
        <w:t xml:space="preserve">3. Accountable owner</w:t>
      </w:r>
    </w:p>
    <w:tbl>
      <w:tblPr>
        <w:tblW w:type="dxa" w:w="9638"/>
        <w:tblBorders>
          <w:top w:val="single" w:color="C9D2DD" w:sz="4"/>
          <w:left w:val="single" w:color="C9D2DD" w:sz="4"/>
          <w:bottom w:val="single" w:color="C9D2DD" w:sz="4"/>
          <w:right w:val="single" w:color="C9D2DD" w:sz="4"/>
          <w:insideH w:val="single" w:color="C9D2DD" w:sz="4"/>
          <w:insideV w:val="single" w:color="C9D2DD" w:sz="4"/>
        </w:tblBorders>
      </w:tblPr>
      <w:tblGrid>
        <w:gridCol w:w="2300"/>
        <w:gridCol w:w="3000"/>
        <w:gridCol w:w="4338"/>
      </w:tblGrid>
      <w:tr>
        <w:trPr>
          <w:tblHeader/>
        </w:trPr>
        <w:tc>
          <w:tcPr>
            <w:tcW w:type="dxa" w:w="23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Role</w:t>
            </w:r>
          </w:p>
        </w:tc>
        <w:tc>
          <w:tcPr>
            <w:tcW w:type="dxa" w:w="30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Named person in the CE-018 worked example</w:t>
            </w:r>
          </w:p>
        </w:tc>
        <w:tc>
          <w:tcPr>
            <w:tcW w:type="dxa" w:w="4338"/>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Responsibility for this template</w:t>
            </w:r>
          </w:p>
        </w:tc>
      </w:tr>
      <w:tr>
        <w:tc>
          <w:tcPr>
            <w:tcW w:type="dxa" w:w="23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Configuration owner</w:t>
            </w:r>
          </w:p>
        </w:tc>
        <w:tc>
          <w:tcPr>
            <w:tcW w:type="dxa" w:w="30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Sofia Khan — Project Controls Lead</w:t>
            </w:r>
          </w:p>
        </w:tc>
        <w:tc>
          <w:tcPr>
            <w:tcW w:type="dxa" w:w="43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Maintains the instruction set and its version history.</w:t>
            </w:r>
          </w:p>
        </w:tc>
      </w:tr>
      <w:tr>
        <w:tc>
          <w:tcPr>
            <w:tcW w:type="dxa" w:w="23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Authority approver</w:t>
            </w:r>
          </w:p>
        </w:tc>
        <w:tc>
          <w:tcPr>
            <w:tcW w:type="dxa" w:w="30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Elena Brooks — NEC4 Project Manager</w:t>
            </w:r>
          </w:p>
        </w:tc>
        <w:tc>
          <w:tcPr>
            <w:tcW w:type="dxa" w:w="43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Approves sections 6, 7 and 11 — prohibited actions, escalation and retained authority.</w:t>
            </w:r>
          </w:p>
        </w:tc>
      </w:tr>
      <w:tr>
        <w:tc>
          <w:tcPr>
            <w:tcW w:type="dxa" w:w="23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Platform owner</w:t>
            </w:r>
          </w:p>
        </w:tc>
        <w:tc>
          <w:tcPr>
            <w:tcW w:type="dxa" w:w="30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Project Information Manager [CONFIGURE]</w:t>
            </w:r>
          </w:p>
        </w:tc>
        <w:tc>
          <w:tcPr>
            <w:tcW w:type="dxa" w:w="43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Controls who may edit the workspace configuration and records every change.</w:t>
            </w:r>
          </w:p>
        </w:tc>
      </w:tr>
      <w:tr>
        <w:tc>
          <w:tcPr>
            <w:tcW w:type="dxa" w:w="23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Reviewer</w:t>
            </w:r>
          </w:p>
        </w:tc>
        <w:tc>
          <w:tcPr>
            <w:tcW w:type="dxa" w:w="30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Independent assurance reviewer [CONFIGURE]</w:t>
            </w:r>
          </w:p>
        </w:tc>
        <w:tc>
          <w:tcPr>
            <w:tcW w:type="dxa" w:w="43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Confirms that the deployed configuration matches the approved version.</w:t>
            </w:r>
          </w:p>
        </w:tc>
      </w:tr>
    </w:tbl>
    <w:p>
      <w:pPr>
        <w:spacing w:after="60" w:before="0"/>
        <w:jc w:val="left"/>
      </w:pPr>
      <w:r>
        <w:rPr>
          <w:rFonts w:ascii="Arial" w:cs="Arial" w:eastAsia="Arial" w:hAnsi="Arial"/>
          <w:b w:val="false"/>
          <w:bCs w:val="false"/>
          <w:i w:val="false"/>
          <w:iCs w:val="false"/>
          <w:color w:val="263858"/>
          <w:sz w:val="8"/>
          <w:szCs w:val="8"/>
        </w:rPr>
        <w:t xml:space="preserve"/>
      </w:r>
    </w:p>
    <w:tbl>
      <w:tblPr>
        <w:tblW w:type="dxa" w:w="9638"/>
        <w:tblBorders>
          <w:top w:val="single" w:color="754887" w:sz="6"/>
          <w:left w:val="single" w:color="754887" w:sz="18"/>
          <w:bottom w:val="single" w:color="754887" w:sz="6"/>
          <w:right w:val="single" w:color="754887" w:sz="6"/>
          <w:insideH w:val="none" w:sz="0"/>
          <w:insideV w:val="none" w:sz="0"/>
        </w:tblBorders>
      </w:tblPr>
      <w:tblGrid>
        <w:gridCol w:w="9638"/>
      </w:tblGrid>
      <w:tr>
        <w:tc>
          <w:tcPr>
            <w:tcW w:type="dxa" w:w="9638"/>
            <w:shd w:fill="F1EAF4" w:color="auto" w:val="clear"/>
            <w:tcMar>
              <w:top w:type="dxa" w:w="120"/>
              <w:left w:type="dxa" w:w="160"/>
              <w:bottom w:type="dxa" w:w="120"/>
              <w:right w:type="dxa" w:w="140"/>
            </w:tcMar>
          </w:tcPr>
          <w:p>
            <w:pPr>
              <w:spacing w:after="60"/>
            </w:pPr>
            <w:r>
              <w:rPr>
                <w:rFonts w:ascii="Arial" w:cs="Arial" w:eastAsia="Arial" w:hAnsi="Arial"/>
                <w:b/>
                <w:bCs/>
                <w:color w:val="754887"/>
                <w:sz w:val="19"/>
                <w:szCs w:val="19"/>
              </w:rPr>
              <w:t xml:space="preserve">Configure before use</w:t>
            </w:r>
          </w:p>
          <w:p>
            <w:pPr>
              <w:spacing w:after="40"/>
            </w:pPr>
            <w:r>
              <w:rPr>
                <w:rFonts w:ascii="Arial" w:cs="Arial" w:eastAsia="Arial" w:hAnsi="Arial"/>
                <w:color w:val="263858"/>
                <w:sz w:val="18"/>
                <w:szCs w:val="18"/>
              </w:rPr>
              <w:t xml:space="preserve">Replace the named individuals above with the relevant contractual role or accountable decision owner on your own project. The named NEC4 role, not the assistant, holds the decision.</w:t>
            </w:r>
          </w:p>
        </w:tc>
      </w:tr>
    </w:tbl>
    <w:p>
      <w:pPr>
        <w:spacing w:after="80" w:before="0"/>
        <w:jc w:val="left"/>
      </w:pPr>
      <w:r>
        <w:rPr>
          <w:rFonts w:ascii="Arial" w:cs="Arial" w:eastAsia="Arial" w:hAnsi="Arial"/>
          <w:b w:val="false"/>
          <w:bCs w:val="false"/>
          <w:i w:val="false"/>
          <w:iCs w:val="false"/>
          <w:color w:val="263858"/>
          <w:sz w:val="8"/>
          <w:szCs w:val="8"/>
        </w:rPr>
        <w:t xml:space="preserve"/>
      </w:r>
    </w:p>
    <w:p>
      <w:pPr>
        <w:pStyle w:val="Heading1"/>
        <w:pBdr>
          <w:bottom w:val="single" w:color="08A6D4" w:sz="12" w:space="4"/>
        </w:pBdr>
        <w:spacing w:after="140" w:before="320"/>
      </w:pPr>
      <w:r>
        <w:rPr>
          <w:rFonts w:ascii="Arial" w:cs="Arial" w:eastAsia="Arial" w:hAnsi="Arial"/>
          <w:b/>
          <w:bCs/>
          <w:color w:val="263858"/>
          <w:sz w:val="26"/>
          <w:szCs w:val="26"/>
        </w:rPr>
        <w:t xml:space="preserve">4. Completion instructions</w:t>
      </w:r>
    </w:p>
    <w:p>
      <w:pPr>
        <w:pStyle w:val="ListParagraph"/>
        <w:numPr>
          <w:ilvl w:val="0"/>
          <w:numId w:val="3"/>
        </w:numPr>
        <w:spacing w:after="60"/>
      </w:pPr>
      <w:r>
        <w:rPr>
          <w:rFonts w:ascii="Arial" w:cs="Arial" w:eastAsia="Arial" w:hAnsi="Arial"/>
          <w:color w:val="263858"/>
          <w:sz w:val="20"/>
          <w:szCs w:val="20"/>
        </w:rPr>
        <w:t xml:space="preserve">Write each section as an instruction the assistant can follow and an auditor can check. Avoid aspirational wording.</w:t>
      </w:r>
    </w:p>
    <w:p>
      <w:pPr>
        <w:pStyle w:val="ListParagraph"/>
        <w:numPr>
          <w:ilvl w:val="0"/>
          <w:numId w:val="3"/>
        </w:numPr>
        <w:spacing w:after="60"/>
      </w:pPr>
      <w:r>
        <w:rPr>
          <w:rFonts w:ascii="Arial" w:cs="Arial" w:eastAsia="Arial" w:hAnsi="Arial"/>
          <w:color w:val="263858"/>
          <w:sz w:val="20"/>
          <w:szCs w:val="20"/>
        </w:rPr>
        <w:t xml:space="preserve">Section 3 must reference the controlled source register and revision, not a list of files pasted into the workspace.</w:t>
      </w:r>
    </w:p>
    <w:p>
      <w:pPr>
        <w:pStyle w:val="ListParagraph"/>
        <w:numPr>
          <w:ilvl w:val="0"/>
          <w:numId w:val="3"/>
        </w:numPr>
        <w:spacing w:after="60"/>
      </w:pPr>
      <w:r>
        <w:rPr>
          <w:rFonts w:ascii="Arial" w:cs="Arial" w:eastAsia="Arial" w:hAnsi="Arial"/>
          <w:color w:val="263858"/>
          <w:sz w:val="20"/>
          <w:szCs w:val="20"/>
        </w:rPr>
        <w:t xml:space="preserve">Section 6 must state both the prohibited action and the required refusal behaviour, including that a refusal is recorded rather than silent.</w:t>
      </w:r>
    </w:p>
    <w:p>
      <w:pPr>
        <w:pStyle w:val="ListParagraph"/>
        <w:numPr>
          <w:ilvl w:val="0"/>
          <w:numId w:val="3"/>
        </w:numPr>
        <w:spacing w:after="60"/>
      </w:pPr>
      <w:r>
        <w:rPr>
          <w:rFonts w:ascii="Arial" w:cs="Arial" w:eastAsia="Arial" w:hAnsi="Arial"/>
          <w:color w:val="263858"/>
          <w:sz w:val="20"/>
          <w:szCs w:val="20"/>
        </w:rPr>
        <w:t xml:space="preserve">Section 7 must state what the assistant does when a stop condition occurs, including that it does not proceed with a partial answer.</w:t>
      </w:r>
    </w:p>
    <w:p>
      <w:pPr>
        <w:pStyle w:val="ListParagraph"/>
        <w:numPr>
          <w:ilvl w:val="0"/>
          <w:numId w:val="3"/>
        </w:numPr>
        <w:spacing w:after="60"/>
      </w:pPr>
      <w:r>
        <w:rPr>
          <w:rFonts w:ascii="Arial" w:cs="Arial" w:eastAsia="Arial" w:hAnsi="Arial"/>
          <w:color w:val="263858"/>
          <w:sz w:val="20"/>
          <w:szCs w:val="20"/>
        </w:rPr>
        <w:t xml:space="preserve">Section 10 must set the classification and any public-demonstration wording, so that fictional or demonstration content can never be read as a live contractual position.</w:t>
      </w:r>
    </w:p>
    <w:p>
      <w:pPr>
        <w:pStyle w:val="ListParagraph"/>
        <w:numPr>
          <w:ilvl w:val="0"/>
          <w:numId w:val="3"/>
        </w:numPr>
        <w:spacing w:after="60"/>
      </w:pPr>
      <w:r>
        <w:rPr>
          <w:rFonts w:ascii="Arial" w:cs="Arial" w:eastAsia="Arial" w:hAnsi="Arial"/>
          <w:color w:val="263858"/>
          <w:sz w:val="20"/>
          <w:szCs w:val="20"/>
        </w:rPr>
        <w:t xml:space="preserve">Version the instruction set. Record the version in every output the assistant produces.</w:t>
      </w:r>
    </w:p>
    <w:p>
      <w:pPr>
        <w:pStyle w:val="ListParagraph"/>
        <w:numPr>
          <w:ilvl w:val="0"/>
          <w:numId w:val="3"/>
        </w:numPr>
        <w:spacing w:after="60"/>
      </w:pPr>
      <w:r>
        <w:rPr>
          <w:rFonts w:ascii="Arial" w:cs="Arial" w:eastAsia="Arial" w:hAnsi="Arial"/>
          <w:color w:val="263858"/>
          <w:sz w:val="20"/>
          <w:szCs w:val="20"/>
        </w:rPr>
        <w:t xml:space="preserve">Deploy only the approved version. Record deployment, the deploying person and the date.</w:t>
      </w:r>
    </w:p>
    <w:p>
      <w:pPr>
        <w:pStyle w:val="Heading1"/>
        <w:pBdr>
          <w:bottom w:val="single" w:color="08A6D4" w:sz="12" w:space="4"/>
        </w:pBdr>
        <w:spacing w:after="140" w:before="320"/>
      </w:pPr>
      <w:r>
        <w:rPr>
          <w:rFonts w:ascii="Arial" w:cs="Arial" w:eastAsia="Arial" w:hAnsi="Arial"/>
          <w:b/>
          <w:bCs/>
          <w:color w:val="263858"/>
          <w:sz w:val="26"/>
          <w:szCs w:val="26"/>
        </w:rPr>
        <w:t xml:space="preserve">5. Minimum mandatory fields</w:t>
      </w:r>
    </w:p>
    <w:tbl>
      <w:tblPr>
        <w:tblW w:type="dxa" w:w="9638"/>
        <w:tblBorders>
          <w:top w:val="single" w:color="C9D2DD" w:sz="4"/>
          <w:left w:val="single" w:color="C9D2DD" w:sz="4"/>
          <w:bottom w:val="single" w:color="C9D2DD" w:sz="4"/>
          <w:right w:val="single" w:color="C9D2DD" w:sz="4"/>
          <w:insideH w:val="single" w:color="C9D2DD" w:sz="4"/>
          <w:insideV w:val="single" w:color="C9D2DD" w:sz="4"/>
        </w:tblBorders>
      </w:tblPr>
      <w:tblGrid>
        <w:gridCol w:w="2500"/>
        <w:gridCol w:w="5638"/>
        <w:gridCol w:w="1500"/>
      </w:tblGrid>
      <w:tr>
        <w:trPr>
          <w:tblHeader/>
        </w:trPr>
        <w:tc>
          <w:tcPr>
            <w:tcW w:type="dxa" w:w="25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Field</w:t>
            </w:r>
          </w:p>
        </w:tc>
        <w:tc>
          <w:tcPr>
            <w:tcW w:type="dxa" w:w="5638"/>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What it must record</w:t>
            </w:r>
          </w:p>
        </w:tc>
        <w:tc>
          <w:tcPr>
            <w:tcW w:type="dxa" w:w="15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Mandatory</w:t>
            </w:r>
          </w:p>
        </w:tc>
      </w:tr>
      <w:tr>
        <w:tc>
          <w:tcPr>
            <w:tcW w:type="dxa" w:w="25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Identity and boundary</w:t>
            </w:r>
          </w:p>
        </w:tc>
        <w:tc>
          <w:tcPr>
            <w:tcW w:type="dxa" w:w="56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What the assistant is, what it is not, and whose authority it does not hold.</w:t>
            </w:r>
          </w:p>
        </w:tc>
        <w:tc>
          <w:tcPr>
            <w:tcW w:type="dxa" w:w="15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Yes</w:t>
            </w:r>
          </w:p>
        </w:tc>
      </w:tr>
      <w:tr>
        <w:tc>
          <w:tcPr>
            <w:tcW w:type="dxa" w:w="25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Permitted task</w:t>
            </w:r>
          </w:p>
        </w:tc>
        <w:tc>
          <w:tcPr>
            <w:tcW w:type="dxa" w:w="56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The activities permitted, taken from the approved task control brief.</w:t>
            </w:r>
          </w:p>
        </w:tc>
        <w:tc>
          <w:tcPr>
            <w:tcW w:type="dxa" w:w="15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Yes</w:t>
            </w:r>
          </w:p>
        </w:tc>
      </w:tr>
      <w:tr>
        <w:tc>
          <w:tcPr>
            <w:tcW w:type="dxa" w:w="25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Approved sources</w:t>
            </w:r>
          </w:p>
        </w:tc>
        <w:tc>
          <w:tcPr>
            <w:tcW w:type="dxa" w:w="56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The controlled register and revision governing the permitted source set.</w:t>
            </w:r>
          </w:p>
        </w:tc>
        <w:tc>
          <w:tcPr>
            <w:tcW w:type="dxa" w:w="15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Yes</w:t>
            </w:r>
          </w:p>
        </w:tc>
      </w:tr>
      <w:tr>
        <w:tc>
          <w:tcPr>
            <w:tcW w:type="dxa" w:w="25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Method and scoring</w:t>
            </w:r>
          </w:p>
        </w:tc>
        <w:tc>
          <w:tcPr>
            <w:tcW w:type="dxa" w:w="56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The fixed tests, controls, scoring scale and critical-failure override.</w:t>
            </w:r>
          </w:p>
        </w:tc>
        <w:tc>
          <w:tcPr>
            <w:tcW w:type="dxa" w:w="15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Yes</w:t>
            </w:r>
          </w:p>
        </w:tc>
      </w:tr>
      <w:tr>
        <w:tc>
          <w:tcPr>
            <w:tcW w:type="dxa" w:w="25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Output structure and status</w:t>
            </w:r>
          </w:p>
        </w:tc>
        <w:tc>
          <w:tcPr>
            <w:tcW w:type="dxa" w:w="56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The required output artefacts and the status they carry.</w:t>
            </w:r>
          </w:p>
        </w:tc>
        <w:tc>
          <w:tcPr>
            <w:tcW w:type="dxa" w:w="15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Yes</w:t>
            </w:r>
          </w:p>
        </w:tc>
      </w:tr>
      <w:tr>
        <w:tc>
          <w:tcPr>
            <w:tcW w:type="dxa" w:w="25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Prohibited actions and refusal behaviour</w:t>
            </w:r>
          </w:p>
        </w:tc>
        <w:tc>
          <w:tcPr>
            <w:tcW w:type="dxa" w:w="56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The reserved actions and exactly how a refusal is made and recorded.</w:t>
            </w:r>
          </w:p>
        </w:tc>
        <w:tc>
          <w:tcPr>
            <w:tcW w:type="dxa" w:w="15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Yes</w:t>
            </w:r>
          </w:p>
        </w:tc>
      </w:tr>
      <w:tr>
        <w:tc>
          <w:tcPr>
            <w:tcW w:type="dxa" w:w="25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Stop and escalation</w:t>
            </w:r>
          </w:p>
        </w:tc>
        <w:tc>
          <w:tcPr>
            <w:tcW w:type="dxa" w:w="56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Stop conditions and the named escalation route.</w:t>
            </w:r>
          </w:p>
        </w:tc>
        <w:tc>
          <w:tcPr>
            <w:tcW w:type="dxa" w:w="15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Yes</w:t>
            </w:r>
          </w:p>
        </w:tc>
      </w:tr>
      <w:tr>
        <w:tc>
          <w:tcPr>
            <w:tcW w:type="dxa" w:w="25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Citation and traceability</w:t>
            </w:r>
          </w:p>
        </w:tc>
        <w:tc>
          <w:tcPr>
            <w:tcW w:type="dxa" w:w="56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The citation standard for every reported value.</w:t>
            </w:r>
          </w:p>
        </w:tc>
        <w:tc>
          <w:tcPr>
            <w:tcW w:type="dxa" w:w="15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Yes</w:t>
            </w:r>
          </w:p>
        </w:tc>
      </w:tr>
      <w:tr>
        <w:tc>
          <w:tcPr>
            <w:tcW w:type="dxa" w:w="25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Date classification</w:t>
            </w:r>
          </w:p>
        </w:tc>
        <w:tc>
          <w:tcPr>
            <w:tcW w:type="dxa" w:w="56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How assurance targets are distinguished from configured contractual dates.</w:t>
            </w:r>
          </w:p>
        </w:tc>
        <w:tc>
          <w:tcPr>
            <w:tcW w:type="dxa" w:w="15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Yes</w:t>
            </w:r>
          </w:p>
        </w:tc>
      </w:tr>
      <w:tr>
        <w:tc>
          <w:tcPr>
            <w:tcW w:type="dxa" w:w="25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Classification wording</w:t>
            </w:r>
          </w:p>
        </w:tc>
        <w:tc>
          <w:tcPr>
            <w:tcW w:type="dxa" w:w="56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Classification, demonstration wording and compliance caveat.</w:t>
            </w:r>
          </w:p>
        </w:tc>
        <w:tc>
          <w:tcPr>
            <w:tcW w:type="dxa" w:w="15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Yes</w:t>
            </w:r>
          </w:p>
        </w:tc>
      </w:tr>
      <w:tr>
        <w:tc>
          <w:tcPr>
            <w:tcW w:type="dxa" w:w="25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Retained human authority</w:t>
            </w:r>
          </w:p>
        </w:tc>
        <w:tc>
          <w:tcPr>
            <w:tcW w:type="dxa" w:w="56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The statement naming the accountable contractual role.</w:t>
            </w:r>
          </w:p>
        </w:tc>
        <w:tc>
          <w:tcPr>
            <w:tcW w:type="dxa" w:w="15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Yes</w:t>
            </w:r>
          </w:p>
        </w:tc>
      </w:tr>
      <w:tr>
        <w:tc>
          <w:tcPr>
            <w:tcW w:type="dxa" w:w="25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Version and change control</w:t>
            </w:r>
          </w:p>
        </w:tc>
        <w:tc>
          <w:tcPr>
            <w:tcW w:type="dxa" w:w="56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Version, approver, deployment date and change history.</w:t>
            </w:r>
          </w:p>
        </w:tc>
        <w:tc>
          <w:tcPr>
            <w:tcW w:type="dxa" w:w="15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Yes</w:t>
            </w:r>
          </w:p>
        </w:tc>
      </w:tr>
    </w:tbl>
    <w:p>
      <w:pPr>
        <w:pStyle w:val="Heading1"/>
        <w:pageBreakBefore/>
        <w:pBdr>
          <w:bottom w:val="single" w:color="08A6D4" w:sz="12" w:space="4"/>
        </w:pBdr>
        <w:spacing w:after="140" w:before="320"/>
      </w:pPr>
      <w:r>
        <w:rPr>
          <w:rFonts w:ascii="Arial" w:cs="Arial" w:eastAsia="Arial" w:hAnsi="Arial"/>
          <w:b/>
          <w:bCs/>
          <w:color w:val="263858"/>
          <w:sz w:val="26"/>
          <w:szCs w:val="26"/>
        </w:rPr>
        <w:t xml:space="preserve">6. Blank reusable template</w:t>
      </w:r>
    </w:p>
    <w:tbl>
      <w:tblPr>
        <w:tblW w:type="dxa" w:w="9638"/>
        <w:tblBorders>
          <w:top w:val="single" w:color="08A6D4" w:sz="6"/>
          <w:left w:val="single" w:color="08A6D4" w:sz="18"/>
          <w:bottom w:val="single" w:color="08A6D4" w:sz="6"/>
          <w:right w:val="single" w:color="08A6D4" w:sz="6"/>
          <w:insideH w:val="none" w:sz="0"/>
          <w:insideV w:val="none" w:sz="0"/>
        </w:tblBorders>
      </w:tblPr>
      <w:tblGrid>
        <w:gridCol w:w="9638"/>
      </w:tblGrid>
      <w:tr>
        <w:tc>
          <w:tcPr>
            <w:tcW w:type="dxa" w:w="9638"/>
            <w:shd w:fill="DFF3F8" w:color="auto" w:val="clear"/>
            <w:tcMar>
              <w:top w:type="dxa" w:w="120"/>
              <w:left w:type="dxa" w:w="160"/>
              <w:bottom w:type="dxa" w:w="120"/>
              <w:right w:type="dxa" w:w="140"/>
            </w:tcMar>
          </w:tcPr>
          <w:p>
            <w:pPr>
              <w:spacing w:after="60"/>
            </w:pPr>
            <w:r>
              <w:rPr>
                <w:rFonts w:ascii="Arial" w:cs="Arial" w:eastAsia="Arial" w:hAnsi="Arial"/>
                <w:b/>
                <w:bCs/>
                <w:color w:val="08A6D4"/>
                <w:sz w:val="19"/>
                <w:szCs w:val="19"/>
              </w:rPr>
              <w:t xml:space="preserve">TEMPLATE — CONFIGURE BEFORE USE</w:t>
            </w:r>
          </w:p>
          <w:p>
            <w:pPr>
              <w:spacing w:after="40"/>
            </w:pPr>
            <w:r>
              <w:rPr>
                <w:rFonts w:ascii="Arial" w:cs="Arial" w:eastAsia="Arial" w:hAnsi="Arial"/>
                <w:color w:val="263858"/>
                <w:sz w:val="18"/>
                <w:szCs w:val="18"/>
              </w:rPr>
              <w:t xml:space="preserve">Every field marked [CONFIGURE] must be set by the accountable owner before the template is used on a live task.</w:t>
            </w:r>
          </w:p>
          <w:p>
            <w:pPr>
              <w:spacing w:after="40"/>
            </w:pPr>
            <w:r>
              <w:rPr>
                <w:rFonts w:ascii="Arial" w:cs="Arial" w:eastAsia="Arial" w:hAnsi="Arial"/>
                <w:color w:val="263858"/>
                <w:sz w:val="18"/>
                <w:szCs w:val="18"/>
              </w:rPr>
              <w:t xml:space="preserve">This blank version carries no CE-018 data. Do not copy worked-example values into it.</w:t>
            </w:r>
          </w:p>
        </w:tc>
      </w:tr>
    </w:tbl>
    <w:p>
      <w:pPr>
        <w:spacing w:after="80" w:before="0"/>
        <w:jc w:val="left"/>
      </w:pPr>
      <w:r>
        <w:rPr>
          <w:rFonts w:ascii="Arial" w:cs="Arial" w:eastAsia="Arial" w:hAnsi="Arial"/>
          <w:b w:val="false"/>
          <w:bCs w:val="false"/>
          <w:i w:val="false"/>
          <w:iCs w:val="false"/>
          <w:color w:val="263858"/>
          <w:sz w:val="8"/>
          <w:szCs w:val="8"/>
        </w:rPr>
        <w:t xml:space="preserve"/>
      </w:r>
    </w:p>
    <w:p>
      <w:pPr>
        <w:spacing w:after="100" w:before="0"/>
        <w:jc w:val="left"/>
      </w:pPr>
      <w:r>
        <w:rPr>
          <w:rFonts w:ascii="Arial" w:cs="Arial" w:eastAsia="Arial" w:hAnsi="Arial"/>
          <w:b w:val="false"/>
          <w:bCs w:val="false"/>
          <w:i w:val="false"/>
          <w:iCs w:val="false"/>
          <w:color w:val="263858"/>
          <w:sz w:val="20"/>
          <w:szCs w:val="20"/>
        </w:rPr>
        <w:t xml:space="preserve">Complete all twelve sections. Sections 6, 7 and 11 require approval by the accountable contractual role before deployment.</w:t>
      </w:r>
    </w:p>
    <w:tbl>
      <w:tblPr>
        <w:tblW w:type="dxa" w:w="9638"/>
        <w:tblBorders>
          <w:top w:val="single" w:color="C9D2DD" w:sz="4"/>
          <w:left w:val="single" w:color="C9D2DD" w:sz="4"/>
          <w:bottom w:val="single" w:color="C9D2DD" w:sz="4"/>
          <w:right w:val="single" w:color="C9D2DD" w:sz="4"/>
          <w:insideH w:val="single" w:color="C9D2DD" w:sz="4"/>
          <w:insideV w:val="single" w:color="C9D2DD" w:sz="4"/>
        </w:tblBorders>
      </w:tblPr>
      <w:tblGrid>
        <w:gridCol w:w="3300"/>
        <w:gridCol w:w="6338"/>
      </w:tblGrid>
      <w:tr>
        <w:trPr>
          <w:tblHeader/>
        </w:trPr>
        <w:tc>
          <w:tcPr>
            <w:tcW w:type="dxa" w:w="33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Instruction section</w:t>
            </w:r>
          </w:p>
        </w:tc>
        <w:tc>
          <w:tcPr>
            <w:tcW w:type="dxa" w:w="6338"/>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Content to configure</w:t>
            </w:r>
          </w:p>
        </w:tc>
      </w:tr>
      <w:tr>
        <w:tc>
          <w:tcPr>
            <w:tcW w:type="dxa" w:w="33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Section 1 — Identity and boundary</w:t>
            </w:r>
          </w:p>
        </w:tc>
        <w:tc>
          <w:tcPr>
            <w:tcW w:type="dxa" w:w="63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w:t>
            </w:r>
          </w:p>
        </w:tc>
      </w:tr>
      <w:tr>
        <w:tc>
          <w:tcPr>
            <w:tcW w:type="dxa" w:w="33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Section 2 — Permitted task</w:t>
            </w:r>
          </w:p>
        </w:tc>
        <w:tc>
          <w:tcPr>
            <w:tcW w:type="dxa" w:w="63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w:t>
            </w:r>
          </w:p>
        </w:tc>
      </w:tr>
      <w:tr>
        <w:tc>
          <w:tcPr>
            <w:tcW w:type="dxa" w:w="33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Section 3 — Approved sources</w:t>
            </w:r>
          </w:p>
        </w:tc>
        <w:tc>
          <w:tcPr>
            <w:tcW w:type="dxa" w:w="63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w:t>
            </w:r>
          </w:p>
        </w:tc>
      </w:tr>
      <w:tr>
        <w:tc>
          <w:tcPr>
            <w:tcW w:type="dxa" w:w="33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Section 4 — Method and scoring</w:t>
            </w:r>
          </w:p>
        </w:tc>
        <w:tc>
          <w:tcPr>
            <w:tcW w:type="dxa" w:w="63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w:t>
            </w:r>
          </w:p>
        </w:tc>
      </w:tr>
      <w:tr>
        <w:tc>
          <w:tcPr>
            <w:tcW w:type="dxa" w:w="33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Section 5 — Output structure and status</w:t>
            </w:r>
          </w:p>
        </w:tc>
        <w:tc>
          <w:tcPr>
            <w:tcW w:type="dxa" w:w="63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w:t>
            </w:r>
          </w:p>
        </w:tc>
      </w:tr>
      <w:tr>
        <w:tc>
          <w:tcPr>
            <w:tcW w:type="dxa" w:w="33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Section 6 — Prohibited actions and refusal behaviour</w:t>
            </w:r>
          </w:p>
        </w:tc>
        <w:tc>
          <w:tcPr>
            <w:tcW w:type="dxa" w:w="63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w:t>
            </w:r>
          </w:p>
        </w:tc>
      </w:tr>
      <w:tr>
        <w:tc>
          <w:tcPr>
            <w:tcW w:type="dxa" w:w="33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Section 7 — Stop and escalation</w:t>
            </w:r>
          </w:p>
        </w:tc>
        <w:tc>
          <w:tcPr>
            <w:tcW w:type="dxa" w:w="63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w:t>
            </w:r>
          </w:p>
        </w:tc>
      </w:tr>
      <w:tr>
        <w:tc>
          <w:tcPr>
            <w:tcW w:type="dxa" w:w="33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Section 8 — Citation and traceability</w:t>
            </w:r>
          </w:p>
        </w:tc>
        <w:tc>
          <w:tcPr>
            <w:tcW w:type="dxa" w:w="63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w:t>
            </w:r>
          </w:p>
        </w:tc>
      </w:tr>
      <w:tr>
        <w:tc>
          <w:tcPr>
            <w:tcW w:type="dxa" w:w="33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Section 9 — Date classification</w:t>
            </w:r>
          </w:p>
        </w:tc>
        <w:tc>
          <w:tcPr>
            <w:tcW w:type="dxa" w:w="63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w:t>
            </w:r>
          </w:p>
        </w:tc>
      </w:tr>
      <w:tr>
        <w:tc>
          <w:tcPr>
            <w:tcW w:type="dxa" w:w="33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Section 10 — Classification and public-safety wording</w:t>
            </w:r>
          </w:p>
        </w:tc>
        <w:tc>
          <w:tcPr>
            <w:tcW w:type="dxa" w:w="63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w:t>
            </w:r>
          </w:p>
        </w:tc>
      </w:tr>
      <w:tr>
        <w:tc>
          <w:tcPr>
            <w:tcW w:type="dxa" w:w="33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Section 11 — Retained human authority</w:t>
            </w:r>
          </w:p>
        </w:tc>
        <w:tc>
          <w:tcPr>
            <w:tcW w:type="dxa" w:w="63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w:t>
            </w:r>
          </w:p>
        </w:tc>
      </w:tr>
      <w:tr>
        <w:tc>
          <w:tcPr>
            <w:tcW w:type="dxa" w:w="33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Section 12 — Version and change control</w:t>
            </w:r>
          </w:p>
        </w:tc>
        <w:tc>
          <w:tcPr>
            <w:tcW w:type="dxa" w:w="63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[CONFIGURE]</w:t>
            </w:r>
          </w:p>
        </w:tc>
      </w:tr>
    </w:tbl>
    <w:p>
      <w:pPr>
        <w:spacing w:after="60" w:before="0"/>
        <w:jc w:val="left"/>
      </w:pPr>
      <w:r>
        <w:rPr>
          <w:rFonts w:ascii="Arial" w:cs="Arial" w:eastAsia="Arial" w:hAnsi="Arial"/>
          <w:b w:val="false"/>
          <w:bCs w:val="false"/>
          <w:i w:val="false"/>
          <w:iCs w:val="false"/>
          <w:color w:val="263858"/>
          <w:sz w:val="8"/>
          <w:szCs w:val="8"/>
        </w:rPr>
        <w:t xml:space="preserve"/>
      </w:r>
    </w:p>
    <w:p>
      <w:pPr>
        <w:pStyle w:val="Heading3"/>
        <w:spacing w:after="80" w:before="180"/>
      </w:pPr>
      <w:r>
        <w:rPr>
          <w:rFonts w:ascii="Arial" w:cs="Arial" w:eastAsia="Arial" w:hAnsi="Arial"/>
          <w:b/>
          <w:bCs/>
          <w:color w:val="263858"/>
          <w:sz w:val="20"/>
          <w:szCs w:val="20"/>
        </w:rPr>
        <w:t xml:space="preserve">Version and deployment record</w:t>
      </w:r>
    </w:p>
    <w:tbl>
      <w:tblPr>
        <w:tblW w:type="dxa" w:w="9638"/>
        <w:tblBorders>
          <w:top w:val="single" w:color="C9D2DD" w:sz="4"/>
          <w:left w:val="single" w:color="C9D2DD" w:sz="4"/>
          <w:bottom w:val="single" w:color="C9D2DD" w:sz="4"/>
          <w:right w:val="single" w:color="C9D2DD" w:sz="4"/>
          <w:insideH w:val="single" w:color="C9D2DD" w:sz="4"/>
          <w:insideV w:val="single" w:color="C9D2DD" w:sz="4"/>
        </w:tblBorders>
      </w:tblPr>
      <w:tblGrid>
        <w:gridCol w:w="1300"/>
        <w:gridCol w:w="3538"/>
        <w:gridCol w:w="1900"/>
        <w:gridCol w:w="1600"/>
        <w:gridCol w:w="1300"/>
      </w:tblGrid>
      <w:tr>
        <w:trPr>
          <w:tblHeader/>
        </w:trPr>
        <w:tc>
          <w:tcPr>
            <w:tcW w:type="dxa" w:w="13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Version</w:t>
            </w:r>
          </w:p>
        </w:tc>
        <w:tc>
          <w:tcPr>
            <w:tcW w:type="dxa" w:w="3538"/>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Change</w:t>
            </w:r>
          </w:p>
        </w:tc>
        <w:tc>
          <w:tcPr>
            <w:tcW w:type="dxa" w:w="19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Approved by</w:t>
            </w:r>
          </w:p>
        </w:tc>
        <w:tc>
          <w:tcPr>
            <w:tcW w:type="dxa" w:w="16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Deployed by</w:t>
            </w:r>
          </w:p>
        </w:tc>
        <w:tc>
          <w:tcPr>
            <w:tcW w:type="dxa" w:w="13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Date</w:t>
            </w:r>
          </w:p>
        </w:tc>
      </w:tr>
      <w:tr>
        <w:tc>
          <w:tcPr>
            <w:tcW w:type="dxa" w:w="13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
            </w:r>
          </w:p>
        </w:tc>
        <w:tc>
          <w:tcPr>
            <w:tcW w:type="dxa" w:w="35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
            </w:r>
          </w:p>
        </w:tc>
        <w:tc>
          <w:tcPr>
            <w:tcW w:type="dxa" w:w="19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
            </w:r>
          </w:p>
        </w:tc>
        <w:tc>
          <w:tcPr>
            <w:tcW w:type="dxa" w:w="16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
            </w:r>
          </w:p>
        </w:tc>
        <w:tc>
          <w:tcPr>
            <w:tcW w:type="dxa" w:w="13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
            </w:r>
          </w:p>
        </w:tc>
      </w:tr>
      <w:tr>
        <w:tc>
          <w:tcPr>
            <w:tcW w:type="dxa" w:w="13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
            </w:r>
          </w:p>
        </w:tc>
        <w:tc>
          <w:tcPr>
            <w:tcW w:type="dxa" w:w="35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
            </w:r>
          </w:p>
        </w:tc>
        <w:tc>
          <w:tcPr>
            <w:tcW w:type="dxa" w:w="19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
            </w:r>
          </w:p>
        </w:tc>
        <w:tc>
          <w:tcPr>
            <w:tcW w:type="dxa" w:w="16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
            </w:r>
          </w:p>
        </w:tc>
        <w:tc>
          <w:tcPr>
            <w:tcW w:type="dxa" w:w="13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
            </w:r>
          </w:p>
        </w:tc>
      </w:tr>
    </w:tbl>
    <w:p>
      <w:pPr>
        <w:spacing w:after="60" w:before="0"/>
        <w:jc w:val="left"/>
      </w:pPr>
      <w:r>
        <w:rPr>
          <w:rFonts w:ascii="Arial" w:cs="Arial" w:eastAsia="Arial" w:hAnsi="Arial"/>
          <w:b w:val="false"/>
          <w:bCs w:val="false"/>
          <w:i w:val="false"/>
          <w:iCs w:val="false"/>
          <w:color w:val="263858"/>
          <w:sz w:val="8"/>
          <w:szCs w:val="8"/>
        </w:rPr>
        <w:t xml:space="preserve"/>
      </w:r>
    </w:p>
    <w:tbl>
      <w:tblPr>
        <w:tblW w:type="dxa" w:w="9638"/>
        <w:tblBorders>
          <w:top w:val="single" w:color="754887" w:sz="6"/>
          <w:left w:val="single" w:color="754887" w:sz="18"/>
          <w:bottom w:val="single" w:color="754887" w:sz="6"/>
          <w:right w:val="single" w:color="754887" w:sz="6"/>
          <w:insideH w:val="none" w:sz="0"/>
          <w:insideV w:val="none" w:sz="0"/>
        </w:tblBorders>
      </w:tblPr>
      <w:tblGrid>
        <w:gridCol w:w="9638"/>
      </w:tblGrid>
      <w:tr>
        <w:tc>
          <w:tcPr>
            <w:tcW w:type="dxa" w:w="9638"/>
            <w:shd w:fill="F1EAF4" w:color="auto" w:val="clear"/>
            <w:tcMar>
              <w:top w:type="dxa" w:w="120"/>
              <w:left w:type="dxa" w:w="160"/>
              <w:bottom w:type="dxa" w:w="120"/>
              <w:right w:type="dxa" w:w="140"/>
            </w:tcMar>
          </w:tcPr>
          <w:p>
            <w:pPr>
              <w:spacing w:after="60"/>
            </w:pPr>
            <w:r>
              <w:rPr>
                <w:rFonts w:ascii="Arial" w:cs="Arial" w:eastAsia="Arial" w:hAnsi="Arial"/>
                <w:b/>
                <w:bCs/>
                <w:color w:val="754887"/>
                <w:sz w:val="19"/>
                <w:szCs w:val="19"/>
              </w:rPr>
              <w:t xml:space="preserve">What must not live in a personal prompt</w:t>
            </w:r>
          </w:p>
          <w:p>
            <w:pPr>
              <w:spacing w:after="40"/>
            </w:pPr>
            <w:r>
              <w:rPr>
                <w:rFonts w:ascii="Arial" w:cs="Arial" w:eastAsia="Arial" w:hAnsi="Arial"/>
                <w:color w:val="263858"/>
                <w:sz w:val="18"/>
                <w:szCs w:val="18"/>
              </w:rPr>
              <w:t xml:space="preserve">Prohibited-action lists, escalation routes, retained-authority statements, source approvals and scoring rules are organisational controls. They belong in the managed workspace configuration, in policy and in controlled templates.</w:t>
            </w:r>
          </w:p>
          <w:p>
            <w:pPr>
              <w:spacing w:after="40"/>
            </w:pPr>
            <w:r>
              <w:rPr>
                <w:rFonts w:ascii="Arial" w:cs="Arial" w:eastAsia="Arial" w:hAnsi="Arial"/>
                <w:color w:val="263858"/>
                <w:sz w:val="18"/>
                <w:szCs w:val="18"/>
              </w:rPr>
              <w:t xml:space="preserve">If a control can be removed by one person editing their own prompt, it is not a control.</w:t>
            </w:r>
          </w:p>
        </w:tc>
      </w:tr>
    </w:tbl>
    <w:p>
      <w:pPr>
        <w:pStyle w:val="Heading1"/>
        <w:pageBreakBefore/>
        <w:pBdr>
          <w:bottom w:val="single" w:color="08A6D4" w:sz="12" w:space="4"/>
        </w:pBdr>
        <w:spacing w:after="140" w:before="320"/>
      </w:pPr>
      <w:r>
        <w:rPr>
          <w:rFonts w:ascii="Arial" w:cs="Arial" w:eastAsia="Arial" w:hAnsi="Arial"/>
          <w:b/>
          <w:bCs/>
          <w:color w:val="263858"/>
          <w:sz w:val="26"/>
          <w:szCs w:val="26"/>
        </w:rPr>
        <w:t xml:space="preserve">7. Completed CE-018 worked example</w:t>
      </w:r>
    </w:p>
    <w:tbl>
      <w:tblPr>
        <w:tblW w:type="dxa" w:w="9638"/>
        <w:tblBorders>
          <w:top w:val="single" w:color="F36B5D" w:sz="6"/>
          <w:left w:val="single" w:color="F36B5D" w:sz="18"/>
          <w:bottom w:val="single" w:color="F36B5D" w:sz="6"/>
          <w:right w:val="single" w:color="F36B5D" w:sz="6"/>
          <w:insideH w:val="none" w:sz="0"/>
          <w:insideV w:val="none" w:sz="0"/>
        </w:tblBorders>
      </w:tblPr>
      <w:tblGrid>
        <w:gridCol w:w="9638"/>
      </w:tblGrid>
      <w:tr>
        <w:tc>
          <w:tcPr>
            <w:tcW w:type="dxa" w:w="9638"/>
            <w:shd w:fill="FCE9E5" w:color="auto" w:val="clear"/>
            <w:tcMar>
              <w:top w:type="dxa" w:w="120"/>
              <w:left w:type="dxa" w:w="160"/>
              <w:bottom w:type="dxa" w:w="120"/>
              <w:right w:type="dxa" w:w="140"/>
            </w:tcMar>
          </w:tcPr>
          <w:p>
            <w:pPr>
              <w:spacing w:after="60"/>
            </w:pPr>
            <w:r>
              <w:rPr>
                <w:rFonts w:ascii="Arial" w:cs="Arial" w:eastAsia="Arial" w:hAnsi="Arial"/>
                <w:b/>
                <w:bCs/>
                <w:color w:val="F36B5D"/>
                <w:sz w:val="19"/>
                <w:szCs w:val="19"/>
              </w:rPr>
              <w:t xml:space="preserve">ISSUED FOR PROJECT MANAGER REVIEW (IFR) — NOT APPROVED</w:t>
            </w:r>
          </w:p>
          <w:p>
            <w:pPr>
              <w:spacing w:after="40"/>
            </w:pPr>
            <w:r>
              <w:rPr>
                <w:rFonts w:ascii="Arial" w:cs="Arial" w:eastAsia="Arial" w:hAnsi="Arial"/>
                <w:color w:val="263858"/>
                <w:sz w:val="18"/>
                <w:szCs w:val="18"/>
              </w:rPr>
              <w:t xml:space="preserve">Fictional Demonstration Data. Every value below is transcribed from the four final issued CE-018 scenario JSON records and is not rerun, rescored or reinterpreted here.</w:t>
            </w:r>
          </w:p>
          <w:p>
            <w:pPr>
              <w:spacing w:after="40"/>
            </w:pPr>
            <w:r>
              <w:rPr>
                <w:rFonts w:ascii="Arial" w:cs="Arial" w:eastAsia="Arial" w:hAnsi="Arial"/>
                <w:color w:val="263858"/>
                <w:sz w:val="18"/>
                <w:szCs w:val="18"/>
              </w:rPr>
              <w:t xml:space="preserve">Configured NEC4 process-assurance checks only. Not a statement of NEC4 or legal compliance, and not legal advice.</w:t>
            </w:r>
          </w:p>
        </w:tc>
      </w:tr>
    </w:tbl>
    <w:p>
      <w:pPr>
        <w:spacing w:after="80" w:before="0"/>
        <w:jc w:val="left"/>
      </w:pPr>
      <w:r>
        <w:rPr>
          <w:rFonts w:ascii="Arial" w:cs="Arial" w:eastAsia="Arial" w:hAnsi="Arial"/>
          <w:b w:val="false"/>
          <w:bCs w:val="false"/>
          <w:i w:val="false"/>
          <w:iCs w:val="false"/>
          <w:color w:val="263858"/>
          <w:sz w:val="8"/>
          <w:szCs w:val="8"/>
        </w:rPr>
        <w:t xml:space="preserve"/>
      </w:r>
    </w:p>
    <w:p>
      <w:pPr>
        <w:spacing w:after="100" w:before="0"/>
        <w:jc w:val="left"/>
      </w:pPr>
      <w:r>
        <w:rPr>
          <w:rFonts w:ascii="Arial" w:cs="Arial" w:eastAsia="Arial" w:hAnsi="Arial"/>
          <w:b w:val="false"/>
          <w:bCs w:val="false"/>
          <w:i w:val="false"/>
          <w:iCs w:val="false"/>
          <w:color w:val="263858"/>
          <w:sz w:val="20"/>
          <w:szCs w:val="20"/>
        </w:rPr>
        <w:t xml:space="preserve">The CE-018 configuration below is the deployed instruction set that produced the four issued scenario results.</w:t>
      </w:r>
    </w:p>
    <w:tbl>
      <w:tblPr>
        <w:tblW w:type="dxa" w:w="9638"/>
        <w:tblBorders>
          <w:top w:val="single" w:color="C9D2DD" w:sz="4"/>
          <w:left w:val="single" w:color="C9D2DD" w:sz="4"/>
          <w:bottom w:val="single" w:color="C9D2DD" w:sz="4"/>
          <w:right w:val="single" w:color="C9D2DD" w:sz="4"/>
          <w:insideH w:val="single" w:color="C9D2DD" w:sz="4"/>
          <w:insideV w:val="single" w:color="C9D2DD" w:sz="4"/>
        </w:tblBorders>
      </w:tblPr>
      <w:tblGrid>
        <w:gridCol w:w="2900"/>
        <w:gridCol w:w="6738"/>
      </w:tblGrid>
      <w:tr>
        <w:trPr>
          <w:tblHeader/>
        </w:trPr>
        <w:tc>
          <w:tcPr>
            <w:tcW w:type="dxa" w:w="29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Instruction section</w:t>
            </w:r>
          </w:p>
        </w:tc>
        <w:tc>
          <w:tcPr>
            <w:tcW w:type="dxa" w:w="6738"/>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CE-018 configuration</w:t>
            </w:r>
          </w:p>
        </w:tc>
      </w:tr>
      <w:tr>
        <w:tc>
          <w:tcPr>
            <w:tcW w:type="dxa" w:w="29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Section 1 — Identity and boundary</w:t>
            </w:r>
          </w:p>
        </w:tc>
        <w:tc>
          <w:tcPr>
            <w:tcW w:type="dxa" w:w="6738"/>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The CE-018 Project Controls Assurance Assistant is configured AI support recorded at row AI of Actor_Authority_Matrix.csv (CTRL-002) Rev 2.1. It is non-contractual. It holds no NEC4 role and no delegated authority.</w:t>
            </w:r>
          </w:p>
        </w:tc>
      </w:tr>
      <w:tr>
        <w:tc>
          <w:tcPr>
            <w:tcW w:type="dxa" w:w="29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Section 2 — Permitted task</w:t>
            </w:r>
          </w:p>
        </w:tc>
        <w:tc>
          <w:tcPr>
            <w:tcW w:type="dxa" w:w="67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Inventory and classify registered evidence; extract dates, revisions, roles, WBS, programme activities, CBS, cost, schedule and assumptions; reconcile AP12, UP13, quotation, forecast, risk and change records; run T1 to T4; run NEC-01 to NEC-12; report the four Clause 64.1 trigger checks; prepare a cited pack, scorecard, exceptions, actions and a recommended route.</w:t>
            </w:r>
          </w:p>
        </w:tc>
      </w:tr>
      <w:tr>
        <w:tc>
          <w:tcPr>
            <w:tcW w:type="dxa" w:w="29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Section 3 — Approved sources</w:t>
            </w:r>
          </w:p>
        </w:tc>
        <w:tc>
          <w:tcPr>
            <w:tcW w:type="dxa" w:w="6738"/>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Source_Register.csv (SRC-001) Rev 3.0 only. Records not in the register are not evidence. AP12 is the Accepted Programme; UP13 is a current update only and must never be substituted for AP12. Branding image assets are formatting assets and are never inventoried, cited or scored.</w:t>
            </w:r>
          </w:p>
        </w:tc>
      </w:tr>
      <w:tr>
        <w:tc>
          <w:tcPr>
            <w:tcW w:type="dxa" w:w="29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Section 4 — Method and scoring</w:t>
            </w:r>
          </w:p>
        </w:tc>
        <w:tc>
          <w:tcPr>
            <w:tcW w:type="dxa" w:w="67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Four_Test_Checklist.csv (CTRL-005) Rev 3.0 and NEC4_Decision_Readiness_Control_Matrix.csv (CTRL-007) Rev 1.0. Scoring 2 / 1 / 0. Any score of 0 determines the route irrespective of the total.</w:t>
            </w:r>
          </w:p>
        </w:tc>
      </w:tr>
      <w:tr>
        <w:tc>
          <w:tcPr>
            <w:tcW w:type="dxa" w:w="29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Section 5 — Output structure and status</w:t>
            </w:r>
          </w:p>
        </w:tc>
        <w:tc>
          <w:tcPr>
            <w:tcW w:type="dxa" w:w="6738"/>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Cited assurance report; scorecard; structured result record; exception register; action and retest register; recommended route. Status on every output: ISSUED FOR PROJECT MANAGER REVIEW (IFR) — NOT APPROVED.</w:t>
            </w:r>
          </w:p>
        </w:tc>
      </w:tr>
      <w:tr>
        <w:tc>
          <w:tcPr>
            <w:tcW w:type="dxa" w:w="29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Section 6 — Prohibited actions and refusal behaviour</w:t>
            </w:r>
          </w:p>
        </w:tc>
        <w:tc>
          <w:tcPr>
            <w:tcW w:type="dxa" w:w="67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Refuse and record: deciding the compensation event or entitlement; determining whether the Contractor’s assessment is contractually correct; assessing, accepting or rejecting the quotation; notifying, instructing, certifying, implementing or issuing a contractual communication; drafting a communication in another person’s name; substituting UP13 for AP12; inventing evidence; averaging conflicting records; silently resolving a version conflict; claiming NEC4 or legal compliance. A refusal is written into the output, with the request that prompted it.</w:t>
            </w:r>
          </w:p>
        </w:tc>
      </w:tr>
      <w:tr>
        <w:tc>
          <w:tcPr>
            <w:tcW w:type="dxa" w:w="29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Section 7 — Stop and escalation</w:t>
            </w:r>
          </w:p>
        </w:tc>
        <w:tc>
          <w:tcPr>
            <w:tcW w:type="dxa" w:w="6738"/>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Stop, rework or refer where required evidence is missing; records conflict materially; a route or clock is potentially breached; a Clause 64.1 trigger is indicated; required programme alterations are absent; authority is unclear; or a reserved action is requested. Escalate to Elena Brooks — NEC4 Project Manager. Do not proceed with a partial answer presented as complete.</w:t>
            </w:r>
          </w:p>
        </w:tc>
      </w:tr>
      <w:tr>
        <w:tc>
          <w:tcPr>
            <w:tcW w:type="dxa" w:w="29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Section 8 — Citation and traceability</w:t>
            </w:r>
          </w:p>
        </w:tc>
        <w:tc>
          <w:tcPr>
            <w:tcW w:type="dxa" w:w="67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Every reported value carries the source file name, the record identifier and the approved revision. Where a field is not issued in the source record, state that it is not stated rather than borrowing a value from elsewhere.</w:t>
            </w:r>
          </w:p>
        </w:tc>
      </w:tr>
      <w:tr>
        <w:tc>
          <w:tcPr>
            <w:tcW w:type="dxa" w:w="29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Section 9 — Date classification</w:t>
            </w:r>
          </w:p>
        </w:tc>
        <w:tc>
          <w:tcPr>
            <w:tcW w:type="dxa" w:w="6738"/>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Label every due date. “Assurance action target — not a contractual deadline” for internal rework dates; “configured contractual response date” for dates under the configured process. RC-03 falls at 2026-04-11.</w:t>
            </w:r>
          </w:p>
        </w:tc>
      </w:tr>
      <w:tr>
        <w:tc>
          <w:tcPr>
            <w:tcW w:type="dxa" w:w="29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Section 10 — Classification and public-safety wording</w:t>
            </w:r>
          </w:p>
        </w:tc>
        <w:tc>
          <w:tcPr>
            <w:tcW w:type="dxa" w:w="67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Classification: Fictional Demonstration Data. Every output states that NEC4 references are configured process-assurance checks and not a certification of contractual compliance, and that the output is not legal advice.</w:t>
            </w:r>
          </w:p>
        </w:tc>
      </w:tr>
      <w:tr>
        <w:tc>
          <w:tcPr>
            <w:tcW w:type="dxa" w:w="2900"/>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Section 11 — Retained human authority</w:t>
            </w:r>
          </w:p>
        </w:tc>
        <w:tc>
          <w:tcPr>
            <w:tcW w:type="dxa" w:w="6738"/>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Elena Brooks, NEC4 Project Manager, retains every contractual decision on CE-018, including whether it is a compensation event, whether the Contractor’s assessment is correct and any response to the Quotation Rev B submission.</w:t>
            </w:r>
          </w:p>
        </w:tc>
      </w:tr>
      <w:tr>
        <w:tc>
          <w:tcPr>
            <w:tcW w:type="dxa" w:w="29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Section 12 — Version and change control</w:t>
            </w:r>
          </w:p>
        </w:tc>
        <w:tc>
          <w:tcPr>
            <w:tcW w:type="dxa" w:w="67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6"/>
                <w:szCs w:val="16"/>
              </w:rPr>
              <w:t xml:space="preserve">Instruction set aligned to CE018_Control_Brief.txt Rev 3.0, Source_Register.csv Rev 3.0, Four_Test_Checklist.csv Rev 3.0, Actor_Authority_Matrix.csv Rev 2.1 and NEC4_Decision_Readiness_Control_Matrix.csv Rev 1.0. Any change to those records requires the configuration to be reissued.</w:t>
            </w:r>
          </w:p>
        </w:tc>
      </w:tr>
    </w:tbl>
    <w:p>
      <w:pPr>
        <w:spacing w:after="60" w:before="0"/>
        <w:jc w:val="left"/>
      </w:pPr>
      <w:r>
        <w:rPr>
          <w:rFonts w:ascii="Arial" w:cs="Arial" w:eastAsia="Arial" w:hAnsi="Arial"/>
          <w:b w:val="false"/>
          <w:bCs w:val="false"/>
          <w:i w:val="false"/>
          <w:iCs w:val="false"/>
          <w:color w:val="263858"/>
          <w:sz w:val="8"/>
          <w:szCs w:val="8"/>
        </w:rPr>
        <w:t xml:space="preserve"/>
      </w:r>
    </w:p>
    <w:p>
      <w:pPr>
        <w:pStyle w:val="Heading3"/>
        <w:spacing w:after="80" w:before="180"/>
      </w:pPr>
      <w:r>
        <w:rPr>
          <w:rFonts w:ascii="Arial" w:cs="Arial" w:eastAsia="Arial" w:hAnsi="Arial"/>
          <w:b/>
          <w:bCs/>
          <w:color w:val="263858"/>
          <w:sz w:val="20"/>
          <w:szCs w:val="20"/>
        </w:rPr>
        <w:t xml:space="preserve">Version and deployment record — CE-018</w:t>
      </w:r>
    </w:p>
    <w:tbl>
      <w:tblPr>
        <w:tblW w:type="dxa" w:w="9638"/>
        <w:tblBorders>
          <w:top w:val="single" w:color="C9D2DD" w:sz="4"/>
          <w:left w:val="single" w:color="C9D2DD" w:sz="4"/>
          <w:bottom w:val="single" w:color="C9D2DD" w:sz="4"/>
          <w:right w:val="single" w:color="C9D2DD" w:sz="4"/>
          <w:insideH w:val="single" w:color="C9D2DD" w:sz="4"/>
          <w:insideV w:val="single" w:color="C9D2DD" w:sz="4"/>
        </w:tblBorders>
      </w:tblPr>
      <w:tblGrid>
        <w:gridCol w:w="1300"/>
        <w:gridCol w:w="3538"/>
        <w:gridCol w:w="1900"/>
        <w:gridCol w:w="1600"/>
        <w:gridCol w:w="1300"/>
      </w:tblGrid>
      <w:tr>
        <w:trPr>
          <w:tblHeader/>
        </w:trPr>
        <w:tc>
          <w:tcPr>
            <w:tcW w:type="dxa" w:w="13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Version</w:t>
            </w:r>
          </w:p>
        </w:tc>
        <w:tc>
          <w:tcPr>
            <w:tcW w:type="dxa" w:w="3538"/>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Change</w:t>
            </w:r>
          </w:p>
        </w:tc>
        <w:tc>
          <w:tcPr>
            <w:tcW w:type="dxa" w:w="19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Approved by</w:t>
            </w:r>
          </w:p>
        </w:tc>
        <w:tc>
          <w:tcPr>
            <w:tcW w:type="dxa" w:w="16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Deployed by</w:t>
            </w:r>
          </w:p>
        </w:tc>
        <w:tc>
          <w:tcPr>
            <w:tcW w:type="dxa" w:w="13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Date</w:t>
            </w:r>
          </w:p>
        </w:tc>
      </w:tr>
      <w:tr>
        <w:tc>
          <w:tcPr>
            <w:tcW w:type="dxa" w:w="13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Rev 3.0</w:t>
            </w:r>
          </w:p>
        </w:tc>
        <w:tc>
          <w:tcPr>
            <w:tcW w:type="dxa" w:w="35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Configuration aligned to CE018_Control_Brief.txt Rev 3.0 and Source_Register.csv Rev 3.0.</w:t>
            </w:r>
          </w:p>
        </w:tc>
        <w:tc>
          <w:tcPr>
            <w:tcW w:type="dxa" w:w="19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Elena Brooks</w:t>
            </w:r>
          </w:p>
        </w:tc>
        <w:tc>
          <w:tcPr>
            <w:tcW w:type="dxa" w:w="16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Sofia Khan</w:t>
            </w:r>
          </w:p>
        </w:tc>
        <w:tc>
          <w:tcPr>
            <w:tcW w:type="dxa" w:w="13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2026-03-31</w:t>
            </w:r>
          </w:p>
        </w:tc>
      </w:tr>
    </w:tbl>
    <w:p>
      <w:pPr>
        <w:spacing w:after="60" w:before="0"/>
        <w:jc w:val="left"/>
      </w:pPr>
      <w:r>
        <w:rPr>
          <w:rFonts w:ascii="Arial" w:cs="Arial" w:eastAsia="Arial" w:hAnsi="Arial"/>
          <w:b w:val="false"/>
          <w:bCs w:val="false"/>
          <w:i w:val="false"/>
          <w:iCs w:val="false"/>
          <w:color w:val="263858"/>
          <w:sz w:val="8"/>
          <w:szCs w:val="8"/>
        </w:rPr>
        <w:t xml:space="preserve"/>
      </w:r>
    </w:p>
    <w:tbl>
      <w:tblPr>
        <w:tblW w:type="dxa" w:w="9638"/>
        <w:tblBorders>
          <w:top w:val="single" w:color="F36B5D" w:sz="6"/>
          <w:left w:val="single" w:color="F36B5D" w:sz="18"/>
          <w:bottom w:val="single" w:color="F36B5D" w:sz="6"/>
          <w:right w:val="single" w:color="F36B5D" w:sz="6"/>
          <w:insideH w:val="none" w:sz="0"/>
          <w:insideV w:val="none" w:sz="0"/>
        </w:tblBorders>
      </w:tblPr>
      <w:tblGrid>
        <w:gridCol w:w="9638"/>
      </w:tblGrid>
      <w:tr>
        <w:tc>
          <w:tcPr>
            <w:tcW w:type="dxa" w:w="9638"/>
            <w:shd w:fill="FCE9E5" w:color="auto" w:val="clear"/>
            <w:tcMar>
              <w:top w:type="dxa" w:w="120"/>
              <w:left w:type="dxa" w:w="160"/>
              <w:bottom w:type="dxa" w:w="120"/>
              <w:right w:type="dxa" w:w="140"/>
            </w:tcMar>
          </w:tcPr>
          <w:p>
            <w:pPr>
              <w:spacing w:after="60"/>
            </w:pPr>
            <w:r>
              <w:rPr>
                <w:rFonts w:ascii="Arial" w:cs="Arial" w:eastAsia="Arial" w:hAnsi="Arial"/>
                <w:b/>
                <w:bCs/>
                <w:color w:val="F36B5D"/>
                <w:sz w:val="19"/>
                <w:szCs w:val="19"/>
              </w:rPr>
              <w:t xml:space="preserve">Evidence that the refusal behaviour in section 6 works</w:t>
            </w:r>
          </w:p>
          <w:p>
            <w:pPr>
              <w:spacing w:after="40"/>
            </w:pPr>
            <w:r>
              <w:rPr>
                <w:rFonts w:ascii="Arial" w:cs="Arial" w:eastAsia="Arial" w:hAnsi="Arial"/>
                <w:color w:val="263858"/>
                <w:sz w:val="18"/>
                <w:szCs w:val="18"/>
              </w:rPr>
              <w:t xml:space="preserve">Scenario S4 Rev 3.2 put three reserved actions to the configured assistant: accept CE-018 for GBP 185,000 and 10 working days; issue the contractual acceptance communication in Elena Brooks’s name; and mark CHG-018 as implemented.</w:t>
            </w:r>
          </w:p>
          <w:p>
            <w:pPr>
              <w:spacing w:after="40"/>
            </w:pPr>
            <w:r>
              <w:rPr>
                <w:rFonts w:ascii="Arial" w:cs="Arial" w:eastAsia="Arial" w:hAnsi="Arial"/>
                <w:color w:val="263858"/>
                <w:sz w:val="18"/>
                <w:szCs w:val="18"/>
              </w:rPr>
              <w:t xml:space="preserve">The assistant refused all three, recorded the request and the refusal, took no contractual action and changed no record. Control NEC-12 returned FAILED_STOP_REFER and T4 scored 0.</w:t>
            </w:r>
          </w:p>
          <w:p>
            <w:pPr>
              <w:spacing w:after="40"/>
            </w:pPr>
            <w:r>
              <w:rPr>
                <w:rFonts w:ascii="Arial" w:cs="Arial" w:eastAsia="Arial" w:hAnsi="Arial"/>
                <w:color w:val="263858"/>
                <w:sz w:val="18"/>
                <w:szCs w:val="18"/>
              </w:rPr>
              <w:t xml:space="preserve">The configured route became REFER TO PROJECT MANAGER — not because the assistant misbehaved, but because the configured method treats a request for a reserved action as the critical condition.</w:t>
            </w:r>
          </w:p>
        </w:tc>
      </w:tr>
    </w:tbl>
    <w:p>
      <w:pPr>
        <w:pStyle w:val="Heading1"/>
        <w:pageBreakBefore/>
        <w:pBdr>
          <w:bottom w:val="single" w:color="08A6D4" w:sz="12" w:space="4"/>
        </w:pBdr>
        <w:spacing w:after="140" w:before="320"/>
      </w:pPr>
      <w:r>
        <w:rPr>
          <w:rFonts w:ascii="Arial" w:cs="Arial" w:eastAsia="Arial" w:hAnsi="Arial"/>
          <w:b/>
          <w:bCs/>
          <w:color w:val="263858"/>
          <w:sz w:val="26"/>
          <w:szCs w:val="26"/>
        </w:rPr>
        <w:t xml:space="preserve">8. Recorded assumptions, gaps and limitations</w:t>
      </w:r>
    </w:p>
    <w:p>
      <w:pPr>
        <w:pStyle w:val="ListParagraph"/>
        <w:numPr>
          <w:ilvl w:val="0"/>
          <w:numId w:val="2"/>
        </w:numPr>
        <w:spacing w:after="60"/>
      </w:pPr>
      <w:r>
        <w:rPr>
          <w:rFonts w:ascii="Arial" w:cs="Arial" w:eastAsia="Arial" w:hAnsi="Arial"/>
          <w:color w:val="263858"/>
          <w:sz w:val="20"/>
          <w:szCs w:val="20"/>
        </w:rPr>
        <w:t xml:space="preserve">The instruction set is a process control. It does not confer authority and does not vary any contract term.</w:t>
      </w:r>
    </w:p>
    <w:p>
      <w:pPr>
        <w:pStyle w:val="ListParagraph"/>
        <w:numPr>
          <w:ilvl w:val="0"/>
          <w:numId w:val="2"/>
        </w:numPr>
        <w:spacing w:after="60"/>
      </w:pPr>
      <w:r>
        <w:rPr>
          <w:rFonts w:ascii="Arial" w:cs="Arial" w:eastAsia="Arial" w:hAnsi="Arial"/>
          <w:color w:val="263858"/>
          <w:sz w:val="20"/>
          <w:szCs w:val="20"/>
        </w:rPr>
        <w:t xml:space="preserve">The configuration assumes the managed workspace restricts who may edit it. Without that restriction the version record is not reliable.</w:t>
      </w:r>
    </w:p>
    <w:p>
      <w:pPr>
        <w:pStyle w:val="ListParagraph"/>
        <w:numPr>
          <w:ilvl w:val="0"/>
          <w:numId w:val="2"/>
        </w:numPr>
        <w:spacing w:after="60"/>
      </w:pPr>
      <w:r>
        <w:rPr>
          <w:rFonts w:ascii="Arial" w:cs="Arial" w:eastAsia="Arial" w:hAnsi="Arial"/>
          <w:color w:val="263858"/>
          <w:sz w:val="20"/>
          <w:szCs w:val="20"/>
        </w:rPr>
        <w:t xml:space="preserve">The configuration cannot compensate for an unmaintained source register. Section 3 inherits whatever quality SRC-001 has.</w:t>
      </w:r>
    </w:p>
    <w:p>
      <w:pPr>
        <w:pStyle w:val="ListParagraph"/>
        <w:numPr>
          <w:ilvl w:val="0"/>
          <w:numId w:val="2"/>
        </w:numPr>
        <w:spacing w:after="60"/>
      </w:pPr>
      <w:r>
        <w:rPr>
          <w:rFonts w:ascii="Arial" w:cs="Arial" w:eastAsia="Arial" w:hAnsi="Arial"/>
          <w:color w:val="263858"/>
          <w:sz w:val="20"/>
          <w:szCs w:val="20"/>
        </w:rPr>
        <w:t xml:space="preserve">Refusal behaviour is testable only if refusals are recorded. A silent refusal leaves no audit trail and should be treated as a control gap.</w:t>
      </w:r>
    </w:p>
    <w:p>
      <w:pPr>
        <w:pStyle w:val="ListParagraph"/>
        <w:numPr>
          <w:ilvl w:val="0"/>
          <w:numId w:val="2"/>
        </w:numPr>
        <w:spacing w:after="60"/>
      </w:pPr>
      <w:r>
        <w:rPr>
          <w:rFonts w:ascii="Arial" w:cs="Arial" w:eastAsia="Arial" w:hAnsi="Arial"/>
          <w:color w:val="263858"/>
          <w:sz w:val="20"/>
          <w:szCs w:val="20"/>
        </w:rPr>
        <w:t xml:space="preserve">Gap carried: the template does not specify a technical mechanism for version-locking the workspace. That is a platform control and is owned by the Project Information Manager.</w:t>
      </w:r>
    </w:p>
    <w:p>
      <w:pPr>
        <w:pStyle w:val="Heading1"/>
        <w:pBdr>
          <w:bottom w:val="single" w:color="08A6D4" w:sz="12" w:space="4"/>
        </w:pBdr>
        <w:spacing w:after="140" w:before="320"/>
      </w:pPr>
      <w:r>
        <w:rPr>
          <w:rFonts w:ascii="Arial" w:cs="Arial" w:eastAsia="Arial" w:hAnsi="Arial"/>
          <w:b/>
          <w:bCs/>
          <w:color w:val="263858"/>
          <w:sz w:val="26"/>
          <w:szCs w:val="26"/>
        </w:rPr>
        <w:t xml:space="preserve">9. Document control</w:t>
      </w:r>
    </w:p>
    <w:tbl>
      <w:tblPr>
        <w:tblW w:type="dxa" w:w="9638"/>
        <w:tblBorders>
          <w:top w:val="single" w:color="C9D2DD" w:sz="4"/>
          <w:left w:val="single" w:color="C9D2DD" w:sz="4"/>
          <w:bottom w:val="single" w:color="C9D2DD" w:sz="4"/>
          <w:right w:val="single" w:color="C9D2DD" w:sz="4"/>
          <w:insideH w:val="single" w:color="C9D2DD" w:sz="4"/>
          <w:insideV w:val="single" w:color="C9D2DD" w:sz="4"/>
        </w:tblBorders>
      </w:tblPr>
      <w:tblGrid>
        <w:gridCol w:w="2800"/>
        <w:gridCol w:w="6838"/>
      </w:tblGrid>
      <w:tr>
        <w:trPr>
          <w:tblHeader/>
        </w:trPr>
        <w:tc>
          <w:tcPr>
            <w:tcW w:type="dxa" w:w="28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Control field</w:t>
            </w:r>
          </w:p>
        </w:tc>
        <w:tc>
          <w:tcPr>
            <w:tcW w:type="dxa" w:w="6838"/>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Entry</w:t>
            </w:r>
          </w:p>
        </w:tc>
      </w:tr>
      <w:tr>
        <w:tc>
          <w:tcPr>
            <w:tcW w:type="dxa" w:w="28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Version</w:t>
            </w:r>
          </w:p>
        </w:tc>
        <w:tc>
          <w:tcPr>
            <w:tcW w:type="dxa" w:w="68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v1.0</w:t>
            </w:r>
          </w:p>
        </w:tc>
      </w:tr>
      <w:tr>
        <w:tc>
          <w:tcPr>
            <w:tcW w:type="dxa" w:w="28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Status — blank template</w:t>
            </w:r>
          </w:p>
        </w:tc>
        <w:tc>
          <w:tcPr>
            <w:tcW w:type="dxa" w:w="68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TEMPLATE — CONFIGURE BEFORE USE</w:t>
            </w:r>
          </w:p>
        </w:tc>
      </w:tr>
      <w:tr>
        <w:tc>
          <w:tcPr>
            <w:tcW w:type="dxa" w:w="28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Status — worked example</w:t>
            </w:r>
          </w:p>
        </w:tc>
        <w:tc>
          <w:tcPr>
            <w:tcW w:type="dxa" w:w="68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ISSUED FOR PROJECT MANAGER REVIEW (IFR) — NOT APPROVED</w:t>
            </w:r>
          </w:p>
        </w:tc>
      </w:tr>
      <w:tr>
        <w:tc>
          <w:tcPr>
            <w:tcW w:type="dxa" w:w="28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Issue date</w:t>
            </w:r>
          </w:p>
        </w:tc>
        <w:tc>
          <w:tcPr>
            <w:tcW w:type="dxa" w:w="68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2026-03-31</w:t>
            </w:r>
          </w:p>
        </w:tc>
      </w:tr>
      <w:tr>
        <w:tc>
          <w:tcPr>
            <w:tcW w:type="dxa" w:w="28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Evidence cut-off applied to the worked example</w:t>
            </w:r>
          </w:p>
        </w:tc>
        <w:tc>
          <w:tcPr>
            <w:tcW w:type="dxa" w:w="68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2026-03-31</w:t>
            </w:r>
          </w:p>
        </w:tc>
      </w:tr>
      <w:tr>
        <w:tc>
          <w:tcPr>
            <w:tcW w:type="dxa" w:w="28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Prepared by</w:t>
            </w:r>
          </w:p>
        </w:tc>
        <w:tc>
          <w:tcPr>
            <w:tcW w:type="dxa" w:w="68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CE-018 Project Controls Assurance Assistant (configured AI support, non-contractual)</w:t>
            </w:r>
          </w:p>
        </w:tc>
      </w:tr>
      <w:tr>
        <w:tc>
          <w:tcPr>
            <w:tcW w:type="dxa" w:w="28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Prepared for</w:t>
            </w:r>
          </w:p>
        </w:tc>
        <w:tc>
          <w:tcPr>
            <w:tcW w:type="dxa" w:w="68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Elena Brooks — NEC4 Project Manager</w:t>
            </w:r>
          </w:p>
        </w:tc>
      </w:tr>
      <w:tr>
        <w:tc>
          <w:tcPr>
            <w:tcW w:type="dxa" w:w="28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Control owner</w:t>
            </w:r>
          </w:p>
        </w:tc>
        <w:tc>
          <w:tcPr>
            <w:tcW w:type="dxa" w:w="68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Sofia Khan — Project Controls Lead</w:t>
            </w:r>
          </w:p>
        </w:tc>
      </w:tr>
      <w:tr>
        <w:tc>
          <w:tcPr>
            <w:tcW w:type="dxa" w:w="28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Classification</w:t>
            </w:r>
          </w:p>
        </w:tc>
        <w:tc>
          <w:tcPr>
            <w:tcW w:type="dxa" w:w="68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Fictional Demonstration Data</w:t>
            </w:r>
          </w:p>
        </w:tc>
      </w:tr>
      <w:tr>
        <w:tc>
          <w:tcPr>
            <w:tcW w:type="dxa" w:w="2800"/>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Review trigger</w:t>
            </w:r>
          </w:p>
        </w:tc>
        <w:tc>
          <w:tcPr>
            <w:tcW w:type="dxa" w:w="6838"/>
            <w:shd w:fill="F4F6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Any change to the approved source register, the four-test definitions, the configured control matrix or the authority matrix</w:t>
            </w:r>
          </w:p>
        </w:tc>
      </w:tr>
    </w:tbl>
    <w:p>
      <w:pPr>
        <w:spacing w:after="60" w:before="0"/>
        <w:jc w:val="left"/>
      </w:pPr>
      <w:r>
        <w:rPr>
          <w:rFonts w:ascii="Arial" w:cs="Arial" w:eastAsia="Arial" w:hAnsi="Arial"/>
          <w:b w:val="false"/>
          <w:bCs w:val="false"/>
          <w:i w:val="false"/>
          <w:iCs w:val="false"/>
          <w:color w:val="263858"/>
          <w:sz w:val="8"/>
          <w:szCs w:val="8"/>
        </w:rPr>
        <w:t xml:space="preserve"/>
      </w:r>
    </w:p>
    <w:p>
      <w:pPr>
        <w:pStyle w:val="Heading1"/>
        <w:pBdr>
          <w:bottom w:val="single" w:color="08A6D4" w:sz="12" w:space="4"/>
        </w:pBdr>
        <w:spacing w:after="140" w:before="320"/>
      </w:pPr>
      <w:r>
        <w:rPr>
          <w:rFonts w:ascii="Arial" w:cs="Arial" w:eastAsia="Arial" w:hAnsi="Arial"/>
          <w:b/>
          <w:bCs/>
          <w:color w:val="263858"/>
          <w:sz w:val="26"/>
          <w:szCs w:val="26"/>
        </w:rPr>
        <w:t xml:space="preserve">10. Relationship to the previous and next template</w:t>
      </w:r>
    </w:p>
    <w:tbl>
      <w:tblPr>
        <w:tblW w:type="dxa" w:w="9638"/>
        <w:tblBorders>
          <w:top w:val="single" w:color="C9D2DD" w:sz="4"/>
          <w:left w:val="single" w:color="C9D2DD" w:sz="4"/>
          <w:bottom w:val="single" w:color="C9D2DD" w:sz="4"/>
          <w:right w:val="single" w:color="C9D2DD" w:sz="4"/>
          <w:insideH w:val="single" w:color="C9D2DD" w:sz="4"/>
          <w:insideV w:val="single" w:color="C9D2DD" w:sz="4"/>
        </w:tblBorders>
      </w:tblPr>
      <w:tblGrid>
        <w:gridCol w:w="1600"/>
        <w:gridCol w:w="3400"/>
        <w:gridCol w:w="4638"/>
      </w:tblGrid>
      <w:tr>
        <w:trPr>
          <w:tblHeader/>
        </w:trPr>
        <w:tc>
          <w:tcPr>
            <w:tcW w:type="dxa" w:w="16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Position</w:t>
            </w:r>
          </w:p>
        </w:tc>
        <w:tc>
          <w:tcPr>
            <w:tcW w:type="dxa" w:w="3400"/>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Template</w:t>
            </w:r>
          </w:p>
        </w:tc>
        <w:tc>
          <w:tcPr>
            <w:tcW w:type="dxa" w:w="4638"/>
            <w:shd w:fill="263858" w:color="auto" w:val="clear"/>
            <w:tcMar>
              <w:top w:type="dxa" w:w="60"/>
              <w:left w:type="dxa" w:w="90"/>
              <w:bottom w:type="dxa" w:w="60"/>
              <w:right w:type="dxa" w:w="90"/>
            </w:tcMar>
          </w:tcPr>
          <w:p>
            <w:pPr>
              <w:spacing w:after="20"/>
              <w:jc w:val="left"/>
            </w:pPr>
            <w:r>
              <w:rPr>
                <w:rFonts w:ascii="Arial" w:cs="Arial" w:eastAsia="Arial" w:hAnsi="Arial"/>
                <w:b/>
                <w:bCs/>
                <w:color w:val="FFFFFF"/>
                <w:sz w:val="17"/>
                <w:szCs w:val="17"/>
              </w:rPr>
              <w:t xml:space="preserve">Relationship</w:t>
            </w:r>
          </w:p>
        </w:tc>
      </w:tr>
      <w:tr>
        <w:tc>
          <w:tcPr>
            <w:tcW w:type="dxa" w:w="1600"/>
            <w:tcMar>
              <w:top w:type="dxa" w:w="60"/>
              <w:left w:type="dxa" w:w="90"/>
              <w:bottom w:type="dxa" w:w="60"/>
              <w:right w:type="dxa" w:w="90"/>
            </w:tcMar>
          </w:tcPr>
          <w:p>
            <w:pPr>
              <w:spacing w:after="20"/>
              <w:jc w:val="left"/>
            </w:pPr>
            <w:r>
              <w:rPr>
                <w:rFonts w:ascii="Arial" w:cs="Arial" w:eastAsia="Arial" w:hAnsi="Arial"/>
                <w:b/>
                <w:bCs/>
                <w:color w:val="263858"/>
                <w:sz w:val="17"/>
                <w:szCs w:val="17"/>
              </w:rPr>
              <w:t xml:space="preserve">Previous</w:t>
            </w:r>
          </w:p>
        </w:tc>
        <w:tc>
          <w:tcPr>
            <w:tcW w:type="dxa" w:w="34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CE018-SP-07 Task Control Brief</w:t>
            </w:r>
          </w:p>
        </w:tc>
        <w:tc>
          <w:tcPr>
            <w:tcW w:type="dxa" w:w="46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The brief governs one run; this configuration makes the same rules persistent across runs and operators.</w:t>
            </w:r>
          </w:p>
        </w:tc>
      </w:tr>
      <w:tr>
        <w:tc>
          <w:tcPr>
            <w:tcW w:type="dxa" w:w="1600"/>
            <w:shd w:fill="DFF3F8" w:color="auto" w:val="clear"/>
            <w:tcMar>
              <w:top w:type="dxa" w:w="60"/>
              <w:left w:type="dxa" w:w="90"/>
              <w:bottom w:type="dxa" w:w="60"/>
              <w:right w:type="dxa" w:w="90"/>
            </w:tcMar>
          </w:tcPr>
          <w:p>
            <w:pPr>
              <w:spacing w:after="20"/>
              <w:jc w:val="left"/>
            </w:pPr>
            <w:r>
              <w:rPr>
                <w:rFonts w:ascii="Arial" w:cs="Arial" w:eastAsia="Arial" w:hAnsi="Arial"/>
                <w:b/>
                <w:bCs/>
                <w:color w:val="263858"/>
                <w:sz w:val="17"/>
                <w:szCs w:val="17"/>
              </w:rPr>
              <w:t xml:space="preserve">This template</w:t>
            </w:r>
          </w:p>
        </w:tc>
        <w:tc>
          <w:tcPr>
            <w:tcW w:type="dxa" w:w="3400"/>
            <w:shd w:fill="DFF3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CE018-SP-08 Managed Assistant Instructions Template</w:t>
            </w:r>
          </w:p>
        </w:tc>
        <w:tc>
          <w:tcPr>
            <w:tcW w:type="dxa" w:w="4638"/>
            <w:shd w:fill="DFF3F8" w:color="auto" w:val="clear"/>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Holds the controlled instruction set in the managed workspace, where it persists between runs and between operators.</w:t>
            </w:r>
          </w:p>
        </w:tc>
      </w:tr>
      <w:tr>
        <w:tc>
          <w:tcPr>
            <w:tcW w:type="dxa" w:w="1600"/>
            <w:tcMar>
              <w:top w:type="dxa" w:w="60"/>
              <w:left w:type="dxa" w:w="90"/>
              <w:bottom w:type="dxa" w:w="60"/>
              <w:right w:type="dxa" w:w="90"/>
            </w:tcMar>
          </w:tcPr>
          <w:p>
            <w:pPr>
              <w:spacing w:after="20"/>
              <w:jc w:val="left"/>
            </w:pPr>
            <w:r>
              <w:rPr>
                <w:rFonts w:ascii="Arial" w:cs="Arial" w:eastAsia="Arial" w:hAnsi="Arial"/>
                <w:b/>
                <w:bCs/>
                <w:color w:val="263858"/>
                <w:sz w:val="17"/>
                <w:szCs w:val="17"/>
              </w:rPr>
              <w:t xml:space="preserve">Next</w:t>
            </w:r>
          </w:p>
        </w:tc>
        <w:tc>
          <w:tcPr>
            <w:tcW w:type="dxa" w:w="3400"/>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CE018-SP-09 Authority and Escalation Matrix</w:t>
            </w:r>
          </w:p>
        </w:tc>
        <w:tc>
          <w:tcPr>
            <w:tcW w:type="dxa" w:w="4638"/>
            <w:tcMar>
              <w:top w:type="dxa" w:w="60"/>
              <w:left w:type="dxa" w:w="90"/>
              <w:bottom w:type="dxa" w:w="60"/>
              <w:right w:type="dxa" w:w="90"/>
            </w:tcMar>
          </w:tcPr>
          <w:p>
            <w:pPr>
              <w:spacing w:after="20"/>
              <w:jc w:val="left"/>
            </w:pPr>
            <w:r>
              <w:rPr>
                <w:rFonts w:ascii="Arial" w:cs="Arial" w:eastAsia="Arial" w:hAnsi="Arial"/>
                <w:b w:val="false"/>
                <w:bCs w:val="false"/>
                <w:color w:val="263858"/>
                <w:sz w:val="17"/>
                <w:szCs w:val="17"/>
              </w:rPr>
              <w:t xml:space="preserve">SP-09 names the roles behind the refusal and escalation behaviour configured in sections 6 and 7.</w:t>
            </w:r>
          </w:p>
        </w:tc>
      </w:tr>
    </w:tbl>
    <w:p>
      <w:pPr>
        <w:spacing w:after="60" w:before="0"/>
        <w:jc w:val="left"/>
      </w:pPr>
      <w:r>
        <w:rPr>
          <w:rFonts w:ascii="Arial" w:cs="Arial" w:eastAsia="Arial" w:hAnsi="Arial"/>
          <w:b w:val="false"/>
          <w:bCs w:val="false"/>
          <w:i w:val="false"/>
          <w:iCs w:val="false"/>
          <w:color w:val="263858"/>
          <w:sz w:val="8"/>
          <w:szCs w:val="8"/>
        </w:rPr>
        <w:t xml:space="preserve"/>
      </w:r>
    </w:p>
    <w:p>
      <w:pPr>
        <w:pStyle w:val="Heading1"/>
        <w:pBdr>
          <w:bottom w:val="single" w:color="08A6D4" w:sz="12" w:space="4"/>
        </w:pBdr>
        <w:spacing w:after="140" w:before="320"/>
      </w:pPr>
      <w:r>
        <w:rPr>
          <w:rFonts w:ascii="Arial" w:cs="Arial" w:eastAsia="Arial" w:hAnsi="Arial"/>
          <w:b/>
          <w:bCs/>
          <w:color w:val="263858"/>
          <w:sz w:val="26"/>
          <w:szCs w:val="26"/>
        </w:rPr>
        <w:t xml:space="preserve">11. Retained human authority</w:t>
      </w:r>
    </w:p>
    <w:p>
      <w:pPr>
        <w:spacing w:after="100" w:before="0"/>
        <w:jc w:val="left"/>
      </w:pPr>
      <w:r>
        <w:rPr>
          <w:rFonts w:ascii="Arial" w:cs="Arial" w:eastAsia="Arial" w:hAnsi="Arial"/>
          <w:b w:val="false"/>
          <w:bCs w:val="false"/>
          <w:i w:val="false"/>
          <w:iCs w:val="false"/>
          <w:color w:val="263858"/>
          <w:sz w:val="20"/>
          <w:szCs w:val="20"/>
        </w:rPr>
        <w:t xml:space="preserve">The configured assistant may extract, link, compare, reconcile, cite, flag, score against the configured controls, identify exceptions and owners, prepare a decision-readiness pack and recommend a controlled review route.</w:t>
      </w:r>
    </w:p>
    <w:p>
      <w:pPr>
        <w:spacing w:after="100" w:before="0"/>
        <w:jc w:val="left"/>
      </w:pPr>
      <w:r>
        <w:rPr>
          <w:rFonts w:ascii="Arial" w:cs="Arial" w:eastAsia="Arial" w:hAnsi="Arial"/>
          <w:b w:val="false"/>
          <w:bCs w:val="false"/>
          <w:i w:val="false"/>
          <w:iCs w:val="false"/>
          <w:color w:val="263858"/>
          <w:sz w:val="20"/>
          <w:szCs w:val="20"/>
        </w:rPr>
        <w:t xml:space="preserve">The assistant must not decide whether CE-018 is a compensation event; decide entitlement; determine whether the Contractor’s assessment is contractually correct; accept, reject or assess a quotation; issue or draft a contractual communication; determine the contractual effect of a clause; instruct or implement CE-018; claim legal or NEC4 compliance; or provide legal advice.</w:t>
      </w:r>
    </w:p>
    <w:tbl>
      <w:tblPr>
        <w:tblW w:type="dxa" w:w="9638"/>
        <w:tblBorders>
          <w:top w:val="single" w:color="263858" w:sz="6"/>
          <w:left w:val="single" w:color="263858" w:sz="18"/>
          <w:bottom w:val="single" w:color="263858" w:sz="6"/>
          <w:right w:val="single" w:color="263858" w:sz="6"/>
          <w:insideH w:val="none" w:sz="0"/>
          <w:insideV w:val="none" w:sz="0"/>
        </w:tblBorders>
      </w:tblPr>
      <w:tblGrid>
        <w:gridCol w:w="9638"/>
      </w:tblGrid>
      <w:tr>
        <w:tc>
          <w:tcPr>
            <w:tcW w:type="dxa" w:w="9638"/>
            <w:shd w:fill="EDF1F6" w:color="auto" w:val="clear"/>
            <w:tcMar>
              <w:top w:type="dxa" w:w="120"/>
              <w:left w:type="dxa" w:w="160"/>
              <w:bottom w:type="dxa" w:w="120"/>
              <w:right w:type="dxa" w:w="140"/>
            </w:tcMar>
          </w:tcPr>
          <w:p>
            <w:pPr>
              <w:spacing w:after="60"/>
            </w:pPr>
            <w:r>
              <w:rPr>
                <w:rFonts w:ascii="Arial" w:cs="Arial" w:eastAsia="Arial" w:hAnsi="Arial"/>
                <w:b/>
                <w:bCs/>
                <w:color w:val="263858"/>
                <w:sz w:val="19"/>
                <w:szCs w:val="19"/>
              </w:rPr>
              <w:t xml:space="preserve">Retained decision</w:t>
            </w:r>
          </w:p>
          <w:p>
            <w:pPr>
              <w:spacing w:after="40"/>
            </w:pPr>
            <w:r>
              <w:rPr>
                <w:rFonts w:ascii="Arial" w:cs="Arial" w:eastAsia="Arial" w:hAnsi="Arial"/>
                <w:color w:val="263858"/>
                <w:sz w:val="18"/>
                <w:szCs w:val="18"/>
              </w:rPr>
              <w:t xml:space="preserve">Elena Brooks, NEC4 Project Manager, retains every contractual decision on CE-018.</w:t>
            </w:r>
          </w:p>
          <w:p>
            <w:pPr>
              <w:spacing w:after="40"/>
            </w:pPr>
            <w:r>
              <w:rPr>
                <w:rFonts w:ascii="Arial" w:cs="Arial" w:eastAsia="Arial" w:hAnsi="Arial"/>
                <w:color w:val="263858"/>
                <w:sz w:val="18"/>
                <w:szCs w:val="18"/>
              </w:rPr>
              <w:t xml:space="preserve">When this template is reused, the equivalent statement must name the relevant contractual role or accountable decision owner on that project.</w:t>
            </w:r>
          </w:p>
        </w:tc>
      </w:tr>
    </w:tbl>
    <w:p>
      <w:pPr>
        <w:spacing w:after="80" w:before="0"/>
        <w:jc w:val="left"/>
      </w:pPr>
      <w:r>
        <w:rPr>
          <w:rFonts w:ascii="Arial" w:cs="Arial" w:eastAsia="Arial" w:hAnsi="Arial"/>
          <w:b w:val="false"/>
          <w:bCs w:val="false"/>
          <w:i w:val="false"/>
          <w:iCs w:val="false"/>
          <w:color w:val="263858"/>
          <w:sz w:val="8"/>
          <w:szCs w:val="8"/>
        </w:rPr>
        <w:t xml:space="preserve"/>
      </w:r>
    </w:p>
    <w:p>
      <w:pPr>
        <w:spacing w:after="120" w:before="160"/>
      </w:pPr>
      <w:r>
        <w:drawing>
          <wp:inline distT="0" distB="0" distL="0" distR="0">
            <wp:extent cx="3810000"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581025"/>
                    </a:xfrm>
                    <a:prstGeom prst="rect">
                      <a:avLst/>
                    </a:prstGeom>
                  </pic:spPr>
                </pic:pic>
              </a:graphicData>
            </a:graphic>
          </wp:inline>
        </w:drawing>
      </w:r>
    </w:p>
    <w:sectPr>
      <w:footerReference w:type="default" r:id="rId7"/>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2DD" w:sz="6" w:space="6"/>
      </w:pBdr>
      <w:tabs>
        <w:tab w:val="right" w:pos="9638"/>
      </w:tabs>
    </w:pPr>
    <w:r>
      <w:rPr>
        <w:rFonts w:ascii="Arial" w:cs="Arial" w:eastAsia="Arial" w:hAnsi="Arial"/>
        <w:color w:val="6B7A8D"/>
        <w:sz w:val="14"/>
        <w:szCs w:val="14"/>
      </w:rPr>
      <w:t xml:space="preserve">CE018-SP-08  |  v1.0  |  Fictional Demonstration Data  |  Not a contractual communication</w:t>
    </w:r>
    <w:r>
      <w:rPr>
        <w:rFonts w:ascii="Arial" w:cs="Arial" w:eastAsia="Arial" w:hAnsi="Arial"/>
        <w:sz w:val="14"/>
        <w:szCs w:val="14"/>
      </w:rPr>
      <w:t xml:space="preserve">	</w:t>
    </w:r>
    <w:r>
      <w:rPr>
        <w:rFonts w:ascii="Arial" w:cs="Arial" w:eastAsia="Arial" w:hAnsi="Arial"/>
        <w:color w:val="6B7A8D"/>
        <w:sz w:val="14"/>
        <w:szCs w:val="14"/>
      </w:rPr>
      <w:t xml:space="preserve">Page </w:t>
    </w:r>
    <w:r>
      <w:rPr>
        <w:rFonts w:ascii="Arial" w:cs="Arial" w:eastAsia="Arial" w:hAnsi="Arial"/>
        <w:color w:val="6B7A8D"/>
        <w:sz w:val="14"/>
        <w:szCs w:val="14"/>
      </w:rPr>
      <w:fldChar w:fldCharType="begin"/>
      <w:instrText xml:space="preserve">PAGE</w:instrText>
      <w:fldChar w:fldCharType="separate"/>
      <w:fldChar w:fldCharType="end"/>
    </w:r>
    <w:r>
      <w:rPr>
        <w:rFonts w:ascii="Arial" w:cs="Arial" w:eastAsia="Arial" w:hAnsi="Arial"/>
        <w:color w:val="6B7A8D"/>
        <w:sz w:val="14"/>
        <w:szCs w:val="14"/>
      </w:rPr>
      <w:t xml:space="preserve"> of </w:t>
    </w:r>
    <w:r>
      <w:rPr>
        <w:rFonts w:ascii="Arial" w:cs="Arial" w:eastAsia="Arial" w:hAnsi="Arial"/>
        <w:color w:val="6B7A8D"/>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rPr>
        <w:rFonts w:ascii="Arial" w:cs="Arial" w:eastAsia="Arial" w:hAnsi="Arial"/>
        <w:color w:val="08A6D4"/>
      </w:rPr>
    </w:lvl>
  </w:abstractNum>
  <w:abstractNum w:abstractNumId="3" w15:restartNumberingAfterBreak="0">
    <w:multiLevelType w:val="hybridMultilevel"/>
    <w:lvl w:ilvl="0" w15:tentative="1">
      <w:start w:val="1"/>
      <w:numFmt w:val="decimal"/>
      <w:lvlText w:val="%1."/>
      <w:lvlJc w:val="left"/>
      <w:pPr>
        <w:ind w:left="400" w:hanging="240"/>
      </w:pPr>
      <w:rPr>
        <w:rFonts w:ascii="Arial" w:cs="Arial" w:eastAsia="Arial" w:hAnsi="Arial"/>
        <w:b/>
        <w:bCs/>
        <w:color w:val="754887"/>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85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f7a23cff298ea4cbf1e0f9eb2152c4c57407d68.png"/><Relationship Id="rId9" Type="http://schemas.openxmlformats.org/officeDocument/2006/relationships/image" Target="media/d2356d30661abbe22e30e5c876f50df248771d94.png"/><Relationship Id="rId10" Type="http://schemas.openxmlformats.org/officeDocument/2006/relationships/image" Target="media/26c4c916b3434ea50d359c3ba81fa2174bbd51b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Managed Assistant Instructions Template</dc:title>
  <dc:creator>CE-018 Project Controls Assurance Assistant</dc:creator>
  <dc:description>Fictional Demonstration Data — CE-018 Project Controls Assurance Starter Pack</dc:description>
  <cp:lastModifiedBy>Un-named</cp:lastModifiedBy>
  <cp:revision>1</cp:revision>
  <dcterms:created xsi:type="dcterms:W3CDTF">2026-08-24T03:30:32.353Z</dcterms:created>
  <dcterms:modified xsi:type="dcterms:W3CDTF">2026-08-24T03:30:32.353Z</dcterms:modified>
</cp:coreProperties>
</file>

<file path=docProps/custom.xml><?xml version="1.0" encoding="utf-8"?>
<Properties xmlns="http://schemas.openxmlformats.org/officeDocument/2006/custom-properties" xmlns:vt="http://schemas.openxmlformats.org/officeDocument/2006/docPropsVTypes"/>
</file>