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none"/>
          <w:right w:val="none"/>
          <w:insideH w:val="none"/>
          <w:insideV w:val="none"/>
        </w:tblBorders>
      </w:tblPr>
      <w:tblGrid>
        <w:gridCol w:w="4819"/>
        <w:gridCol w:w="4819"/>
      </w:tblGrid>
      <w:tr>
        <w:tc>
          <w:tcPr>
            <w:tcW w:type="dxa" w:w="4819"/>
            <w:tcBorders>
              <w:top w:val="none" w:sz="0"/>
              <w:left w:val="none" w:sz="0"/>
              <w:bottom w:val="none" w:sz="0"/>
              <w:right w:val="none" w:sz="0"/>
            </w:tcBorders>
            <w:tcMar>
              <w:top w:type="dxa" w:w="0"/>
              <w:left w:type="dxa" w:w="0"/>
              <w:bottom w:type="dxa" w:w="0"/>
              <w:right w:type="dxa" w:w="0"/>
            </w:tcMar>
          </w:tcPr>
          <w:p>
            <w:pPr>
              <w:jc w:val="left"/>
            </w:pPr>
            <w:r>
              <w:drawing>
                <wp:inline distT="0" distB="0" distL="0" distR="0">
                  <wp:extent cx="20002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533400"/>
                          </a:xfrm>
                          <a:prstGeom prst="rect">
                            <a:avLst/>
                          </a:prstGeom>
                        </pic:spPr>
                      </pic:pic>
                    </a:graphicData>
                  </a:graphic>
                </wp:inline>
              </w:drawing>
            </w:r>
          </w:p>
        </w:tc>
        <w:tc>
          <w:tcPr>
            <w:tcW w:type="dxa" w:w="4819"/>
            <w:tcBorders>
              <w:top w:val="none" w:sz="0"/>
              <w:left w:val="none" w:sz="0"/>
              <w:bottom w:val="none" w:sz="0"/>
              <w:right w:val="none" w:sz="0"/>
            </w:tcBorders>
            <w:tcMar>
              <w:top w:type="dxa" w:w="0"/>
              <w:left w:type="dxa" w:w="0"/>
              <w:bottom w:type="dxa" w:w="0"/>
              <w:right w:type="dxa" w:w="0"/>
            </w:tcMar>
          </w:tcPr>
          <w:p>
            <w:pPr>
              <w:jc w:val="right"/>
            </w:pPr>
            <w:r>
              <w:drawing>
                <wp:inline distT="0" distB="0" distL="0" distR="0">
                  <wp:extent cx="2095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514350"/>
                          </a:xfrm>
                          <a:prstGeom prst="rect">
                            <a:avLst/>
                          </a:prstGeom>
                        </pic:spPr>
                      </pic:pic>
                    </a:graphicData>
                  </a:graphic>
                </wp:inline>
              </w:drawing>
            </w:r>
          </w:p>
        </w:tc>
      </w:tr>
    </w:tbl>
    <w:p>
      <w:pPr>
        <w:pBdr>
          <w:bottom w:val="single" w:color="08A6D4" w:sz="18" w:space="2"/>
        </w:pBdr>
        <w:spacing w:after="160" w:before="80"/>
      </w:pPr>
      <w:r>
        <w:rPr>
          <w:rFonts w:ascii="Arial" w:cs="Arial" w:eastAsia="Arial" w:hAnsi="Arial"/>
          <w:sz w:val="2"/>
          <w:szCs w:val="2"/>
        </w:rPr>
        <w:t xml:space="preserve"/>
      </w:r>
    </w:p>
    <w:p>
      <w:pPr>
        <w:spacing w:after="60" w:before="0"/>
        <w:jc w:val="left"/>
      </w:pPr>
      <w:r>
        <w:rPr>
          <w:rFonts w:ascii="Arial" w:cs="Arial" w:eastAsia="Arial" w:hAnsi="Arial"/>
          <w:b/>
          <w:bCs/>
          <w:i w:val="false"/>
          <w:iCs w:val="false"/>
          <w:color w:val="08A6D4"/>
          <w:sz w:val="20"/>
          <w:szCs w:val="20"/>
        </w:rPr>
        <w:t xml:space="preserve">CE018-SP-14</w:t>
      </w:r>
    </w:p>
    <w:p>
      <w:pPr>
        <w:spacing w:after="80" w:before="0"/>
        <w:jc w:val="left"/>
      </w:pPr>
      <w:r>
        <w:rPr>
          <w:rFonts w:ascii="Arial" w:cs="Arial" w:eastAsia="Arial" w:hAnsi="Arial"/>
          <w:b/>
          <w:bCs/>
          <w:i w:val="false"/>
          <w:iCs w:val="false"/>
          <w:color w:val="263858"/>
          <w:sz w:val="40"/>
          <w:szCs w:val="40"/>
        </w:rPr>
        <w:t xml:space="preserve">Evidence Exception Report</w:t>
      </w:r>
    </w:p>
    <w:p>
      <w:pPr>
        <w:spacing w:after="200" w:before="0"/>
        <w:jc w:val="left"/>
      </w:pPr>
      <w:r>
        <w:rPr>
          <w:rFonts w:ascii="Arial" w:cs="Arial" w:eastAsia="Arial" w:hAnsi="Arial"/>
          <w:b w:val="false"/>
          <w:bCs w:val="false"/>
          <w:i w:val="false"/>
          <w:iCs w:val="false"/>
          <w:color w:val="754887"/>
          <w:sz w:val="22"/>
          <w:szCs w:val="22"/>
        </w:rPr>
        <w:t xml:space="preserve">Stage 03 — Test the output  |  Narrative report of every exception found, its consequence and its named owner</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600"/>
        <w:gridCol w:w="7038"/>
      </w:tblGrid>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Document reference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CE018-SP-14</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Template title</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Evidence Exception Report</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Starter pack stage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03 — Test the output</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Accountable owner</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Project Controls Lead (prepares) / accountable decision owner (receives)</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Version</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v1.0</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Status</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TEMPLATE — CONFIGURE BEFORE USE (blank)  |  ISSUED FOR PROJECT MANAGER REVIEW (IFR) — NOT APPROVED (worked example)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Issue date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2026-03-31</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Project</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Westbridge Station Access and Enabling Works (WSAE)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Worked example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 — Restricted access to the Platform 4 worksite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Classification</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Fictional Demonstration Data</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Previous template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CE018-SP-13 Configured NEC4 Decision-Readiness Control Matrix</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Next template</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CE018-SP-15 Decision and Escalation Log</w:t>
            </w:r>
          </w:p>
        </w:tc>
      </w:tr>
    </w:tbl>
    <w:p>
      <w:pPr>
        <w:spacing w:after="120" w:before="160"/>
      </w:pPr>
      <w:r>
        <w:drawing>
          <wp:inline distT="0" distB="0" distL="0" distR="0">
            <wp:extent cx="3810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81025"/>
                    </a:xfrm>
                    <a:prstGeom prst="rect">
                      <a:avLst/>
                    </a:prstGeom>
                  </pic:spPr>
                </pic:pic>
              </a:graphicData>
            </a:graphic>
          </wp:inline>
        </w:drawing>
      </w:r>
    </w:p>
    <w:tbl>
      <w:tblPr>
        <w:tblW w:type="dxa" w:w="9638"/>
        <w:tblBorders>
          <w:top w:val="single" w:color="263858" w:sz="6"/>
          <w:left w:val="single" w:color="263858" w:sz="18"/>
          <w:bottom w:val="single" w:color="263858" w:sz="6"/>
          <w:right w:val="single" w:color="263858" w:sz="6"/>
          <w:insideH w:val="none" w:sz="0"/>
          <w:insideV w:val="none" w:sz="0"/>
        </w:tblBorders>
      </w:tblPr>
      <w:tblGrid>
        <w:gridCol w:w="9638"/>
      </w:tblGrid>
      <w:tr>
        <w:tc>
          <w:tcPr>
            <w:tcW w:type="dxa" w:w="9638"/>
            <w:shd w:fill="EDF1F6" w:color="auto" w:val="clear"/>
            <w:tcMar>
              <w:top w:type="dxa" w:w="120"/>
              <w:left w:type="dxa" w:w="160"/>
              <w:bottom w:type="dxa" w:w="120"/>
              <w:right w:type="dxa" w:w="140"/>
            </w:tcMar>
          </w:tcPr>
          <w:p>
            <w:pPr>
              <w:spacing w:after="60"/>
            </w:pPr>
            <w:r>
              <w:rPr>
                <w:rFonts w:ascii="Arial" w:cs="Arial" w:eastAsia="Arial" w:hAnsi="Arial"/>
                <w:b/>
                <w:bCs/>
                <w:color w:val="263858"/>
                <w:sz w:val="19"/>
                <w:szCs w:val="19"/>
              </w:rPr>
              <w:t xml:space="preserve">Retained human authority</w:t>
            </w:r>
          </w:p>
          <w:p>
            <w:pPr>
              <w:spacing w:after="40"/>
            </w:pPr>
            <w:r>
              <w:rPr>
                <w:rFonts w:ascii="Arial" w:cs="Arial" w:eastAsia="Arial" w:hAnsi="Arial"/>
                <w:color w:val="263858"/>
                <w:sz w:val="18"/>
                <w:szCs w:val="18"/>
              </w:rPr>
              <w:t xml:space="preserve">This template is configured Project Controls assurance support. It is not a contractual communication and it does not state NEC4 or legal compliance.</w:t>
            </w:r>
          </w:p>
          <w:p>
            <w:pPr>
              <w:spacing w:after="40"/>
            </w:pPr>
            <w:r>
              <w:rPr>
                <w:rFonts w:ascii="Arial" w:cs="Arial" w:eastAsia="Arial" w:hAnsi="Arial"/>
                <w:color w:val="263858"/>
                <w:sz w:val="18"/>
                <w:szCs w:val="18"/>
              </w:rPr>
              <w:t xml:space="preserve">In the CE-018 worked example, Elena Brooks, NEC4 Project Manager, retains every contractual decision. In your own use, name the relevant contractual role or accountable decision owner in place of Elena Brooks.</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1. Purpose</w:t>
      </w:r>
    </w:p>
    <w:p>
      <w:pPr>
        <w:spacing w:after="100" w:before="0"/>
        <w:jc w:val="left"/>
      </w:pPr>
      <w:r>
        <w:rPr>
          <w:rFonts w:ascii="Arial" w:cs="Arial" w:eastAsia="Arial" w:hAnsi="Arial"/>
          <w:b w:val="false"/>
          <w:bCs w:val="false"/>
          <w:i w:val="false"/>
          <w:iCs w:val="false"/>
          <w:color w:val="263858"/>
          <w:sz w:val="20"/>
          <w:szCs w:val="20"/>
        </w:rPr>
        <w:t xml:space="preserve">The exception report states, in narrative form, every exception the assurance run identified: what the evidence shows, what the consequence is, who owns it, by when and what must be retested. It is the document the decision owner reads when the route is not “ready”.</w:t>
      </w:r>
    </w:p>
    <w:p>
      <w:pPr>
        <w:spacing w:after="100" w:before="0"/>
        <w:jc w:val="left"/>
      </w:pPr>
      <w:r>
        <w:rPr>
          <w:rFonts w:ascii="Arial" w:cs="Arial" w:eastAsia="Arial" w:hAnsi="Arial"/>
          <w:b w:val="false"/>
          <w:bCs w:val="false"/>
          <w:i w:val="false"/>
          <w:iCs w:val="false"/>
          <w:color w:val="263858"/>
          <w:sz w:val="20"/>
          <w:szCs w:val="20"/>
        </w:rPr>
        <w:t xml:space="preserve">An exception that is described but not owned is not an exception; it is an observation. Every entry in this report carries a named owner, a date and an explicit date basis.</w:t>
      </w:r>
    </w:p>
    <w:p>
      <w:pPr>
        <w:pStyle w:val="Heading1"/>
        <w:pBdr>
          <w:bottom w:val="single" w:color="08A6D4" w:sz="12" w:space="4"/>
        </w:pBdr>
        <w:spacing w:after="140" w:before="320"/>
      </w:pPr>
      <w:r>
        <w:rPr>
          <w:rFonts w:ascii="Arial" w:cs="Arial" w:eastAsia="Arial" w:hAnsi="Arial"/>
          <w:b/>
          <w:bCs/>
          <w:color w:val="263858"/>
          <w:sz w:val="26"/>
          <w:szCs w:val="26"/>
        </w:rPr>
        <w:t xml:space="preserve">2. When to use this template</w:t>
      </w:r>
    </w:p>
    <w:p>
      <w:pPr>
        <w:pStyle w:val="ListParagraph"/>
        <w:numPr>
          <w:ilvl w:val="0"/>
          <w:numId w:val="2"/>
        </w:numPr>
        <w:spacing w:after="60"/>
      </w:pPr>
      <w:r>
        <w:rPr>
          <w:rFonts w:ascii="Arial" w:cs="Arial" w:eastAsia="Arial" w:hAnsi="Arial"/>
          <w:color w:val="263858"/>
          <w:sz w:val="20"/>
          <w:szCs w:val="20"/>
        </w:rPr>
        <w:t xml:space="preserve">After every assurance run that records a score of 1 or 0 on any test, or any control result other than a pass.</w:t>
      </w:r>
    </w:p>
    <w:p>
      <w:pPr>
        <w:pStyle w:val="ListParagraph"/>
        <w:numPr>
          <w:ilvl w:val="0"/>
          <w:numId w:val="2"/>
        </w:numPr>
        <w:spacing w:after="60"/>
      </w:pPr>
      <w:r>
        <w:rPr>
          <w:rFonts w:ascii="Arial" w:cs="Arial" w:eastAsia="Arial" w:hAnsi="Arial"/>
          <w:color w:val="263858"/>
          <w:sz w:val="20"/>
          <w:szCs w:val="20"/>
        </w:rPr>
        <w:t xml:space="preserve">When a matter is identified that is reserved to the accountable contractual role and cannot be closed by assurance retest.</w:t>
      </w:r>
    </w:p>
    <w:p>
      <w:pPr>
        <w:pStyle w:val="ListParagraph"/>
        <w:numPr>
          <w:ilvl w:val="0"/>
          <w:numId w:val="2"/>
        </w:numPr>
        <w:spacing w:after="60"/>
      </w:pPr>
      <w:r>
        <w:rPr>
          <w:rFonts w:ascii="Arial" w:cs="Arial" w:eastAsia="Arial" w:hAnsi="Arial"/>
          <w:color w:val="263858"/>
          <w:sz w:val="20"/>
          <w:szCs w:val="20"/>
        </w:rPr>
        <w:t xml:space="preserve">When evidence is missing, superseded, unregistered or in conflict.</w:t>
      </w:r>
    </w:p>
    <w:p>
      <w:pPr>
        <w:pStyle w:val="ListParagraph"/>
        <w:numPr>
          <w:ilvl w:val="0"/>
          <w:numId w:val="2"/>
        </w:numPr>
        <w:spacing w:after="60"/>
      </w:pPr>
      <w:r>
        <w:rPr>
          <w:rFonts w:ascii="Arial" w:cs="Arial" w:eastAsia="Arial" w:hAnsi="Arial"/>
          <w:color w:val="263858"/>
          <w:sz w:val="20"/>
          <w:szCs w:val="20"/>
        </w:rPr>
        <w:t xml:space="preserve">As the covering narrative issued alongside the exception and action registers.</w:t>
      </w:r>
    </w:p>
    <w:p>
      <w:pPr>
        <w:pStyle w:val="Heading1"/>
        <w:pBdr>
          <w:bottom w:val="single" w:color="08A6D4" w:sz="12" w:space="4"/>
        </w:pBdr>
        <w:spacing w:after="140" w:before="320"/>
      </w:pPr>
      <w:r>
        <w:rPr>
          <w:rFonts w:ascii="Arial" w:cs="Arial" w:eastAsia="Arial" w:hAnsi="Arial"/>
          <w:b/>
          <w:bCs/>
          <w:color w:val="263858"/>
          <w:sz w:val="26"/>
          <w:szCs w:val="26"/>
        </w:rPr>
        <w:t xml:space="preserve">3. Accountable owner</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300"/>
        <w:gridCol w:w="3000"/>
        <w:gridCol w:w="4338"/>
      </w:tblGrid>
      <w:tr>
        <w:trPr>
          <w:tblHeader/>
        </w:trPr>
        <w:tc>
          <w:tcPr>
            <w:tcW w:type="dxa" w:w="23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Role</w:t>
            </w:r>
          </w:p>
        </w:tc>
        <w:tc>
          <w:tcPr>
            <w:tcW w:type="dxa" w:w="3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Named person in the CE-018 worked example</w:t>
            </w:r>
          </w:p>
        </w:tc>
        <w:tc>
          <w:tcPr>
            <w:tcW w:type="dxa" w:w="43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Responsibility for this template</w:t>
            </w:r>
          </w:p>
        </w:tc>
      </w:tr>
      <w:tr>
        <w:tc>
          <w:tcPr>
            <w:tcW w:type="dxa" w:w="2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Report author</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 — Project Controls Lead</w:t>
            </w:r>
          </w:p>
        </w:tc>
        <w:tc>
          <w:tcPr>
            <w:tcW w:type="dxa" w:w="4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Prepares the report, classifies each exception and routes it to the named record owner.</w:t>
            </w:r>
          </w:p>
        </w:tc>
      </w:tr>
      <w:tr>
        <w:tc>
          <w:tcPr>
            <w:tcW w:type="dxa" w:w="2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Recipient / decision owner</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 — NEC4 Project Manager</w:t>
            </w:r>
          </w:p>
        </w:tc>
        <w:tc>
          <w:tcPr>
            <w:tcW w:type="dxa" w:w="4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Receives the report and takes any decision reserved to the contractual role.</w:t>
            </w:r>
          </w:p>
        </w:tc>
      </w:tr>
      <w:tr>
        <w:tc>
          <w:tcPr>
            <w:tcW w:type="dxa" w:w="2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Record owners</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Planning Manager; Risk Manager; Commercial Manager; Marcus Reed — Contractor Delivery Lead</w:t>
            </w:r>
          </w:p>
        </w:tc>
        <w:tc>
          <w:tcPr>
            <w:tcW w:type="dxa" w:w="4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Own and close the exceptions raised against their records.</w:t>
            </w:r>
          </w:p>
        </w:tc>
      </w:tr>
      <w:tr>
        <w:tc>
          <w:tcPr>
            <w:tcW w:type="dxa" w:w="2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Configured AI support</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 Assurance Assistant</w:t>
            </w:r>
          </w:p>
        </w:tc>
        <w:tc>
          <w:tcPr>
            <w:tcW w:type="dxa" w:w="4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Identifies and cites exceptions. Does not close them and does not decide any reserved matter.</w:t>
            </w:r>
          </w:p>
        </w:tc>
      </w:tr>
    </w:tbl>
    <w:p>
      <w:pPr>
        <w:spacing w:after="60" w:before="0"/>
        <w:jc w:val="left"/>
      </w:pPr>
      <w:r>
        <w:rPr>
          <w:rFonts w:ascii="Arial" w:cs="Arial" w:eastAsia="Arial" w:hAnsi="Arial"/>
          <w:b w:val="false"/>
          <w:bCs w:val="false"/>
          <w:i w:val="false"/>
          <w:iCs w:val="false"/>
          <w:color w:val="263858"/>
          <w:sz w:val="8"/>
          <w:szCs w:val="8"/>
        </w:rPr>
        <w:t xml:space="preserve"/>
      </w:r>
    </w:p>
    <w:tbl>
      <w:tblPr>
        <w:tblW w:type="dxa" w:w="9638"/>
        <w:tblBorders>
          <w:top w:val="single" w:color="754887" w:sz="6"/>
          <w:left w:val="single" w:color="754887" w:sz="18"/>
          <w:bottom w:val="single" w:color="754887" w:sz="6"/>
          <w:right w:val="single" w:color="754887" w:sz="6"/>
          <w:insideH w:val="none" w:sz="0"/>
          <w:insideV w:val="none" w:sz="0"/>
        </w:tblBorders>
      </w:tblPr>
      <w:tblGrid>
        <w:gridCol w:w="9638"/>
      </w:tblGrid>
      <w:tr>
        <w:tc>
          <w:tcPr>
            <w:tcW w:type="dxa" w:w="9638"/>
            <w:shd w:fill="F1EAF4" w:color="auto" w:val="clear"/>
            <w:tcMar>
              <w:top w:type="dxa" w:w="120"/>
              <w:left w:type="dxa" w:w="160"/>
              <w:bottom w:type="dxa" w:w="120"/>
              <w:right w:type="dxa" w:w="140"/>
            </w:tcMar>
          </w:tcPr>
          <w:p>
            <w:pPr>
              <w:spacing w:after="60"/>
            </w:pPr>
            <w:r>
              <w:rPr>
                <w:rFonts w:ascii="Arial" w:cs="Arial" w:eastAsia="Arial" w:hAnsi="Arial"/>
                <w:b/>
                <w:bCs/>
                <w:color w:val="754887"/>
                <w:sz w:val="19"/>
                <w:szCs w:val="19"/>
              </w:rPr>
              <w:t xml:space="preserve">Configure before use</w:t>
            </w:r>
          </w:p>
          <w:p>
            <w:pPr>
              <w:spacing w:after="40"/>
            </w:pPr>
            <w:r>
              <w:rPr>
                <w:rFonts w:ascii="Arial" w:cs="Arial" w:eastAsia="Arial" w:hAnsi="Arial"/>
                <w:color w:val="263858"/>
                <w:sz w:val="18"/>
                <w:szCs w:val="18"/>
              </w:rPr>
              <w:t xml:space="preserve">Replace the named individuals above with the relevant contractual role or accountable decision owner on your own project. The named NEC4 role, not the assistant, holds the decision.</w:t>
            </w:r>
          </w:p>
        </w:tc>
      </w:tr>
    </w:tbl>
    <w:p>
      <w:pPr>
        <w:spacing w:after="8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4. Completion instructions</w:t>
      </w:r>
    </w:p>
    <w:p>
      <w:pPr>
        <w:pStyle w:val="ListParagraph"/>
        <w:numPr>
          <w:ilvl w:val="0"/>
          <w:numId w:val="3"/>
        </w:numPr>
        <w:spacing w:after="60"/>
      </w:pPr>
      <w:r>
        <w:rPr>
          <w:rFonts w:ascii="Arial" w:cs="Arial" w:eastAsia="Arial" w:hAnsi="Arial"/>
          <w:color w:val="263858"/>
          <w:sz w:val="20"/>
          <w:szCs w:val="20"/>
        </w:rPr>
        <w:t xml:space="preserve">Raise one entry per distinct exception. Do not merge two conflicts into one entry because they share an owner.</w:t>
      </w:r>
    </w:p>
    <w:p>
      <w:pPr>
        <w:pStyle w:val="ListParagraph"/>
        <w:numPr>
          <w:ilvl w:val="0"/>
          <w:numId w:val="3"/>
        </w:numPr>
        <w:spacing w:after="60"/>
      </w:pPr>
      <w:r>
        <w:rPr>
          <w:rFonts w:ascii="Arial" w:cs="Arial" w:eastAsia="Arial" w:hAnsi="Arial"/>
          <w:color w:val="263858"/>
          <w:sz w:val="20"/>
          <w:szCs w:val="20"/>
        </w:rPr>
        <w:t xml:space="preserve">Classify each exception as Critical, Major or Minor. Record explicitly that critical assurance exceptions are counted separately from critical test failures — they are different measures.</w:t>
      </w:r>
    </w:p>
    <w:p>
      <w:pPr>
        <w:pStyle w:val="ListParagraph"/>
        <w:numPr>
          <w:ilvl w:val="0"/>
          <w:numId w:val="3"/>
        </w:numPr>
        <w:spacing w:after="60"/>
      </w:pPr>
      <w:r>
        <w:rPr>
          <w:rFonts w:ascii="Arial" w:cs="Arial" w:eastAsia="Arial" w:hAnsi="Arial"/>
          <w:color w:val="263858"/>
          <w:sz w:val="20"/>
          <w:szCs w:val="20"/>
        </w:rPr>
        <w:t xml:space="preserve">State the consequence in terms of what it prevents, not in terms of how serious it feels.</w:t>
      </w:r>
    </w:p>
    <w:p>
      <w:pPr>
        <w:pStyle w:val="ListParagraph"/>
        <w:numPr>
          <w:ilvl w:val="0"/>
          <w:numId w:val="3"/>
        </w:numPr>
        <w:spacing w:after="60"/>
      </w:pPr>
      <w:r>
        <w:rPr>
          <w:rFonts w:ascii="Arial" w:cs="Arial" w:eastAsia="Arial" w:hAnsi="Arial"/>
          <w:color w:val="263858"/>
          <w:sz w:val="20"/>
          <w:szCs w:val="20"/>
        </w:rPr>
        <w:t xml:space="preserve">Cite the evidence for every exception: file name, record identifier and approved revision.</w:t>
      </w:r>
    </w:p>
    <w:p>
      <w:pPr>
        <w:pStyle w:val="ListParagraph"/>
        <w:numPr>
          <w:ilvl w:val="0"/>
          <w:numId w:val="3"/>
        </w:numPr>
        <w:spacing w:after="60"/>
      </w:pPr>
      <w:r>
        <w:rPr>
          <w:rFonts w:ascii="Arial" w:cs="Arial" w:eastAsia="Arial" w:hAnsi="Arial"/>
          <w:color w:val="263858"/>
          <w:sz w:val="20"/>
          <w:szCs w:val="20"/>
        </w:rPr>
        <w:t xml:space="preserve">Name a single accountable owner for each exception. Where a matter is reserved to the contractual role, record it as reserved and state that it is not closed by assurance retest.</w:t>
      </w:r>
    </w:p>
    <w:p>
      <w:pPr>
        <w:pStyle w:val="ListParagraph"/>
        <w:numPr>
          <w:ilvl w:val="0"/>
          <w:numId w:val="3"/>
        </w:numPr>
        <w:spacing w:after="60"/>
      </w:pPr>
      <w:r>
        <w:rPr>
          <w:rFonts w:ascii="Arial" w:cs="Arial" w:eastAsia="Arial" w:hAnsi="Arial"/>
          <w:color w:val="263858"/>
          <w:sz w:val="20"/>
          <w:szCs w:val="20"/>
        </w:rPr>
        <w:t xml:space="preserve">Give every due date an explicit basis — assurance action target or configured contractual date.</w:t>
      </w:r>
    </w:p>
    <w:p>
      <w:pPr>
        <w:pStyle w:val="ListParagraph"/>
        <w:numPr>
          <w:ilvl w:val="0"/>
          <w:numId w:val="3"/>
        </w:numPr>
        <w:spacing w:after="60"/>
      </w:pPr>
      <w:r>
        <w:rPr>
          <w:rFonts w:ascii="Arial" w:cs="Arial" w:eastAsia="Arial" w:hAnsi="Arial"/>
          <w:color w:val="263858"/>
          <w:sz w:val="20"/>
          <w:szCs w:val="20"/>
        </w:rPr>
        <w:t xml:space="preserve">State the retest requirement for each exception, naming the tests and controls that must be rerun.</w:t>
      </w:r>
    </w:p>
    <w:p>
      <w:pPr>
        <w:pStyle w:val="ListParagraph"/>
        <w:numPr>
          <w:ilvl w:val="0"/>
          <w:numId w:val="3"/>
        </w:numPr>
        <w:spacing w:after="60"/>
      </w:pPr>
      <w:r>
        <w:rPr>
          <w:rFonts w:ascii="Arial" w:cs="Arial" w:eastAsia="Arial" w:hAnsi="Arial"/>
          <w:color w:val="263858"/>
          <w:sz w:val="20"/>
          <w:szCs w:val="20"/>
        </w:rPr>
        <w:t xml:space="preserve">Issue the report with the status ISSUED FOR REVIEW — NOT APPROVED and the applicable classification.</w:t>
      </w:r>
    </w:p>
    <w:p>
      <w:pPr>
        <w:pStyle w:val="Heading1"/>
        <w:pBdr>
          <w:bottom w:val="single" w:color="08A6D4" w:sz="12" w:space="4"/>
        </w:pBdr>
        <w:spacing w:after="140" w:before="320"/>
      </w:pPr>
      <w:r>
        <w:rPr>
          <w:rFonts w:ascii="Arial" w:cs="Arial" w:eastAsia="Arial" w:hAnsi="Arial"/>
          <w:b/>
          <w:bCs/>
          <w:color w:val="263858"/>
          <w:sz w:val="26"/>
          <w:szCs w:val="26"/>
        </w:rPr>
        <w:t xml:space="preserve">5. Minimum mandatory fields</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500"/>
        <w:gridCol w:w="5638"/>
        <w:gridCol w:w="1500"/>
      </w:tblGrid>
      <w:tr>
        <w:trPr>
          <w:tblHeader/>
        </w:trPr>
        <w:tc>
          <w:tcPr>
            <w:tcW w:type="dxa" w:w="25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Field</w:t>
            </w:r>
          </w:p>
        </w:tc>
        <w:tc>
          <w:tcPr>
            <w:tcW w:type="dxa" w:w="5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What it must record</w:t>
            </w:r>
          </w:p>
        </w:tc>
        <w:tc>
          <w:tcPr>
            <w:tcW w:type="dxa" w:w="15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Mandatory</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Exception ID</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Unique identifier within the run.</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Classification</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Critical, Major or Minor.</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Issue</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What the evidence shows, in factual terms.</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Consequence</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What the exception prevents or puts at risk.</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Evidence citation</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File name, record identifier and approved revision.</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Accountable owner</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One named owner. Reserved matters named to the contractual role.</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Due date and date basis</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date and whether it is an assurance target or a configured contractual date.</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Status</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Open, closed, or reserved to the accountable contractual role.</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Retest requirement</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tests and controls to be rerun on closure.</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6. Blank reusable template</w:t>
      </w:r>
    </w:p>
    <w:tbl>
      <w:tblPr>
        <w:tblW w:type="dxa" w:w="9638"/>
        <w:tblBorders>
          <w:top w:val="single" w:color="08A6D4" w:sz="6"/>
          <w:left w:val="single" w:color="08A6D4" w:sz="18"/>
          <w:bottom w:val="single" w:color="08A6D4" w:sz="6"/>
          <w:right w:val="single" w:color="08A6D4" w:sz="6"/>
          <w:insideH w:val="none" w:sz="0"/>
          <w:insideV w:val="none" w:sz="0"/>
        </w:tblBorders>
      </w:tblPr>
      <w:tblGrid>
        <w:gridCol w:w="9638"/>
      </w:tblGrid>
      <w:tr>
        <w:tc>
          <w:tcPr>
            <w:tcW w:type="dxa" w:w="9638"/>
            <w:shd w:fill="DFF3F8" w:color="auto" w:val="clear"/>
            <w:tcMar>
              <w:top w:type="dxa" w:w="120"/>
              <w:left w:type="dxa" w:w="160"/>
              <w:bottom w:type="dxa" w:w="120"/>
              <w:right w:type="dxa" w:w="140"/>
            </w:tcMar>
          </w:tcPr>
          <w:p>
            <w:pPr>
              <w:spacing w:after="60"/>
            </w:pPr>
            <w:r>
              <w:rPr>
                <w:rFonts w:ascii="Arial" w:cs="Arial" w:eastAsia="Arial" w:hAnsi="Arial"/>
                <w:b/>
                <w:bCs/>
                <w:color w:val="08A6D4"/>
                <w:sz w:val="19"/>
                <w:szCs w:val="19"/>
              </w:rPr>
              <w:t xml:space="preserve">TEMPLATE — CONFIGURE BEFORE USE</w:t>
            </w:r>
          </w:p>
          <w:p>
            <w:pPr>
              <w:spacing w:after="40"/>
            </w:pPr>
            <w:r>
              <w:rPr>
                <w:rFonts w:ascii="Arial" w:cs="Arial" w:eastAsia="Arial" w:hAnsi="Arial"/>
                <w:color w:val="263858"/>
                <w:sz w:val="18"/>
                <w:szCs w:val="18"/>
              </w:rPr>
              <w:t xml:space="preserve">Every field marked [CONFIGURE] must be set by the accountable owner before the template is used on a live task.</w:t>
            </w:r>
          </w:p>
          <w:p>
            <w:pPr>
              <w:spacing w:after="40"/>
            </w:pPr>
            <w:r>
              <w:rPr>
                <w:rFonts w:ascii="Arial" w:cs="Arial" w:eastAsia="Arial" w:hAnsi="Arial"/>
                <w:color w:val="263858"/>
                <w:sz w:val="18"/>
                <w:szCs w:val="18"/>
              </w:rPr>
              <w:t xml:space="preserve">This blank version carries no CE-018 data. Do not copy worked-example values into it.</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00" w:before="0"/>
        <w:jc w:val="left"/>
      </w:pPr>
      <w:r>
        <w:rPr>
          <w:rFonts w:ascii="Arial" w:cs="Arial" w:eastAsia="Arial" w:hAnsi="Arial"/>
          <w:b w:val="false"/>
          <w:bCs w:val="false"/>
          <w:i w:val="false"/>
          <w:iCs w:val="false"/>
          <w:color w:val="263858"/>
          <w:sz w:val="20"/>
          <w:szCs w:val="20"/>
        </w:rPr>
        <w:t xml:space="preserve">Complete the summary block, then one row per exception.</w:t>
      </w:r>
    </w:p>
    <w:p>
      <w:pPr>
        <w:pStyle w:val="Heading3"/>
        <w:spacing w:after="80" w:before="180"/>
      </w:pPr>
      <w:r>
        <w:rPr>
          <w:rFonts w:ascii="Arial" w:cs="Arial" w:eastAsia="Arial" w:hAnsi="Arial"/>
          <w:b/>
          <w:bCs/>
          <w:color w:val="263858"/>
          <w:sz w:val="20"/>
          <w:szCs w:val="20"/>
        </w:rPr>
        <w:t xml:space="preserve">Exception summary</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6638"/>
        <w:gridCol w:w="3000"/>
      </w:tblGrid>
      <w:tr>
        <w:trPr>
          <w:tblHeader/>
        </w:trPr>
        <w:tc>
          <w:tcPr>
            <w:tcW w:type="dxa" w:w="6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Measure</w:t>
            </w:r>
          </w:p>
        </w:tc>
        <w:tc>
          <w:tcPr>
            <w:tcW w:type="dxa" w:w="3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Count</w:t>
            </w:r>
          </w:p>
        </w:tc>
      </w:tr>
      <w:tr>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Total exceptions</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Critical assurance exceptions</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Major assurance exceptions</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Minor assurance exceptions</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Critical test failures (separate measure — do not merge with the row above)</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Exception register</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700"/>
        <w:gridCol w:w="900"/>
        <w:gridCol w:w="2400"/>
        <w:gridCol w:w="2000"/>
        <w:gridCol w:w="1400"/>
        <w:gridCol w:w="1200"/>
        <w:gridCol w:w="1038"/>
      </w:tblGrid>
      <w:tr>
        <w:trPr>
          <w:tblHeader/>
        </w:trPr>
        <w:tc>
          <w:tcPr>
            <w:tcW w:type="dxa" w:w="7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ID</w:t>
            </w:r>
          </w:p>
        </w:tc>
        <w:tc>
          <w:tcPr>
            <w:tcW w:type="dxa" w:w="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Class</w:t>
            </w:r>
          </w:p>
        </w:tc>
        <w:tc>
          <w:tcPr>
            <w:tcW w:type="dxa" w:w="2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Issue</w:t>
            </w:r>
          </w:p>
        </w:tc>
        <w:tc>
          <w:tcPr>
            <w:tcW w:type="dxa" w:w="2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Consequence</w:t>
            </w:r>
          </w:p>
        </w:tc>
        <w:tc>
          <w:tcPr>
            <w:tcW w:type="dxa" w:w="1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Owner</w:t>
            </w:r>
          </w:p>
        </w:tc>
        <w:tc>
          <w:tcPr>
            <w:tcW w:type="dxa" w:w="12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Due / basis</w:t>
            </w:r>
          </w:p>
        </w:tc>
        <w:tc>
          <w:tcPr>
            <w:tcW w:type="dxa" w:w="10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Retest</w:t>
            </w:r>
          </w:p>
        </w:tc>
      </w:tr>
      <w:tr>
        <w:tc>
          <w:tcPr>
            <w:tcW w:type="dxa" w:w="7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
            </w:r>
          </w:p>
        </w:tc>
        <w:tc>
          <w:tcPr>
            <w:tcW w:type="dxa" w:w="9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
            </w:r>
          </w:p>
        </w:tc>
        <w:tc>
          <w:tcPr>
            <w:tcW w:type="dxa" w:w="24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[CONFIGURE]</w:t>
            </w:r>
          </w:p>
        </w:tc>
        <w:tc>
          <w:tcPr>
            <w:tcW w:type="dxa" w:w="20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
            </w:r>
          </w:p>
        </w:tc>
        <w:tc>
          <w:tcPr>
            <w:tcW w:type="dxa" w:w="14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
            </w:r>
          </w:p>
        </w:tc>
        <w:tc>
          <w:tcPr>
            <w:tcW w:type="dxa" w:w="12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
            </w:r>
          </w:p>
        </w:tc>
        <w:tc>
          <w:tcPr>
            <w:tcW w:type="dxa" w:w="1038"/>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
            </w:r>
          </w:p>
        </w:tc>
      </w:tr>
      <w:tr>
        <w:tc>
          <w:tcPr>
            <w:tcW w:type="dxa" w:w="7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
            </w:r>
          </w:p>
        </w:tc>
        <w:tc>
          <w:tcPr>
            <w:tcW w:type="dxa" w:w="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
            </w:r>
          </w:p>
        </w:tc>
        <w:tc>
          <w:tcPr>
            <w:tcW w:type="dxa" w:w="2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
            </w:r>
          </w:p>
        </w:tc>
        <w:tc>
          <w:tcPr>
            <w:tcW w:type="dxa" w:w="2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
            </w:r>
          </w:p>
        </w:tc>
        <w:tc>
          <w:tcPr>
            <w:tcW w:type="dxa" w:w="1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
            </w:r>
          </w:p>
        </w:tc>
        <w:tc>
          <w:tcPr>
            <w:tcW w:type="dxa" w:w="1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
            </w:r>
          </w:p>
        </w:tc>
        <w:tc>
          <w:tcPr>
            <w:tcW w:type="dxa" w:w="1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7. Completed CE-018 worked example</w:t>
      </w:r>
    </w:p>
    <w:tbl>
      <w:tblPr>
        <w:tblW w:type="dxa" w:w="9638"/>
        <w:tblBorders>
          <w:top w:val="single" w:color="F36B5D" w:sz="6"/>
          <w:left w:val="single" w:color="F36B5D" w:sz="18"/>
          <w:bottom w:val="single" w:color="F36B5D" w:sz="6"/>
          <w:right w:val="single" w:color="F36B5D" w:sz="6"/>
          <w:insideH w:val="none" w:sz="0"/>
          <w:insideV w:val="none" w:sz="0"/>
        </w:tblBorders>
      </w:tblPr>
      <w:tblGrid>
        <w:gridCol w:w="9638"/>
      </w:tblGrid>
      <w:tr>
        <w:tc>
          <w:tcPr>
            <w:tcW w:type="dxa" w:w="9638"/>
            <w:shd w:fill="FCE9E5" w:color="auto" w:val="clear"/>
            <w:tcMar>
              <w:top w:type="dxa" w:w="120"/>
              <w:left w:type="dxa" w:w="160"/>
              <w:bottom w:type="dxa" w:w="120"/>
              <w:right w:type="dxa" w:w="140"/>
            </w:tcMar>
          </w:tcPr>
          <w:p>
            <w:pPr>
              <w:spacing w:after="60"/>
            </w:pPr>
            <w:r>
              <w:rPr>
                <w:rFonts w:ascii="Arial" w:cs="Arial" w:eastAsia="Arial" w:hAnsi="Arial"/>
                <w:b/>
                <w:bCs/>
                <w:color w:val="F36B5D"/>
                <w:sz w:val="19"/>
                <w:szCs w:val="19"/>
              </w:rPr>
              <w:t xml:space="preserve">ISSUED FOR PROJECT MANAGER REVIEW (IFR) — NOT APPROVED</w:t>
            </w:r>
          </w:p>
          <w:p>
            <w:pPr>
              <w:spacing w:after="40"/>
            </w:pPr>
            <w:r>
              <w:rPr>
                <w:rFonts w:ascii="Arial" w:cs="Arial" w:eastAsia="Arial" w:hAnsi="Arial"/>
                <w:color w:val="263858"/>
                <w:sz w:val="18"/>
                <w:szCs w:val="18"/>
              </w:rPr>
              <w:t xml:space="preserve">Fictional Demonstration Data. Every value below is transcribed from the four final issued CE-018 scenario JSON records and is not rerun, rescored or reinterpreted here.</w:t>
            </w:r>
          </w:p>
          <w:p>
            <w:pPr>
              <w:spacing w:after="40"/>
            </w:pPr>
            <w:r>
              <w:rPr>
                <w:rFonts w:ascii="Arial" w:cs="Arial" w:eastAsia="Arial" w:hAnsi="Arial"/>
                <w:color w:val="263858"/>
                <w:sz w:val="18"/>
                <w:szCs w:val="18"/>
              </w:rPr>
              <w:t xml:space="preserve">Configured NEC4 process-assurance checks only. Not a statement of NEC4 or legal compliance, and not legal advice.</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00" w:before="0"/>
        <w:jc w:val="left"/>
      </w:pPr>
      <w:r>
        <w:rPr>
          <w:rFonts w:ascii="Arial" w:cs="Arial" w:eastAsia="Arial" w:hAnsi="Arial"/>
          <w:b w:val="false"/>
          <w:bCs w:val="false"/>
          <w:i w:val="false"/>
          <w:iCs w:val="false"/>
          <w:color w:val="263858"/>
          <w:sz w:val="20"/>
          <w:szCs w:val="20"/>
        </w:rPr>
        <w:t xml:space="preserve">The worked example is the S3 exception report — the conflicting-records condition, issued at Rev 3.4. S3 is the default demonstration condition for the pack because it exercises the widest set of exception types.</w:t>
      </w:r>
    </w:p>
    <w:p>
      <w:pPr>
        <w:pStyle w:val="Heading3"/>
        <w:spacing w:after="80" w:before="180"/>
      </w:pPr>
      <w:r>
        <w:rPr>
          <w:rFonts w:ascii="Arial" w:cs="Arial" w:eastAsia="Arial" w:hAnsi="Arial"/>
          <w:b/>
          <w:bCs/>
          <w:color w:val="263858"/>
          <w:sz w:val="20"/>
          <w:szCs w:val="20"/>
        </w:rPr>
        <w:t xml:space="preserve">Exception summary — CE-018 scenario S3 Rev 3.4</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6638"/>
        <w:gridCol w:w="3000"/>
      </w:tblGrid>
      <w:tr>
        <w:trPr>
          <w:tblHeader/>
        </w:trPr>
        <w:tc>
          <w:tcPr>
            <w:tcW w:type="dxa" w:w="6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Measure</w:t>
            </w:r>
          </w:p>
        </w:tc>
        <w:tc>
          <w:tcPr>
            <w:tcW w:type="dxa" w:w="3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Count</w:t>
            </w:r>
          </w:p>
        </w:tc>
      </w:tr>
      <w:tr>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Total exceptions</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8</w:t>
            </w:r>
          </w:p>
        </w:tc>
      </w:tr>
      <w:tr>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Critical assurance exceptions</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w:t>
            </w:r>
          </w:p>
        </w:tc>
      </w:tr>
      <w:tr>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Major assurance exceptions</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5</w:t>
            </w:r>
          </w:p>
        </w:tc>
      </w:tr>
      <w:tr>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Minor assurance exceptions</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w:t>
            </w:r>
          </w:p>
        </w:tc>
      </w:tr>
      <w:tr>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Critical test failures (separate measure — T2 only)</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w:t>
            </w:r>
          </w:p>
        </w:tc>
      </w:tr>
    </w:tbl>
    <w:p>
      <w:pPr>
        <w:spacing w:after="60" w:before="0"/>
        <w:jc w:val="left"/>
      </w:pPr>
      <w:r>
        <w:rPr>
          <w:rFonts w:ascii="Arial" w:cs="Arial" w:eastAsia="Arial" w:hAnsi="Arial"/>
          <w:b w:val="false"/>
          <w:bCs w:val="false"/>
          <w:i w:val="false"/>
          <w:iCs w:val="false"/>
          <w:color w:val="263858"/>
          <w:sz w:val="8"/>
          <w:szCs w:val="8"/>
        </w:rPr>
        <w:t xml:space="preserve"/>
      </w:r>
    </w:p>
    <w:tbl>
      <w:tblPr>
        <w:tblW w:type="dxa" w:w="9638"/>
        <w:tblBorders>
          <w:top w:val="single" w:color="754887" w:sz="6"/>
          <w:left w:val="single" w:color="754887" w:sz="18"/>
          <w:bottom w:val="single" w:color="754887" w:sz="6"/>
          <w:right w:val="single" w:color="754887" w:sz="6"/>
          <w:insideH w:val="none" w:sz="0"/>
          <w:insideV w:val="none" w:sz="0"/>
        </w:tblBorders>
      </w:tblPr>
      <w:tblGrid>
        <w:gridCol w:w="9638"/>
      </w:tblGrid>
      <w:tr>
        <w:tc>
          <w:tcPr>
            <w:tcW w:type="dxa" w:w="9638"/>
            <w:shd w:fill="F1EAF4" w:color="auto" w:val="clear"/>
            <w:tcMar>
              <w:top w:type="dxa" w:w="120"/>
              <w:left w:type="dxa" w:w="160"/>
              <w:bottom w:type="dxa" w:w="120"/>
              <w:right w:type="dxa" w:w="140"/>
            </w:tcMar>
          </w:tcPr>
          <w:p>
            <w:pPr>
              <w:spacing w:after="60"/>
            </w:pPr>
            <w:r>
              <w:rPr>
                <w:rFonts w:ascii="Arial" w:cs="Arial" w:eastAsia="Arial" w:hAnsi="Arial"/>
                <w:b/>
                <w:bCs/>
                <w:color w:val="754887"/>
                <w:sz w:val="19"/>
                <w:szCs w:val="19"/>
              </w:rPr>
              <w:t xml:space="preserve">Two different counts, deliberately kept apart</w:t>
            </w:r>
          </w:p>
          <w:p>
            <w:pPr>
              <w:spacing w:after="40"/>
            </w:pPr>
            <w:r>
              <w:rPr>
                <w:rFonts w:ascii="Arial" w:cs="Arial" w:eastAsia="Arial" w:hAnsi="Arial"/>
                <w:color w:val="263858"/>
                <w:sz w:val="18"/>
                <w:szCs w:val="18"/>
              </w:rPr>
              <w:t xml:space="preserve">S3 records 2 critical assurance exceptions and 1 critical test failure. These are different measures and are never merged.</w:t>
            </w:r>
          </w:p>
          <w:p>
            <w:pPr>
              <w:spacing w:after="40"/>
            </w:pPr>
            <w:r>
              <w:rPr>
                <w:rFonts w:ascii="Arial" w:cs="Arial" w:eastAsia="Arial" w:hAnsi="Arial"/>
                <w:color w:val="263858"/>
                <w:sz w:val="18"/>
                <w:szCs w:val="18"/>
              </w:rPr>
              <w:t xml:space="preserve">A critical assurance exception is a defect in the evidence. A critical test failure is a score of 0 on one of the four tests, and that is what determines the route.</w:t>
            </w:r>
          </w:p>
        </w:tc>
      </w:tr>
    </w:tbl>
    <w:p>
      <w:pPr>
        <w:spacing w:after="8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Exception register — CE-018 scenario S3 Rev 3.4</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600"/>
        <w:gridCol w:w="800"/>
        <w:gridCol w:w="4200"/>
        <w:gridCol w:w="1600"/>
        <w:gridCol w:w="1300"/>
        <w:gridCol w:w="1138"/>
      </w:tblGrid>
      <w:tr>
        <w:trPr>
          <w:tblHeader/>
        </w:trPr>
        <w:tc>
          <w:tcPr>
            <w:tcW w:type="dxa" w:w="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ID</w:t>
            </w:r>
          </w:p>
        </w:tc>
        <w:tc>
          <w:tcPr>
            <w:tcW w:type="dxa" w:w="8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Class</w:t>
            </w:r>
          </w:p>
        </w:tc>
        <w:tc>
          <w:tcPr>
            <w:tcW w:type="dxa" w:w="42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Issue and consequence</w:t>
            </w:r>
          </w:p>
        </w:tc>
        <w:tc>
          <w:tcPr>
            <w:tcW w:type="dxa" w:w="1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Owner</w:t>
            </w:r>
          </w:p>
        </w:tc>
        <w:tc>
          <w:tcPr>
            <w:tcW w:type="dxa" w:w="13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Due / basis</w:t>
            </w:r>
          </w:p>
        </w:tc>
        <w:tc>
          <w:tcPr>
            <w:tcW w:type="dxa" w:w="11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Retest</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E-01</w:t>
            </w:r>
          </w:p>
        </w:tc>
        <w:tc>
          <w:tcPr>
            <w:tcW w:type="dxa" w:w="800"/>
            <w:tcMar>
              <w:top w:type="dxa" w:w="60"/>
              <w:left w:type="dxa" w:w="90"/>
              <w:bottom w:type="dxa" w:w="60"/>
              <w:right w:type="dxa" w:w="90"/>
            </w:tcMar>
          </w:tcPr>
          <w:p>
            <w:pPr>
              <w:spacing w:after="20"/>
              <w:jc w:val="left"/>
            </w:pPr>
            <w:r>
              <w:rPr>
                <w:rFonts w:ascii="Arial" w:cs="Arial" w:eastAsia="Arial" w:hAnsi="Arial"/>
                <w:b/>
                <w:bCs/>
                <w:color w:val="B23A2C"/>
                <w:sz w:val="15"/>
                <w:szCs w:val="15"/>
              </w:rPr>
              <w:t xml:space="preserve">Critical</w:t>
            </w:r>
          </w:p>
        </w:tc>
        <w:tc>
          <w:tcPr>
            <w:tcW w:type="dxa" w:w="42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Forecast P07-X conflicts with Quotation Rev B on cost and time: GBP 150,000 / 8 working days against GBP 185,000 / 10 working days. Consequence: the pack cannot evidence a single reliable commercial position. Drives T2 = 0.</w:t>
            </w:r>
          </w:p>
        </w:tc>
        <w:tc>
          <w:tcPr>
            <w:tcW w:type="dxa" w:w="16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Sofia Khan (forecast); Commercial Manager via Marcus Reed (quotation)</w:t>
            </w:r>
          </w:p>
        </w:tc>
        <w:tc>
          <w:tcPr>
            <w:tcW w:type="dxa" w:w="13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2026-04-08 — assurance target</w:t>
            </w:r>
          </w:p>
        </w:tc>
        <w:tc>
          <w:tcPr>
            <w:tcW w:type="dxa" w:w="1138"/>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T2, T3</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E-02</w:t>
            </w:r>
          </w:p>
        </w:tc>
        <w:tc>
          <w:tcPr>
            <w:tcW w:type="dxa" w:w="800"/>
            <w:shd w:fill="F4F6F8" w:color="auto" w:val="clear"/>
            <w:tcMar>
              <w:top w:type="dxa" w:w="60"/>
              <w:left w:type="dxa" w:w="90"/>
              <w:bottom w:type="dxa" w:w="60"/>
              <w:right w:type="dxa" w:w="90"/>
            </w:tcMar>
          </w:tcPr>
          <w:p>
            <w:pPr>
              <w:spacing w:after="20"/>
              <w:jc w:val="left"/>
            </w:pPr>
            <w:r>
              <w:rPr>
                <w:rFonts w:ascii="Arial" w:cs="Arial" w:eastAsia="Arial" w:hAnsi="Arial"/>
                <w:b/>
                <w:bCs/>
                <w:color w:val="B23A2C"/>
                <w:sz w:val="15"/>
                <w:szCs w:val="15"/>
              </w:rPr>
              <w:t xml:space="preserve">Critical</w:t>
            </w:r>
          </w:p>
        </w:tc>
        <w:tc>
          <w:tcPr>
            <w:tcW w:type="dxa" w:w="4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Risk record RISK-044-X conflicts with Quotation Rev B: GBP 210,000 / 12 working days against GBP 185,000 / 10 working days — a variance of +GBP 25,000 and +2 working days.</w:t>
            </w:r>
          </w:p>
        </w:tc>
        <w:tc>
          <w:tcPr>
            <w:tcW w:type="dxa" w:w="1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Risk Manager</w:t>
            </w:r>
          </w:p>
        </w:tc>
        <w:tc>
          <w:tcPr>
            <w:tcW w:type="dxa" w:w="1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2026-04-08 — assurance target</w:t>
            </w:r>
          </w:p>
        </w:tc>
        <w:tc>
          <w:tcPr>
            <w:tcW w:type="dxa" w:w="11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T2, T3</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E-03</w:t>
            </w:r>
          </w:p>
        </w:tc>
        <w:tc>
          <w:tcPr>
            <w:tcW w:type="dxa" w:w="8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Major</w:t>
            </w:r>
          </w:p>
        </w:tc>
        <w:tc>
          <w:tcPr>
            <w:tcW w:type="dxa" w:w="42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The material record conflict requires the Project Manager to determine whether the Contractor’s assessment is incorrect for Clause 64.1 purposes. Controls NEC-09 and NEC-10 return PM_JUDGEMENT.</w:t>
            </w:r>
          </w:p>
        </w:tc>
        <w:tc>
          <w:tcPr>
            <w:tcW w:type="dxa" w:w="16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Elena Brooks — NEC4 Project Manager</w:t>
            </w:r>
          </w:p>
        </w:tc>
        <w:tc>
          <w:tcPr>
            <w:tcW w:type="dxa" w:w="13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2026-04-11 — configured contractual date</w:t>
            </w:r>
          </w:p>
        </w:tc>
        <w:tc>
          <w:tcPr>
            <w:tcW w:type="dxa" w:w="1138"/>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Reserved — not closed by assurance retest</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E-04</w:t>
            </w:r>
          </w:p>
        </w:tc>
        <w:tc>
          <w:tcPr>
            <w:tcW w:type="dxa" w:w="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Major</w:t>
            </w:r>
          </w:p>
        </w:tc>
        <w:tc>
          <w:tcPr>
            <w:tcW w:type="dxa" w:w="4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RISK-044-X carries no CBS code, so its GBP 210,000 position is not linked to a valid CBS account as the crosswalk control requires.</w:t>
            </w:r>
          </w:p>
        </w:tc>
        <w:tc>
          <w:tcPr>
            <w:tcW w:type="dxa" w:w="1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Risk Manager</w:t>
            </w:r>
          </w:p>
        </w:tc>
        <w:tc>
          <w:tcPr>
            <w:tcW w:type="dxa" w:w="1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2026-04-08 — assurance target</w:t>
            </w:r>
          </w:p>
        </w:tc>
        <w:tc>
          <w:tcPr>
            <w:tcW w:type="dxa" w:w="11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T1, T2</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E-05</w:t>
            </w:r>
          </w:p>
        </w:tc>
        <w:tc>
          <w:tcPr>
            <w:tcW w:type="dxa" w:w="8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Major</w:t>
            </w:r>
          </w:p>
        </w:tc>
        <w:tc>
          <w:tcPr>
            <w:tcW w:type="dxa" w:w="42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UP13 is internally inconsistent on the milestone position and the CAL-5D-10H calendar needed to resolve it is unregistered.</w:t>
            </w:r>
          </w:p>
        </w:tc>
        <w:tc>
          <w:tcPr>
            <w:tcW w:type="dxa" w:w="16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Planning Manager</w:t>
            </w:r>
          </w:p>
        </w:tc>
        <w:tc>
          <w:tcPr>
            <w:tcW w:type="dxa" w:w="13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2026-04-08 — assurance target</w:t>
            </w:r>
          </w:p>
        </w:tc>
        <w:tc>
          <w:tcPr>
            <w:tcW w:type="dxa" w:w="1138"/>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T1, T2, T3</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E-06</w:t>
            </w:r>
          </w:p>
        </w:tc>
        <w:tc>
          <w:tcPr>
            <w:tcW w:type="dxa" w:w="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Major</w:t>
            </w:r>
          </w:p>
        </w:tc>
        <w:tc>
          <w:tcPr>
            <w:tcW w:type="dxa" w:w="4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Activity WSAE-A1400 original duration increases from 7 days in AP12 to 9 days in UP13. The change is not explained in the quotation basis, the submission email or any registered record.</w:t>
            </w:r>
          </w:p>
        </w:tc>
        <w:tc>
          <w:tcPr>
            <w:tcW w:type="dxa" w:w="1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Marcus Reed, with Planning Manager</w:t>
            </w:r>
          </w:p>
        </w:tc>
        <w:tc>
          <w:tcPr>
            <w:tcW w:type="dxa" w:w="1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2026-04-08 — assurance target</w:t>
            </w:r>
          </w:p>
        </w:tc>
        <w:tc>
          <w:tcPr>
            <w:tcW w:type="dxa" w:w="11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T2</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E-07</w:t>
            </w:r>
          </w:p>
        </w:tc>
        <w:tc>
          <w:tcPr>
            <w:tcW w:type="dxa" w:w="8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Major</w:t>
            </w:r>
          </w:p>
        </w:tc>
        <w:tc>
          <w:tcPr>
            <w:tcW w:type="dxa" w:w="42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No Project Manager acceptance or non-acceptance record exists for UP13 in the registered evidence, so control NEC-11 returns PM_JUDGEMENT rather than a determined result.</w:t>
            </w:r>
          </w:p>
        </w:tc>
        <w:tc>
          <w:tcPr>
            <w:tcW w:type="dxa" w:w="16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Elena Brooks — NEC4 Project Manager</w:t>
            </w:r>
          </w:p>
        </w:tc>
        <w:tc>
          <w:tcPr>
            <w:tcW w:type="dxa" w:w="1300"/>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2026-04-08 — assurance target</w:t>
            </w:r>
          </w:p>
        </w:tc>
        <w:tc>
          <w:tcPr>
            <w:tcW w:type="dxa" w:w="1138"/>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Reserved — not closed by assurance retest</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E-08</w:t>
            </w:r>
          </w:p>
        </w:tc>
        <w:tc>
          <w:tcPr>
            <w:tcW w:type="dxa" w:w="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Minor</w:t>
            </w:r>
          </w:p>
        </w:tc>
        <w:tc>
          <w:tcPr>
            <w:tcW w:type="dxa" w:w="4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Quotation Rev B carries a narrative basis for each line but no calculation build-up — no rates, quantities or durations supporting the five amounts.</w:t>
            </w:r>
          </w:p>
        </w:tc>
        <w:tc>
          <w:tcPr>
            <w:tcW w:type="dxa" w:w="1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Marcus Reed — Contractor Delivery Lead</w:t>
            </w:r>
          </w:p>
        </w:tc>
        <w:tc>
          <w:tcPr>
            <w:tcW w:type="dxa" w:w="1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2026-04-08 — assurance target</w:t>
            </w:r>
          </w:p>
        </w:tc>
        <w:tc>
          <w:tcPr>
            <w:tcW w:type="dxa" w:w="11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5"/>
                <w:szCs w:val="15"/>
              </w:rPr>
              <w:t xml:space="preserve">T1, T2</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How the exception profile differs across the four issued scenarios</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900"/>
        <w:gridCol w:w="3600"/>
        <w:gridCol w:w="1200"/>
        <w:gridCol w:w="1600"/>
        <w:gridCol w:w="1000"/>
        <w:gridCol w:w="1338"/>
      </w:tblGrid>
      <w:tr>
        <w:trPr>
          <w:tblHeader/>
        </w:trPr>
        <w:tc>
          <w:tcPr>
            <w:tcW w:type="dxa" w:w="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Scenario</w:t>
            </w:r>
          </w:p>
        </w:tc>
        <w:tc>
          <w:tcPr>
            <w:tcW w:type="dxa" w:w="3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Condition</w:t>
            </w:r>
          </w:p>
        </w:tc>
        <w:tc>
          <w:tcPr>
            <w:tcW w:type="dxa" w:w="12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Exceptions</w:t>
            </w:r>
          </w:p>
        </w:tc>
        <w:tc>
          <w:tcPr>
            <w:tcW w:type="dxa" w:w="1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Critical exceptions</w:t>
            </w:r>
          </w:p>
        </w:tc>
        <w:tc>
          <w:tcPr>
            <w:tcW w:type="dxa" w:w="1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Actions</w:t>
            </w:r>
          </w:p>
        </w:tc>
        <w:tc>
          <w:tcPr>
            <w:tcW w:type="dxa" w:w="13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Issued route</w:t>
            </w:r>
          </w:p>
        </w:tc>
      </w:tr>
      <w:tr>
        <w:tc>
          <w:tcPr>
            <w:tcW w:type="dxa" w:w="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S1 Rev 3.0</w:t>
            </w:r>
          </w:p>
        </w:tc>
        <w:tc>
          <w:tcPr>
            <w:tcW w:type="dxa" w:w="3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Evidence complete; one bounded limitation</w:t>
            </w:r>
          </w:p>
        </w:tc>
        <w:tc>
          <w:tcPr>
            <w:tcW w:type="dxa" w:w="1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w:t>
            </w:r>
          </w:p>
        </w:tc>
        <w:tc>
          <w:tcPr>
            <w:tcW w:type="dxa" w:w="1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w:t>
            </w:r>
          </w:p>
        </w:tc>
        <w:tc>
          <w:tcPr>
            <w:tcW w:type="dxa" w:w="10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2</w:t>
            </w:r>
          </w:p>
        </w:tc>
        <w:tc>
          <w:tcPr>
            <w:tcW w:type="dxa" w:w="13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READY WITH CONDITIONS</w:t>
            </w:r>
          </w:p>
        </w:tc>
      </w:tr>
      <w:tr>
        <w:tc>
          <w:tcPr>
            <w:tcW w:type="dxa" w:w="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S2 Rev 3.1</w:t>
            </w:r>
          </w:p>
        </w:tc>
        <w:tc>
          <w:tcPr>
            <w:tcW w:type="dxa" w:w="3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Mandatory evidence missing (PROG-UP13 absent)</w:t>
            </w:r>
          </w:p>
        </w:tc>
        <w:tc>
          <w:tcPr>
            <w:tcW w:type="dxa" w:w="1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6</w:t>
            </w:r>
          </w:p>
        </w:tc>
        <w:tc>
          <w:tcPr>
            <w:tcW w:type="dxa" w:w="1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2</w:t>
            </w:r>
          </w:p>
        </w:tc>
        <w:tc>
          <w:tcPr>
            <w:tcW w:type="dxa" w:w="1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4</w:t>
            </w:r>
          </w:p>
        </w:tc>
        <w:tc>
          <w:tcPr>
            <w:tcW w:type="dxa" w:w="1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REWORK EVIDENCE PACK</w:t>
            </w:r>
          </w:p>
        </w:tc>
      </w:tr>
      <w:tr>
        <w:tc>
          <w:tcPr>
            <w:tcW w:type="dxa" w:w="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S3 Rev 3.4</w:t>
            </w:r>
          </w:p>
        </w:tc>
        <w:tc>
          <w:tcPr>
            <w:tcW w:type="dxa" w:w="3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Records materially conflict</w:t>
            </w:r>
          </w:p>
        </w:tc>
        <w:tc>
          <w:tcPr>
            <w:tcW w:type="dxa" w:w="1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8</w:t>
            </w:r>
          </w:p>
        </w:tc>
        <w:tc>
          <w:tcPr>
            <w:tcW w:type="dxa" w:w="1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2</w:t>
            </w:r>
          </w:p>
        </w:tc>
        <w:tc>
          <w:tcPr>
            <w:tcW w:type="dxa" w:w="10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8</w:t>
            </w:r>
          </w:p>
        </w:tc>
        <w:tc>
          <w:tcPr>
            <w:tcW w:type="dxa" w:w="13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STOP / RECONCILE</w:t>
            </w:r>
          </w:p>
        </w:tc>
      </w:tr>
      <w:tr>
        <w:tc>
          <w:tcPr>
            <w:tcW w:type="dxa" w:w="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S4 Rev 3.2</w:t>
            </w:r>
          </w:p>
        </w:tc>
        <w:tc>
          <w:tcPr>
            <w:tcW w:type="dxa" w:w="3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Reserved contractual action requested</w:t>
            </w:r>
          </w:p>
        </w:tc>
        <w:tc>
          <w:tcPr>
            <w:tcW w:type="dxa" w:w="1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4</w:t>
            </w:r>
          </w:p>
        </w:tc>
        <w:tc>
          <w:tcPr>
            <w:tcW w:type="dxa" w:w="1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w:t>
            </w:r>
          </w:p>
        </w:tc>
        <w:tc>
          <w:tcPr>
            <w:tcW w:type="dxa" w:w="1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5</w:t>
            </w:r>
          </w:p>
        </w:tc>
        <w:tc>
          <w:tcPr>
            <w:tcW w:type="dxa" w:w="1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REFER TO PROJECT MANAGER</w:t>
            </w:r>
          </w:p>
        </w:tc>
      </w:tr>
    </w:tbl>
    <w:p>
      <w:pPr>
        <w:spacing w:after="60" w:before="0"/>
        <w:jc w:val="left"/>
      </w:pPr>
      <w:r>
        <w:rPr>
          <w:rFonts w:ascii="Arial" w:cs="Arial" w:eastAsia="Arial" w:hAnsi="Arial"/>
          <w:b w:val="false"/>
          <w:bCs w:val="false"/>
          <w:i w:val="false"/>
          <w:iCs w:val="false"/>
          <w:color w:val="263858"/>
          <w:sz w:val="8"/>
          <w:szCs w:val="8"/>
        </w:rPr>
        <w:t xml:space="preserve"/>
      </w:r>
    </w:p>
    <w:p>
      <w:pPr>
        <w:spacing w:after="100" w:before="0"/>
        <w:jc w:val="left"/>
      </w:pPr>
      <w:r>
        <w:rPr>
          <w:rFonts w:ascii="Arial" w:cs="Arial" w:eastAsia="Arial" w:hAnsi="Arial"/>
          <w:b w:val="false"/>
          <w:bCs w:val="false"/>
          <w:i/>
          <w:iCs/>
          <w:color w:val="6B7A8D"/>
          <w:sz w:val="16"/>
          <w:szCs w:val="16"/>
        </w:rPr>
        <w:t xml:space="preserve">Source: the four final issued scenario JSON records — CE018_S1_NEC4_Decision_Readiness_Result_Rev3_0.json; CE018_S2_NEC4_Decision_Readiness_Result_Rev3_1.json; CE018_S3_NEC4_Decision_Readiness_Result_Rev3_4.json; CE018_S4_NEC4_Decision_Readiness_Result_Rev3_2.json. Each scenario is reported from its own record only.</w:t>
      </w:r>
    </w:p>
    <w:p>
      <w:pPr>
        <w:pStyle w:val="Heading1"/>
        <w:pageBreakBefore/>
        <w:pBdr>
          <w:bottom w:val="single" w:color="08A6D4" w:sz="12" w:space="4"/>
        </w:pBdr>
        <w:spacing w:after="140" w:before="320"/>
      </w:pPr>
      <w:r>
        <w:rPr>
          <w:rFonts w:ascii="Arial" w:cs="Arial" w:eastAsia="Arial" w:hAnsi="Arial"/>
          <w:b/>
          <w:bCs/>
          <w:color w:val="263858"/>
          <w:sz w:val="26"/>
          <w:szCs w:val="26"/>
        </w:rPr>
        <w:t xml:space="preserve">8. Recorded assumptions, gaps and limitations</w:t>
      </w:r>
    </w:p>
    <w:p>
      <w:pPr>
        <w:pStyle w:val="ListParagraph"/>
        <w:numPr>
          <w:ilvl w:val="0"/>
          <w:numId w:val="2"/>
        </w:numPr>
        <w:spacing w:after="60"/>
      </w:pPr>
      <w:r>
        <w:rPr>
          <w:rFonts w:ascii="Arial" w:cs="Arial" w:eastAsia="Arial" w:hAnsi="Arial"/>
          <w:color w:val="263858"/>
          <w:sz w:val="20"/>
          <w:szCs w:val="20"/>
        </w:rPr>
        <w:t xml:space="preserve">Critical assurance exceptions and critical test failures are separate counts and are never added together or substituted for one another.</w:t>
      </w:r>
    </w:p>
    <w:p>
      <w:pPr>
        <w:pStyle w:val="ListParagraph"/>
        <w:numPr>
          <w:ilvl w:val="0"/>
          <w:numId w:val="2"/>
        </w:numPr>
        <w:spacing w:after="60"/>
      </w:pPr>
      <w:r>
        <w:rPr>
          <w:rFonts w:ascii="Arial" w:cs="Arial" w:eastAsia="Arial" w:hAnsi="Arial"/>
          <w:color w:val="263858"/>
          <w:sz w:val="20"/>
          <w:szCs w:val="20"/>
        </w:rPr>
        <w:t xml:space="preserve">An exception reserved to the accountable contractual role is not closed by assurance retest. Its closure is a recorded determination by that role.</w:t>
      </w:r>
    </w:p>
    <w:p>
      <w:pPr>
        <w:pStyle w:val="ListParagraph"/>
        <w:numPr>
          <w:ilvl w:val="0"/>
          <w:numId w:val="2"/>
        </w:numPr>
        <w:spacing w:after="60"/>
      </w:pPr>
      <w:r>
        <w:rPr>
          <w:rFonts w:ascii="Arial" w:cs="Arial" w:eastAsia="Arial" w:hAnsi="Arial"/>
          <w:color w:val="263858"/>
          <w:sz w:val="20"/>
          <w:szCs w:val="20"/>
        </w:rPr>
        <w:t xml:space="preserve">The report identifies and cites exceptions. It does not decide which of the conflicting positions is correct — in S3 the assistant did not decide whether GBP 150,000, GBP 185,000 or GBP 210,000 is the right figure, and did not average them.</w:t>
      </w:r>
    </w:p>
    <w:p>
      <w:pPr>
        <w:pStyle w:val="ListParagraph"/>
        <w:numPr>
          <w:ilvl w:val="0"/>
          <w:numId w:val="2"/>
        </w:numPr>
        <w:spacing w:after="60"/>
      </w:pPr>
      <w:r>
        <w:rPr>
          <w:rFonts w:ascii="Arial" w:cs="Arial" w:eastAsia="Arial" w:hAnsi="Arial"/>
          <w:color w:val="263858"/>
          <w:sz w:val="20"/>
          <w:szCs w:val="20"/>
        </w:rPr>
        <w:t xml:space="preserve">Due dates labelled as assurance targets are internal rework dates and are not contractual deadlines.</w:t>
      </w:r>
    </w:p>
    <w:p>
      <w:pPr>
        <w:pStyle w:val="ListParagraph"/>
        <w:numPr>
          <w:ilvl w:val="0"/>
          <w:numId w:val="2"/>
        </w:numPr>
        <w:spacing w:after="60"/>
      </w:pPr>
      <w:r>
        <w:rPr>
          <w:rFonts w:ascii="Arial" w:cs="Arial" w:eastAsia="Arial" w:hAnsi="Arial"/>
          <w:color w:val="263858"/>
          <w:sz w:val="20"/>
          <w:szCs w:val="20"/>
        </w:rPr>
        <w:t xml:space="preserve">Gap carried: an exception can only be raised against evidence that is present. A record that is neither supplied nor registered will surface at T1, not here.</w:t>
      </w:r>
    </w:p>
    <w:p>
      <w:pPr>
        <w:pStyle w:val="ListParagraph"/>
        <w:numPr>
          <w:ilvl w:val="0"/>
          <w:numId w:val="2"/>
        </w:numPr>
        <w:spacing w:after="60"/>
      </w:pPr>
      <w:r>
        <w:rPr>
          <w:rFonts w:ascii="Arial" w:cs="Arial" w:eastAsia="Arial" w:hAnsi="Arial"/>
          <w:color w:val="263858"/>
          <w:sz w:val="20"/>
          <w:szCs w:val="20"/>
        </w:rPr>
        <w:t xml:space="preserve">The S3 values are Fictional Demonstration Data transcribed from the issued Rev 3.4 record. The S3 replacement records FCST-P07-X and RISK-044-X are in use in S3 only.</w:t>
      </w:r>
    </w:p>
    <w:p>
      <w:pPr>
        <w:pStyle w:val="Heading1"/>
        <w:pBdr>
          <w:bottom w:val="single" w:color="08A6D4" w:sz="12" w:space="4"/>
        </w:pBdr>
        <w:spacing w:after="140" w:before="320"/>
      </w:pPr>
      <w:r>
        <w:rPr>
          <w:rFonts w:ascii="Arial" w:cs="Arial" w:eastAsia="Arial" w:hAnsi="Arial"/>
          <w:b/>
          <w:bCs/>
          <w:color w:val="263858"/>
          <w:sz w:val="26"/>
          <w:szCs w:val="26"/>
        </w:rPr>
        <w:t xml:space="preserve">9. Document control</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800"/>
        <w:gridCol w:w="6838"/>
      </w:tblGrid>
      <w:tr>
        <w:trPr>
          <w:tblHeader/>
        </w:trPr>
        <w:tc>
          <w:tcPr>
            <w:tcW w:type="dxa" w:w="28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Control field</w:t>
            </w:r>
          </w:p>
        </w:tc>
        <w:tc>
          <w:tcPr>
            <w:tcW w:type="dxa" w:w="68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Entry</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Version</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v1.0</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Status — blank template</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TEMPLATE — CONFIGURE BEFORE USE</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Status — worked example</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ISSUED FOR PROJECT MANAGER REVIEW (IFR) — NOT APPROVED</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Issue date</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Evidence cut-off applied to the worked example</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Prepared by</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 Project Controls Assurance Assistant (configured AI support, non-contractual)</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Prepared for</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 — NEC4 Project Manager</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Control owner</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 — Project Controls Lead</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Classification</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Review trigger</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Any change to the approved source register, the four-test definitions, the configured control matrix or the authority matrix</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10. Relationship to the previous and next template</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1600"/>
        <w:gridCol w:w="3400"/>
        <w:gridCol w:w="4638"/>
      </w:tblGrid>
      <w:tr>
        <w:trPr>
          <w:tblHeader/>
        </w:trPr>
        <w:tc>
          <w:tcPr>
            <w:tcW w:type="dxa" w:w="1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Position</w:t>
            </w:r>
          </w:p>
        </w:tc>
        <w:tc>
          <w:tcPr>
            <w:tcW w:type="dxa" w:w="3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Template</w:t>
            </w:r>
          </w:p>
        </w:tc>
        <w:tc>
          <w:tcPr>
            <w:tcW w:type="dxa" w:w="4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Relationship</w:t>
            </w:r>
          </w:p>
        </w:tc>
      </w:tr>
      <w:tr>
        <w:tc>
          <w:tcPr>
            <w:tcW w:type="dxa" w:w="1600"/>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Previous</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CE018-SP-13 Configured NEC4 Decision-Readiness Control Matrix</w:t>
            </w:r>
          </w:p>
        </w:tc>
        <w:tc>
          <w:tcPr>
            <w:tcW w:type="dxa" w:w="4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SP-13 produces the control results; this report narrates the exceptions those results and the four tests raise.</w:t>
            </w:r>
          </w:p>
        </w:tc>
      </w:tr>
      <w:tr>
        <w:tc>
          <w:tcPr>
            <w:tcW w:type="dxa" w:w="1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This template</w:t>
            </w:r>
          </w:p>
        </w:tc>
        <w:tc>
          <w:tcPr>
            <w:tcW w:type="dxa" w:w="3400"/>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CE018-SP-14 Evidence Exception Report</w:t>
            </w:r>
          </w:p>
        </w:tc>
        <w:tc>
          <w:tcPr>
            <w:tcW w:type="dxa" w:w="4638"/>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Turns test and control failures into owned, dated exceptions the decision owner can act on.</w:t>
            </w:r>
          </w:p>
        </w:tc>
      </w:tr>
      <w:tr>
        <w:tc>
          <w:tcPr>
            <w:tcW w:type="dxa" w:w="1600"/>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Next</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CE018-SP-15 Decision and Escalation Log</w:t>
            </w:r>
          </w:p>
        </w:tc>
        <w:tc>
          <w:tcPr>
            <w:tcW w:type="dxa" w:w="4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Exceptions reserved to the contractual role are carried into SP-15 as referrals.</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11. Retained human authority</w:t>
      </w:r>
    </w:p>
    <w:p>
      <w:pPr>
        <w:spacing w:after="100" w:before="0"/>
        <w:jc w:val="left"/>
      </w:pPr>
      <w:r>
        <w:rPr>
          <w:rFonts w:ascii="Arial" w:cs="Arial" w:eastAsia="Arial" w:hAnsi="Arial"/>
          <w:b w:val="false"/>
          <w:bCs w:val="false"/>
          <w:i w:val="false"/>
          <w:iCs w:val="false"/>
          <w:color w:val="263858"/>
          <w:sz w:val="20"/>
          <w:szCs w:val="20"/>
        </w:rPr>
        <w:t xml:space="preserve">The configured assistant may extract, link, compare, reconcile, cite, flag, score against the configured controls, identify exceptions and owners, prepare a decision-readiness pack and recommend a controlled review route.</w:t>
      </w:r>
    </w:p>
    <w:p>
      <w:pPr>
        <w:spacing w:after="100" w:before="0"/>
        <w:jc w:val="left"/>
      </w:pPr>
      <w:r>
        <w:rPr>
          <w:rFonts w:ascii="Arial" w:cs="Arial" w:eastAsia="Arial" w:hAnsi="Arial"/>
          <w:b w:val="false"/>
          <w:bCs w:val="false"/>
          <w:i w:val="false"/>
          <w:iCs w:val="false"/>
          <w:color w:val="263858"/>
          <w:sz w:val="20"/>
          <w:szCs w:val="20"/>
        </w:rPr>
        <w:t xml:space="preserve">The assistant must not decide whether CE-018 is a compensation event; decide entitlement; determine whether the Contractor’s assessment is contractually correct; accept, reject or assess a quotation; issue or draft a contractual communication; determine the contractual effect of a clause; instruct or implement CE-018; claim legal or NEC4 compliance; or provide legal advice.</w:t>
      </w:r>
    </w:p>
    <w:tbl>
      <w:tblPr>
        <w:tblW w:type="dxa" w:w="9638"/>
        <w:tblBorders>
          <w:top w:val="single" w:color="263858" w:sz="6"/>
          <w:left w:val="single" w:color="263858" w:sz="18"/>
          <w:bottom w:val="single" w:color="263858" w:sz="6"/>
          <w:right w:val="single" w:color="263858" w:sz="6"/>
          <w:insideH w:val="none" w:sz="0"/>
          <w:insideV w:val="none" w:sz="0"/>
        </w:tblBorders>
      </w:tblPr>
      <w:tblGrid>
        <w:gridCol w:w="9638"/>
      </w:tblGrid>
      <w:tr>
        <w:tc>
          <w:tcPr>
            <w:tcW w:type="dxa" w:w="9638"/>
            <w:shd w:fill="EDF1F6" w:color="auto" w:val="clear"/>
            <w:tcMar>
              <w:top w:type="dxa" w:w="120"/>
              <w:left w:type="dxa" w:w="160"/>
              <w:bottom w:type="dxa" w:w="120"/>
              <w:right w:type="dxa" w:w="140"/>
            </w:tcMar>
          </w:tcPr>
          <w:p>
            <w:pPr>
              <w:spacing w:after="60"/>
            </w:pPr>
            <w:r>
              <w:rPr>
                <w:rFonts w:ascii="Arial" w:cs="Arial" w:eastAsia="Arial" w:hAnsi="Arial"/>
                <w:b/>
                <w:bCs/>
                <w:color w:val="263858"/>
                <w:sz w:val="19"/>
                <w:szCs w:val="19"/>
              </w:rPr>
              <w:t xml:space="preserve">Retained decision</w:t>
            </w:r>
          </w:p>
          <w:p>
            <w:pPr>
              <w:spacing w:after="40"/>
            </w:pPr>
            <w:r>
              <w:rPr>
                <w:rFonts w:ascii="Arial" w:cs="Arial" w:eastAsia="Arial" w:hAnsi="Arial"/>
                <w:color w:val="263858"/>
                <w:sz w:val="18"/>
                <w:szCs w:val="18"/>
              </w:rPr>
              <w:t xml:space="preserve">Elena Brooks, NEC4 Project Manager, retains every contractual decision on CE-018.</w:t>
            </w:r>
          </w:p>
          <w:p>
            <w:pPr>
              <w:spacing w:after="40"/>
            </w:pPr>
            <w:r>
              <w:rPr>
                <w:rFonts w:ascii="Arial" w:cs="Arial" w:eastAsia="Arial" w:hAnsi="Arial"/>
                <w:color w:val="263858"/>
                <w:sz w:val="18"/>
                <w:szCs w:val="18"/>
              </w:rPr>
              <w:t xml:space="preserve">When this template is reused, the equivalent statement must name the relevant contractual role or accountable decision owner on that project.</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20" w:before="160"/>
      </w:pPr>
      <w:r>
        <w:drawing>
          <wp:inline distT="0" distB="0" distL="0" distR="0">
            <wp:extent cx="3810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81025"/>
                    </a:xfrm>
                    <a:prstGeom prst="rect">
                      <a:avLst/>
                    </a:prstGeom>
                  </pic:spPr>
                </pic:pic>
              </a:graphicData>
            </a:graphic>
          </wp:inline>
        </w:drawing>
      </w:r>
    </w:p>
    <w:sectPr>
      <w:footerReference w:type="default" r:id="rId7"/>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D" w:sz="6" w:space="6"/>
      </w:pBdr>
      <w:tabs>
        <w:tab w:val="right" w:pos="9638"/>
      </w:tabs>
    </w:pPr>
    <w:r>
      <w:rPr>
        <w:rFonts w:ascii="Arial" w:cs="Arial" w:eastAsia="Arial" w:hAnsi="Arial"/>
        <w:color w:val="6B7A8D"/>
        <w:sz w:val="14"/>
        <w:szCs w:val="14"/>
      </w:rPr>
      <w:t xml:space="preserve">CE018-SP-14  |  v1.0  |  Fictional Demonstration Data  |  Not a contractual communication</w:t>
    </w:r>
    <w:r>
      <w:rPr>
        <w:rFonts w:ascii="Arial" w:cs="Arial" w:eastAsia="Arial" w:hAnsi="Arial"/>
        <w:sz w:val="14"/>
        <w:szCs w:val="14"/>
      </w:rPr>
      <w:t xml:space="preserve">	</w:t>
    </w:r>
    <w:r>
      <w:rPr>
        <w:rFonts w:ascii="Arial" w:cs="Arial" w:eastAsia="Arial" w:hAnsi="Arial"/>
        <w:color w:val="6B7A8D"/>
        <w:sz w:val="14"/>
        <w:szCs w:val="14"/>
      </w:rPr>
      <w:t xml:space="preserve">Page </w:t>
    </w:r>
    <w:r>
      <w:rPr>
        <w:rFonts w:ascii="Arial" w:cs="Arial" w:eastAsia="Arial" w:hAnsi="Arial"/>
        <w:color w:val="6B7A8D"/>
        <w:sz w:val="14"/>
        <w:szCs w:val="14"/>
      </w:rPr>
      <w:fldChar w:fldCharType="begin"/>
      <w:instrText xml:space="preserve">PAGE</w:instrText>
      <w:fldChar w:fldCharType="separate"/>
      <w:fldChar w:fldCharType="end"/>
    </w:r>
    <w:r>
      <w:rPr>
        <w:rFonts w:ascii="Arial" w:cs="Arial" w:eastAsia="Arial" w:hAnsi="Arial"/>
        <w:color w:val="6B7A8D"/>
        <w:sz w:val="14"/>
        <w:szCs w:val="14"/>
      </w:rPr>
      <w:t xml:space="preserve"> of </w:t>
    </w:r>
    <w:r>
      <w:rPr>
        <w:rFonts w:ascii="Arial" w:cs="Arial" w:eastAsia="Arial" w:hAnsi="Arial"/>
        <w:color w:val="6B7A8D"/>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color w:val="08A6D4"/>
      </w:rPr>
    </w:lvl>
  </w:abstractNum>
  <w:abstractNum w:abstractNumId="3" w15:restartNumberingAfterBreak="0">
    <w:multiLevelType w:val="hybridMultilevel"/>
    <w:lvl w:ilvl="0" w15:tentative="1">
      <w:start w:val="1"/>
      <w:numFmt w:val="decimal"/>
      <w:lvlText w:val="%1."/>
      <w:lvlJc w:val="left"/>
      <w:pPr>
        <w:ind w:left="400" w:hanging="240"/>
      </w:pPr>
      <w:rPr>
        <w:rFonts w:ascii="Arial" w:cs="Arial" w:eastAsia="Arial" w:hAnsi="Arial"/>
        <w:b/>
        <w:bCs/>
        <w:color w:val="75488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85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7a23cff298ea4cbf1e0f9eb2152c4c57407d68.png"/><Relationship Id="rId9" Type="http://schemas.openxmlformats.org/officeDocument/2006/relationships/image" Target="media/d2356d30661abbe22e30e5c876f50df248771d94.png"/><Relationship Id="rId10" Type="http://schemas.openxmlformats.org/officeDocument/2006/relationships/image" Target="media/26c4c916b3434ea50d359c3ba81fa2174bbd51b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Exception Report</dc:title>
  <dc:creator>CE-018 Project Controls Assurance Assistant</dc:creator>
  <dc:description>Fictional Demonstration Data — CE-018 Project Controls Assurance Starter Pack</dc:description>
  <cp:lastModifiedBy>Un-named</cp:lastModifiedBy>
  <cp:revision>1</cp:revision>
  <dcterms:created xsi:type="dcterms:W3CDTF">2026-08-24T03:30:32.462Z</dcterms:created>
  <dcterms:modified xsi:type="dcterms:W3CDTF">2026-08-24T03:30:32.462Z</dcterms:modified>
</cp:coreProperties>
</file>

<file path=docProps/custom.xml><?xml version="1.0" encoding="utf-8"?>
<Properties xmlns="http://schemas.openxmlformats.org/officeDocument/2006/custom-properties" xmlns:vt="http://schemas.openxmlformats.org/officeDocument/2006/docPropsVTypes"/>
</file>