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ERD Model 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Illustrate that you understand normalization and how to use it to reduce uncontrolled redundancy in your database design by creating two ERD diagrams: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ERD reformation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discover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that redundancy from a connection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amassing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family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confined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normalization. Insertion, deletion, and replacement abnormalities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 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from social overt repetitiveness. Redundancy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set tables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dwindled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making use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structures.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new records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standardization assists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getting rid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intricacy and overt repetitiveness.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widespread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may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separated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modest tables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connections. It holds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lower 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from having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replica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or rehashing gatherings.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the first using UML and the Umlet free utility.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6791325" cy="38529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85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563c1"/>
        </w:rPr>
      </w:pPr>
      <w:r w:rsidDel="00000000" w:rsidR="00000000" w:rsidRPr="00000000">
        <w:rPr>
          <w:color w:val="0563c1"/>
          <w:rtl w:val="0"/>
        </w:rPr>
        <w:t xml:space="preserve">        </w:t>
      </w:r>
      <w:r w:rsidDel="00000000" w:rsidR="00000000" w:rsidRPr="00000000">
        <w:rPr>
          <w:b w:val="1"/>
          <w:color w:val="0563c1"/>
          <w:rtl w:val="0"/>
        </w:rPr>
        <w:t xml:space="preserve"> Create the second using Crow’s Foot notation in Vertabelo.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190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629" l="2361" r="23194" t="180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