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cs="Times New Roman"/>
          <w:b/>
          <w:i w:val="0"/>
          <w:color w:val="C00000"/>
          <w:sz w:val="28"/>
        </w:rPr>
        <w:t>INITIATING COVERAGE</w:t>
      </w:r>
    </w:p>
    <w:p>
      <w:pPr>
        <w:spacing w:before="120" w:after="80"/>
      </w:pPr>
      <w:r>
        <w:rPr>
          <w:rFonts w:ascii="Times New Roman" w:hAnsi="Times New Roman" w:cs="Times New Roman"/>
          <w:b w:val="0"/>
          <w:i/>
          <w:color w:val="595959"/>
          <w:sz w:val="20"/>
        </w:rPr>
        <w:t>Equity Research</w:t>
      </w:r>
    </w:p>
    <w:p>
      <w:pPr>
        <w:jc w:val="left"/>
      </w:pPr>
      <w:r>
        <w:rPr>
          <w:rFonts w:ascii="Times New Roman" w:hAnsi="Times New Roman" w:cs="Times New Roman"/>
          <w:b/>
          <w:i w:val="0"/>
          <w:color w:val="1F4E78"/>
          <w:sz w:val="44"/>
        </w:rPr>
        <w:t>Cadence Design Systems, Inc.</w:t>
      </w:r>
    </w:p>
    <w:p>
      <w:r>
        <w:rPr>
          <w:rFonts w:ascii="Times New Roman" w:hAnsi="Times New Roman" w:cs="Times New Roman"/>
          <w:b/>
          <w:i w:val="0"/>
          <w:color w:val="1F4E78"/>
          <w:sz w:val="32"/>
        </w:rPr>
        <w:t>NASDAQ: CDNS</w:t>
      </w:r>
    </w:p>
    <w:p>
      <w:r>
        <w:rPr>
          <w:rFonts w:ascii="Times New Roman" w:hAnsi="Times New Roman" w:cs="Times New Roman"/>
          <w:b w:val="0"/>
          <w:i/>
          <w:color w:val="595959"/>
          <w:sz w:val="20"/>
        </w:rPr>
        <w:t>Information Technology — Software | Electronic Design Automation</w:t>
      </w:r>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C00000"/>
          </w:tcPr>
          <w:p>
            <w:pPr>
              <w:jc w:val="center"/>
            </w:pPr>
            <w:r/>
            <w:r>
              <w:rPr>
                <w:rFonts w:ascii="Times New Roman" w:hAnsi="Times New Roman" w:cs="Times New Roman"/>
                <w:b w:val="0"/>
                <w:i w:val="0"/>
                <w:color w:val="FFFFFF"/>
                <w:sz w:val="18"/>
              </w:rPr>
              <w:t>Recommendation</w:t>
              <w:br/>
            </w:r>
            <w:r>
              <w:rPr>
                <w:rFonts w:ascii="Times New Roman" w:hAnsi="Times New Roman" w:cs="Times New Roman"/>
                <w:b/>
                <w:i w:val="0"/>
                <w:color w:val="FFFFFF"/>
                <w:sz w:val="28"/>
              </w:rPr>
              <w:t>BUY</w:t>
            </w:r>
          </w:p>
        </w:tc>
        <w:tc>
          <w:tcPr>
            <w:tcW w:type="dxa" w:w="2493"/>
            <w:shd w:val="clear" w:color="auto" w:fill="1F4E78"/>
          </w:tcPr>
          <w:p>
            <w:pPr>
              <w:jc w:val="center"/>
            </w:pPr>
            <w:r/>
            <w:r>
              <w:rPr>
                <w:rFonts w:ascii="Times New Roman" w:hAnsi="Times New Roman" w:cs="Times New Roman"/>
                <w:b w:val="0"/>
                <w:i w:val="0"/>
                <w:color w:val="FFFFFF"/>
                <w:sz w:val="18"/>
              </w:rPr>
              <w:t>12-Mo Price Target</w:t>
              <w:br/>
            </w:r>
            <w:r>
              <w:rPr>
                <w:rFonts w:ascii="Times New Roman" w:hAnsi="Times New Roman" w:cs="Times New Roman"/>
                <w:b/>
                <w:i w:val="0"/>
                <w:color w:val="FFFFFF"/>
                <w:sz w:val="28"/>
              </w:rPr>
              <w:t>$400</w:t>
            </w:r>
          </w:p>
        </w:tc>
        <w:tc>
          <w:tcPr>
            <w:tcW w:type="dxa" w:w="2493"/>
            <w:shd w:val="clear" w:color="auto" w:fill="1F4E78"/>
          </w:tcPr>
          <w:p>
            <w:pPr>
              <w:jc w:val="center"/>
            </w:pPr>
            <w:r/>
            <w:r>
              <w:rPr>
                <w:rFonts w:ascii="Times New Roman" w:hAnsi="Times New Roman" w:cs="Times New Roman"/>
                <w:b w:val="0"/>
                <w:i w:val="0"/>
                <w:color w:val="FFFFFF"/>
                <w:sz w:val="18"/>
              </w:rPr>
              <w:t>Current Price</w:t>
              <w:br/>
            </w:r>
            <w:r>
              <w:rPr>
                <w:rFonts w:ascii="Times New Roman" w:hAnsi="Times New Roman" w:cs="Times New Roman"/>
                <w:b/>
                <w:i w:val="0"/>
                <w:color w:val="FFFFFF"/>
                <w:sz w:val="28"/>
              </w:rPr>
              <w:t>$338.19</w:t>
            </w:r>
          </w:p>
        </w:tc>
        <w:tc>
          <w:tcPr>
            <w:tcW w:type="dxa" w:w="2493"/>
            <w:shd w:val="clear" w:color="auto" w:fill="1F4E78"/>
          </w:tcPr>
          <w:p>
            <w:pPr>
              <w:jc w:val="center"/>
            </w:pPr>
            <w:r/>
            <w:r>
              <w:rPr>
                <w:rFonts w:ascii="Times New Roman" w:hAnsi="Times New Roman" w:cs="Times New Roman"/>
                <w:b w:val="0"/>
                <w:i w:val="0"/>
                <w:color w:val="FFFFFF"/>
                <w:sz w:val="18"/>
              </w:rPr>
              <w:t>Implied Upside</w:t>
              <w:br/>
            </w:r>
            <w:r>
              <w:rPr>
                <w:rFonts w:ascii="Times New Roman" w:hAnsi="Times New Roman" w:cs="Times New Roman"/>
                <w:b/>
                <w:i w:val="0"/>
                <w:color w:val="FFFFFF"/>
                <w:sz w:val="28"/>
              </w:rPr>
              <w:t>+18.3%</w:t>
            </w:r>
          </w:p>
        </w:tc>
      </w:tr>
    </w:tbl>
    <w:p/>
    <w:p>
      <w:pPr>
        <w:spacing w:before="160" w:after="60"/>
      </w:pPr>
      <w:r>
        <w:rPr>
          <w:rFonts w:ascii="Times New Roman" w:hAnsi="Times New Roman" w:cs="Times New Roman"/>
          <w:b/>
          <w:i w:val="0"/>
          <w:color w:val="C00000"/>
          <w:sz w:val="22"/>
        </w:rPr>
        <w:t>Key Statistics</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Metric</w:t>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Value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Ticker</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NASDAQ: CDNS</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Market capitalization</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$93.3B</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Enterprise value</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$92.7B</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Diluted shares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273.3</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FY25 revenue</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$5,297M</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FY26E revenue (guide)</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$6,175M</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FY26E non-GAAP EPS</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DCF intrinsic value</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$194</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12-month price target</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Recommendation</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BUY</w:t>
            </w:r>
          </w:p>
        </w:tc>
      </w:tr>
    </w:tbl>
    <w:p>
      <w:pPr>
        <w:spacing w:before="120" w:after="40"/>
        <w:jc w:val="center"/>
      </w:pPr>
      <w:r>
        <w:drawing>
          <wp:inline xmlns:a="http://schemas.openxmlformats.org/drawingml/2006/main" xmlns:pic="http://schemas.openxmlformats.org/drawingml/2006/picture">
            <wp:extent cx="5943600" cy="2864309"/>
            <wp:docPr id="1" name="Picture 1"/>
            <wp:cNvGraphicFramePr>
              <a:graphicFrameLocks noChangeAspect="1"/>
            </wp:cNvGraphicFramePr>
            <a:graphic>
              <a:graphicData uri="http://schemas.openxmlformats.org/drawingml/2006/picture">
                <pic:pic>
                  <pic:nvPicPr>
                    <pic:cNvPr id="0" name="chart_01_stock_price_5y.png"/>
                    <pic:cNvPicPr/>
                  </pic:nvPicPr>
                  <pic:blipFill>
                    <a:blip r:embed="rId9"/>
                    <a:stretch>
                      <a:fillRect/>
                    </a:stretch>
                  </pic:blipFill>
                  <pic:spPr>
                    <a:xfrm>
                      <a:off x="0" y="0"/>
                      <a:ext cx="5943600" cy="2864309"/>
                    </a:xfrm>
                    <a:prstGeom prst="rect"/>
                  </pic:spPr>
                </pic:pic>
              </a:graphicData>
            </a:graphic>
          </wp:inline>
        </w:drawing>
      </w:r>
    </w:p>
    <w:p>
      <w:pPr>
        <w:spacing w:after="160"/>
        <w:jc w:val="center"/>
      </w:pPr>
      <w:r>
        <w:rPr>
          <w:rFonts w:ascii="Times New Roman" w:hAnsi="Times New Roman" w:cs="Times New Roman"/>
          <w:b w:val="0"/>
          <w:i/>
          <w:color w:val="595959"/>
          <w:sz w:val="18"/>
        </w:rPr>
        <w:t>NASDAQ: CDNS — 5-Year Stock Price + 12-Month Price Target</w:t>
      </w:r>
    </w:p>
    <w:p>
      <w:r>
        <w:br w:type="page"/>
      </w:r>
    </w:p>
    <w:p>
      <w:pPr>
        <w:spacing w:before="360" w:after="120"/>
        <w:pBdr>
          <w:bottom w:val="single" w:sz="8" w:space="1" w:color="1F4E78"/>
        </w:pBdr>
      </w:pPr>
      <w:r>
        <w:rPr>
          <w:rFonts w:ascii="Times New Roman" w:hAnsi="Times New Roman" w:cs="Times New Roman"/>
          <w:b/>
          <w:i w:val="0"/>
          <w:color w:val="1F4E78"/>
          <w:sz w:val="32"/>
        </w:rPr>
        <w:t>Investment Summary</w:t>
      </w:r>
    </w:p>
    <w:p>
      <w:pPr>
        <w:spacing w:after="120" w:lineRule="auto" w:line="276"/>
      </w:pPr>
      <w:r>
        <w:rPr>
          <w:rFonts w:ascii="Times New Roman" w:hAnsi="Times New Roman" w:cs="Times New Roman"/>
          <w:b w:val="0"/>
          <w:i w:val="0"/>
          <w:sz w:val="22"/>
        </w:rPr>
        <w:t>We initiate coverage of Cadence Design Systems (CDNS) with a BUY rating and a 12-month price target of $400, representing ~18% upside from the current $338.19. Cadence is one of two pure-play public vehicles for the secular acceleration of semiconductor design spend driven by AI infrastructure, advanced packaging, automotive software-defined silicon, and the broader shift to chiplets. Our thesis rests on five pillars: a structural AI-design tailwind, clean +14% all-organic growth, best-in-class profitability (~44% non-GAAP operating margin), a pristine balance sheet ($0.5B net cash) enabling continued bolt-on M&amp;A and buyback, and the cleanest three-horizon AI narrative in the EDA sector. We see the current valuation (~43x forward P/E) as justified by quality, recurring revenue (&gt;80%), customer entrenchment (near-100% retention), and the secular position of EDA as a regulated duopoly.</w:t>
      </w:r>
    </w:p>
    <w:p>
      <w:pPr>
        <w:spacing w:before="240" w:after="80"/>
      </w:pPr>
      <w:r>
        <w:rPr>
          <w:rFonts w:ascii="Times New Roman" w:hAnsi="Times New Roman" w:cs="Times New Roman"/>
          <w:b/>
          <w:i w:val="0"/>
          <w:color w:val="1F4E78"/>
          <w:sz w:val="26"/>
        </w:rPr>
        <w:t>Investment Thesis (5 Pillars)</w:t>
      </w:r>
    </w:p>
    <w:p>
      <w:pPr>
        <w:spacing w:before="160" w:after="60"/>
      </w:pPr>
      <w:r>
        <w:rPr>
          <w:rFonts w:ascii="Times New Roman" w:hAnsi="Times New Roman" w:cs="Times New Roman"/>
          <w:b/>
          <w:i w:val="0"/>
          <w:color w:val="C00000"/>
          <w:sz w:val="22"/>
        </w:rPr>
        <w:t>AI-Infrastructure Tollkeeper</w:t>
      </w:r>
    </w:p>
    <w:p>
      <w:pPr>
        <w:spacing w:after="120" w:lineRule="auto" w:line="276"/>
      </w:pPr>
      <w:r>
        <w:rPr>
          <w:rFonts w:ascii="Times New Roman" w:hAnsi="Times New Roman" w:cs="Times New Roman"/>
          <w:b w:val="0"/>
          <w:i w:val="0"/>
          <w:sz w:val="22"/>
        </w:rPr>
        <w:t>Every leading-edge AI accelerator must pass through Cadence tools — Cerebrus, Allegro X, Palladium emulation. Customers (NVIDIA Blackwell/Rubin, AMD MI400, Google TPU, Meta MTIA, Microsoft Maia, Amazon Trainium) cannot replace this toolchain. Cadence is one of two pure-play public vehicles for AI silicon design spend.</w:t>
      </w:r>
    </w:p>
    <w:p>
      <w:pPr>
        <w:spacing w:before="160" w:after="60"/>
      </w:pPr>
      <w:r>
        <w:rPr>
          <w:rFonts w:ascii="Times New Roman" w:hAnsi="Times New Roman" w:cs="Times New Roman"/>
          <w:b/>
          <w:i w:val="0"/>
          <w:color w:val="C00000"/>
          <w:sz w:val="22"/>
        </w:rPr>
        <w:t>All-Organic 14% Growth Compounder</w:t>
      </w:r>
    </w:p>
    <w:p>
      <w:pPr>
        <w:spacing w:after="120" w:lineRule="auto" w:line="276"/>
      </w:pPr>
      <w:r>
        <w:rPr>
          <w:rFonts w:ascii="Times New Roman" w:hAnsi="Times New Roman" w:cs="Times New Roman"/>
          <w:b w:val="0"/>
          <w:i w:val="0"/>
          <w:sz w:val="22"/>
        </w:rPr>
        <w:t>FY25 +14% all-organic (vs. Synopsys's +15% boosted by M&amp;A); FY26 guide raised on Q1 strength to $6.125-$6.225B (+16% mid). Backlog $7.8B → $8.0B at Q1 26 = 1.5x trailing revenue; strong visibility into FY26-27.</w:t>
      </w:r>
    </w:p>
    <w:p>
      <w:pPr>
        <w:spacing w:before="160" w:after="60"/>
      </w:pPr>
      <w:r>
        <w:rPr>
          <w:rFonts w:ascii="Times New Roman" w:hAnsi="Times New Roman" w:cs="Times New Roman"/>
          <w:b/>
          <w:i w:val="0"/>
          <w:color w:val="C00000"/>
          <w:sz w:val="22"/>
        </w:rPr>
        <w:t>Best-in-Class Profitability</w:t>
      </w:r>
    </w:p>
    <w:p>
      <w:pPr>
        <w:spacing w:after="120" w:lineRule="auto" w:line="276"/>
      </w:pPr>
      <w:r>
        <w:rPr>
          <w:rFonts w:ascii="Times New Roman" w:hAnsi="Times New Roman" w:cs="Times New Roman"/>
          <w:b w:val="0"/>
          <w:i w:val="0"/>
          <w:sz w:val="22"/>
        </w:rPr>
        <w:t>FY25 non-GAAP operating margin ~44%, GAAP ~28%; 90% gross margin; &gt;100% net retention. Combined with high ROIC, Cadence is a pristine quality-software compounder.</w:t>
      </w:r>
    </w:p>
    <w:p>
      <w:pPr>
        <w:spacing w:before="160" w:after="60"/>
      </w:pPr>
      <w:r>
        <w:rPr>
          <w:rFonts w:ascii="Times New Roman" w:hAnsi="Times New Roman" w:cs="Times New Roman"/>
          <w:b/>
          <w:i w:val="0"/>
          <w:color w:val="C00000"/>
          <w:sz w:val="22"/>
        </w:rPr>
        <w:t>Clean Balance Sheet = Optionality</w:t>
      </w:r>
    </w:p>
    <w:p>
      <w:pPr>
        <w:spacing w:after="120" w:lineRule="auto" w:line="276"/>
      </w:pPr>
      <w:r>
        <w:rPr>
          <w:rFonts w:ascii="Times New Roman" w:hAnsi="Times New Roman" w:cs="Times New Roman"/>
          <w:b w:val="0"/>
          <w:i w:val="0"/>
          <w:sz w:val="22"/>
        </w:rPr>
        <w:t>$3.0B cash, $2.5B debt → $0.5B net cash. $1.4B remaining buyback authorization. Hexagon D&amp;E pending close (1H 2026) adds ~$200M revenue + MSC Nastran multi-physics. SNPS has $10.6B net debt and tied hands; CDNS is the active acquirer.</w:t>
      </w:r>
    </w:p>
    <w:p>
      <w:pPr>
        <w:spacing w:before="160" w:after="60"/>
      </w:pPr>
      <w:r>
        <w:rPr>
          <w:rFonts w:ascii="Times New Roman" w:hAnsi="Times New Roman" w:cs="Times New Roman"/>
          <w:b/>
          <w:i w:val="0"/>
          <w:color w:val="C00000"/>
          <w:sz w:val="22"/>
        </w:rPr>
        <w:t>Three-Horizon AI Narrative</w:t>
      </w:r>
    </w:p>
    <w:p>
      <w:pPr>
        <w:spacing w:after="120" w:lineRule="auto" w:line="276"/>
      </w:pPr>
      <w:r>
        <w:rPr>
          <w:rFonts w:ascii="Times New Roman" w:hAnsi="Times New Roman" w:cs="Times New Roman"/>
          <w:b w:val="0"/>
          <w:i w:val="0"/>
          <w:sz w:val="22"/>
        </w:rPr>
        <w:t>Cadence's 'Infrastructure AI / Physical AI / Life Sciences AI' framing is the cleanest growth narrative in the sector. Cerebrus + JedAI is the most-agentic AI-design suite (&gt;1,000 tapeouts; ~50 new logos/quarter).</w:t>
      </w:r>
    </w:p>
    <w:p>
      <w:pPr>
        <w:spacing w:before="240" w:after="80"/>
      </w:pPr>
      <w:r>
        <w:rPr>
          <w:rFonts w:ascii="Times New Roman" w:hAnsi="Times New Roman" w:cs="Times New Roman"/>
          <w:b/>
          <w:i w:val="0"/>
          <w:color w:val="1F4E78"/>
          <w:sz w:val="26"/>
        </w:rPr>
        <w:t>Key Risks to Thesis</w:t>
      </w:r>
    </w:p>
    <w:p>
      <w:pPr>
        <w:pStyle w:val="ListBullet"/>
        <w:ind w:left="432"/>
      </w:pPr>
      <w:r>
        <w:rPr>
          <w:rFonts w:ascii="Times New Roman" w:hAnsi="Times New Roman" w:cs="Times New Roman"/>
          <w:b/>
          <w:i w:val="0"/>
          <w:sz w:val="22"/>
        </w:rPr>
        <w:t>BIS Settlement Overhang</w:t>
      </w:r>
      <w:r>
        <w:rPr>
          <w:rFonts w:ascii="Times New Roman" w:hAnsi="Times New Roman" w:cs="Times New Roman"/>
          <w:b w:val="0"/>
          <w:i w:val="0"/>
          <w:sz w:val="22"/>
        </w:rPr>
        <w:t xml:space="preserve"> — $140.6M July 2025 guilty plea on China export violations carries 3-year probation and audit obligations; constrains M&amp;A capability.</w:t>
      </w:r>
    </w:p>
    <w:p>
      <w:pPr>
        <w:pStyle w:val="ListBullet"/>
        <w:ind w:left="432"/>
      </w:pPr>
      <w:r>
        <w:rPr>
          <w:rFonts w:ascii="Times New Roman" w:hAnsi="Times New Roman" w:cs="Times New Roman"/>
          <w:b/>
          <w:i w:val="0"/>
          <w:sz w:val="22"/>
        </w:rPr>
        <w:t>Hexagon Integration</w:t>
      </w:r>
      <w:r>
        <w:rPr>
          <w:rFonts w:ascii="Times New Roman" w:hAnsi="Times New Roman" w:cs="Times New Roman"/>
          <w:b w:val="0"/>
          <w:i w:val="0"/>
          <w:sz w:val="22"/>
        </w:rPr>
        <w:t xml:space="preserve"> — Largest M&amp;A in company history will absorb management bandwidth in 1H 2026; channel-model differences.</w:t>
      </w:r>
    </w:p>
    <w:p>
      <w:pPr>
        <w:pStyle w:val="ListBullet"/>
        <w:ind w:left="432"/>
      </w:pPr>
      <w:r>
        <w:rPr>
          <w:rFonts w:ascii="Times New Roman" w:hAnsi="Times New Roman" w:cs="Times New Roman"/>
          <w:b/>
          <w:i w:val="0"/>
          <w:sz w:val="22"/>
        </w:rPr>
        <w:t>EU AI Act (Aug 2026)</w:t>
      </w:r>
      <w:r>
        <w:rPr>
          <w:rFonts w:ascii="Times New Roman" w:hAnsi="Times New Roman" w:cs="Times New Roman"/>
          <w:b w:val="0"/>
          <w:i w:val="0"/>
          <w:sz w:val="22"/>
        </w:rPr>
        <w:t xml:space="preserve"> — Cadence is the only EDA peer to explicitly call this out; fines up to 7% of worldwide turnover. Cost burden uncertain.</w:t>
      </w:r>
    </w:p>
    <w:p>
      <w:pPr>
        <w:pStyle w:val="ListBullet"/>
        <w:ind w:left="432"/>
      </w:pPr>
      <w:r>
        <w:rPr>
          <w:rFonts w:ascii="Times New Roman" w:hAnsi="Times New Roman" w:cs="Times New Roman"/>
          <w:b/>
          <w:i w:val="0"/>
          <w:sz w:val="22"/>
        </w:rPr>
        <w:t>Chinese Domestic Competition</w:t>
      </w:r>
      <w:r>
        <w:rPr>
          <w:rFonts w:ascii="Times New Roman" w:hAnsi="Times New Roman" w:cs="Times New Roman"/>
          <w:b w:val="0"/>
          <w:i w:val="0"/>
          <w:sz w:val="22"/>
        </w:rPr>
        <w:t xml:space="preserve"> — Huada Empyrean, Xpeedic, X-EPIC, Primarius, Univista, Giga Design named in 10-K; geopolitical decoupling accelerates risk.</w:t>
      </w:r>
    </w:p>
    <w:p>
      <w:pPr>
        <w:pStyle w:val="ListBullet"/>
        <w:ind w:left="432"/>
      </w:pPr>
      <w:r>
        <w:rPr>
          <w:rFonts w:ascii="Times New Roman" w:hAnsi="Times New Roman" w:cs="Times New Roman"/>
          <w:b/>
          <w:i w:val="0"/>
          <w:sz w:val="22"/>
        </w:rPr>
        <w:t>Valuation Multiple Compression</w:t>
      </w:r>
      <w:r>
        <w:rPr>
          <w:rFonts w:ascii="Times New Roman" w:hAnsi="Times New Roman" w:cs="Times New Roman"/>
          <w:b w:val="0"/>
          <w:i w:val="0"/>
          <w:sz w:val="22"/>
        </w:rPr>
        <w:t xml:space="preserve"> — ~43x forward P/E leaves little margin for any deceleration below 12% revenue growth.</w:t>
      </w:r>
    </w:p>
    <w:p>
      <w:pPr>
        <w:spacing w:before="120" w:after="40"/>
        <w:jc w:val="center"/>
      </w:pPr>
      <w:r>
        <w:drawing>
          <wp:inline xmlns:a="http://schemas.openxmlformats.org/drawingml/2006/main" xmlns:pic="http://schemas.openxmlformats.org/drawingml/2006/picture">
            <wp:extent cx="5943600" cy="3048318"/>
            <wp:docPr id="2" name="Picture 2"/>
            <wp:cNvGraphicFramePr>
              <a:graphicFrameLocks noChangeAspect="1"/>
            </wp:cNvGraphicFramePr>
            <a:graphic>
              <a:graphicData uri="http://schemas.openxmlformats.org/drawingml/2006/picture">
                <pic:pic>
                  <pic:nvPicPr>
                    <pic:cNvPr id="0" name="chart_02_revenue_margin_trends.png"/>
                    <pic:cNvPicPr/>
                  </pic:nvPicPr>
                  <pic:blipFill>
                    <a:blip r:embed="rId10"/>
                    <a:stretch>
                      <a:fillRect/>
                    </a:stretch>
                  </pic:blipFill>
                  <pic:spPr>
                    <a:xfrm>
                      <a:off x="0" y="0"/>
                      <a:ext cx="5943600" cy="3048318"/>
                    </a:xfrm>
                    <a:prstGeom prst="rect"/>
                  </pic:spPr>
                </pic:pic>
              </a:graphicData>
            </a:graphic>
          </wp:inline>
        </w:drawing>
      </w:r>
    </w:p>
    <w:p>
      <w:pPr>
        <w:spacing w:after="160"/>
        <w:jc w:val="center"/>
      </w:pPr>
      <w:r>
        <w:rPr>
          <w:rFonts w:ascii="Times New Roman" w:hAnsi="Times New Roman" w:cs="Times New Roman"/>
          <w:b w:val="0"/>
          <w:i/>
          <w:color w:val="595959"/>
          <w:sz w:val="18"/>
        </w:rPr>
        <w:t>NASDAQ: CDNS — Revenue &amp; Non-GAAP Operating Margin (5y Historical + 5y Projected)</w:t>
      </w:r>
    </w:p>
    <w:p>
      <w:r>
        <w:br w:type="page"/>
      </w:r>
    </w:p>
    <w:p>
      <w:pPr>
        <w:spacing w:before="360" w:after="120"/>
        <w:pBdr>
          <w:bottom w:val="single" w:sz="8" w:space="1" w:color="1F4E78"/>
        </w:pBdr>
      </w:pPr>
      <w:r>
        <w:rPr>
          <w:rFonts w:ascii="Times New Roman" w:hAnsi="Times New Roman" w:cs="Times New Roman"/>
          <w:b/>
          <w:i w:val="0"/>
          <w:color w:val="1F4E78"/>
          <w:sz w:val="32"/>
        </w:rPr>
        <w:t>Company Overview</w:t>
      </w:r>
    </w:p>
    <w:p>
      <w:pPr>
        <w:spacing w:before="360" w:after="120"/>
        <w:pBdr>
          <w:bottom w:val="single" w:sz="8" w:space="1" w:color="1F4E78"/>
        </w:pBdr>
      </w:pPr>
      <w:r>
        <w:rPr>
          <w:rFonts w:ascii="Times New Roman" w:hAnsi="Times New Roman" w:cs="Times New Roman"/>
          <w:b/>
          <w:i w:val="0"/>
          <w:color w:val="1F4E78"/>
          <w:sz w:val="32"/>
        </w:rPr>
        <w:t>COMPANY OVERVIEW</w:t>
      </w:r>
    </w:p>
    <w:p>
      <w:pPr>
        <w:spacing w:after="120" w:lineRule="auto" w:line="276"/>
      </w:pPr>
      <w:r>
        <w:rPr>
          <w:rFonts w:ascii="Times New Roman" w:hAnsi="Times New Roman" w:cs="Times New Roman"/>
          <w:b/>
          <w:i w:val="0"/>
          <w:sz w:val="22"/>
        </w:rPr>
        <w:t>Cadence Design Systems, Inc.</w:t>
      </w:r>
      <w:r>
        <w:rPr>
          <w:rFonts w:ascii="Times New Roman" w:hAnsi="Times New Roman" w:cs="Times New Roman"/>
          <w:b w:val="0"/>
          <w:i w:val="0"/>
          <w:sz w:val="22"/>
        </w:rPr>
        <w:t xml:space="preserve"> is the world's #2 supplier of electronic design automation (EDA) software, hardware emulation/prototyping systems, and silicon intellectual property (IP), occupying — together with Synopsys (SNPS) and Siemens EDA — a tight near-oligopoly that the EDA industry sometimes calls "the Big Three." Cadence sells the tools, hardware, and IP blocks that virtually every meaningful semiconductor design team on Earth uses to architect, simulate, verify, place-and-route, and sign off integrated circuits and full electromechanical systems. Headquartered at 2655 Seely Avenue in San Jose, California, the company describes itself as "a global technology leader that develops computational, AI-driven software, accelerated hardware, and silicon intellectual property ("IP") products and solutions" and frames its strategy under the "Intelligent System Design™" (ISD) banner (Cadence 2025 10-K, p. 1).</w:t>
      </w:r>
    </w:p>
    <w:p>
      <w:pPr>
        <w:spacing w:after="120" w:lineRule="auto" w:line="276"/>
      </w:pPr>
      <w:r>
        <w:rPr>
          <w:rFonts w:ascii="Times New Roman" w:hAnsi="Times New Roman" w:cs="Times New Roman"/>
          <w:b/>
          <w:i w:val="0"/>
          <w:sz w:val="22"/>
        </w:rPr>
        <w:t>What it does, in plain English.</w:t>
      </w:r>
      <w:r>
        <w:rPr>
          <w:rFonts w:ascii="Times New Roman" w:hAnsi="Times New Roman" w:cs="Times New Roman"/>
          <w:b w:val="0"/>
          <w:i w:val="0"/>
          <w:sz w:val="22"/>
        </w:rPr>
        <w:t xml:space="preserve"> Modern chips have tens to hundreds of billions of transistors; no human can lay them out by hand. Cadence supplies the software ("EDA tools") that lets engineers describe a chip in code (Verilog/SystemVerilog), automatically synthesize that code into a gate-level netlist, place those gates on silicon, route the wires between them, simulate the result, verify it matches the original intent, and finally sign it off so a foundry like TSMC or Samsung can fabricate it. Cadence also leases multi-million-dollar </w:t>
      </w:r>
      <w:r>
        <w:rPr>
          <w:rFonts w:ascii="Times New Roman" w:hAnsi="Times New Roman" w:cs="Times New Roman"/>
          <w:b/>
          <w:i w:val="0"/>
          <w:sz w:val="22"/>
        </w:rPr>
        <w:t>hardware emulation boxes</w:t>
      </w:r>
      <w:r>
        <w:rPr>
          <w:rFonts w:ascii="Times New Roman" w:hAnsi="Times New Roman" w:cs="Times New Roman"/>
          <w:b w:val="0"/>
          <w:i w:val="0"/>
          <w:sz w:val="22"/>
        </w:rPr>
        <w:t xml:space="preserve"> (Palladium, Protium) that let customers run a chip's RTL at near-silicon speed before tape-out, and licenses pre-designed </w:t>
      </w:r>
      <w:r>
        <w:rPr>
          <w:rFonts w:ascii="Times New Roman" w:hAnsi="Times New Roman" w:cs="Times New Roman"/>
          <w:b/>
          <w:i w:val="0"/>
          <w:sz w:val="22"/>
        </w:rPr>
        <w:t>silicon IP</w:t>
      </w:r>
      <w:r>
        <w:rPr>
          <w:rFonts w:ascii="Times New Roman" w:hAnsi="Times New Roman" w:cs="Times New Roman"/>
          <w:b w:val="0"/>
          <w:i w:val="0"/>
          <w:sz w:val="22"/>
        </w:rPr>
        <w:t xml:space="preserve"> blocks (PCIe, CXL, HBM, DDR, USB, SerDes, Tensilica DSPs, Secure-IC security) that customers drop into their SoCs to save engineering years.</w:t>
      </w:r>
    </w:p>
    <w:p>
      <w:pPr>
        <w:spacing w:after="120" w:lineRule="auto" w:line="276"/>
      </w:pPr>
      <w:r>
        <w:rPr>
          <w:rFonts w:ascii="Times New Roman" w:hAnsi="Times New Roman" w:cs="Times New Roman"/>
          <w:b/>
          <w:i w:val="0"/>
          <w:sz w:val="22"/>
        </w:rPr>
        <w:t>How it makes money.</w:t>
      </w:r>
      <w:r>
        <w:rPr>
          <w:rFonts w:ascii="Times New Roman" w:hAnsi="Times New Roman" w:cs="Times New Roman"/>
          <w:b w:val="0"/>
          <w:i w:val="0"/>
          <w:sz w:val="22"/>
        </w:rPr>
        <w:t xml:space="preserve"> Cadence's revenue model is highly recurring — the company reports the vast majority of its software is sold under time-based licenses (typically 2–3 years), and customers also sign hardware lease arrangements, IP royalty agreements, and multi-year master agreements known internally as "non-cancellable bookings." For FY2025, </w:t>
      </w:r>
      <w:r>
        <w:rPr>
          <w:rFonts w:ascii="Times New Roman" w:hAnsi="Times New Roman" w:cs="Times New Roman"/>
          <w:b/>
          <w:i w:val="0"/>
          <w:sz w:val="22"/>
        </w:rPr>
        <w:t>product and maintenance revenue was USD 4,821.6M (91% of revenue, +14% YoY) and services revenue was USD 475.2M (9%, +11% YoY)</w:t>
      </w:r>
      <w:r>
        <w:rPr>
          <w:rFonts w:ascii="Times New Roman" w:hAnsi="Times New Roman" w:cs="Times New Roman"/>
          <w:b w:val="0"/>
          <w:i w:val="0"/>
          <w:sz w:val="22"/>
        </w:rPr>
        <w:t xml:space="preserve">, for total revenue of </w:t>
      </w:r>
      <w:r>
        <w:rPr>
          <w:rFonts w:ascii="Times New Roman" w:hAnsi="Times New Roman" w:cs="Times New Roman"/>
          <w:b/>
          <w:i w:val="0"/>
          <w:sz w:val="22"/>
        </w:rPr>
        <w:t>USD 5,296.8M (+14% YoY)</w:t>
      </w:r>
      <w:r>
        <w:rPr>
          <w:rFonts w:ascii="Times New Roman" w:hAnsi="Times New Roman" w:cs="Times New Roman"/>
          <w:b w:val="0"/>
          <w:i w:val="0"/>
          <w:sz w:val="22"/>
        </w:rPr>
        <w:t xml:space="preserve"> (Cadence 2025 10-K, MD&amp;A). On an internal product-category split (disclosed in earnings calls and CFO commentary rather than in the 10-K segment note — Cadence is a single reportable segment under ASC 280), </w:t>
      </w:r>
      <w:r>
        <w:rPr>
          <w:rFonts w:ascii="Times New Roman" w:hAnsi="Times New Roman" w:cs="Times New Roman"/>
          <w:b/>
          <w:i w:val="0"/>
          <w:sz w:val="22"/>
        </w:rPr>
        <w:t>Core EDA grew 13% in FY2025</w:t>
      </w:r>
      <w:r>
        <w:rPr>
          <w:rFonts w:ascii="Times New Roman" w:hAnsi="Times New Roman" w:cs="Times New Roman"/>
          <w:b w:val="0"/>
          <w:i w:val="0"/>
          <w:sz w:val="22"/>
        </w:rPr>
        <w:t>, IP roughly +20%, and System Design &amp; Analysis low-teens. In Q1 2026 the cadence accelerated — Core EDA +18%, IP +22%, SD&amp;A +18%, hardware delivered "a record quarter" (Q1-2026 press release, 2026-04-27).</w:t>
      </w:r>
    </w:p>
    <w:p>
      <w:pPr>
        <w:spacing w:after="120" w:lineRule="auto" w:line="276"/>
      </w:pPr>
      <w:r>
        <w:rPr>
          <w:rFonts w:ascii="Times New Roman" w:hAnsi="Times New Roman" w:cs="Times New Roman"/>
          <w:b/>
          <w:i w:val="0"/>
          <w:sz w:val="22"/>
        </w:rPr>
        <w:t>Where it operates.</w:t>
      </w:r>
      <w:r>
        <w:rPr>
          <w:rFonts w:ascii="Times New Roman" w:hAnsi="Times New Roman" w:cs="Times New Roman"/>
          <w:b w:val="0"/>
          <w:i w:val="0"/>
          <w:sz w:val="22"/>
        </w:rPr>
        <w:t xml:space="preserve"> Cadence sells globally, with </w:t>
      </w:r>
      <w:r>
        <w:rPr>
          <w:rFonts w:ascii="Times New Roman" w:hAnsi="Times New Roman" w:cs="Times New Roman"/>
          <w:b/>
          <w:i w:val="0"/>
          <w:sz w:val="22"/>
        </w:rPr>
        <w:t>United States = USD 2,311.0M (44% of FY25 revenue), Other Asia (ex-China, principally Taiwan and Korea) = USD 1,005.2M (19%), EMEA = USD 790.6M (15%), China = USD 680.0M (13%), Japan = USD 341.7M (6%), Other Americas = USD 168.3M (3%)</w:t>
      </w:r>
      <w:r>
        <w:rPr>
          <w:rFonts w:ascii="Times New Roman" w:hAnsi="Times New Roman" w:cs="Times New Roman"/>
          <w:b w:val="0"/>
          <w:i w:val="0"/>
          <w:sz w:val="22"/>
        </w:rPr>
        <w:t xml:space="preserve"> (Cadence 2025 10-K, Note 17). Notably, China revenue *grew* 19% in FY2025 despite a high-profile, six-week U.S. Bureau of Industry and Security (BIS) "EDA-to-China" license requirement that was imposed on 2025-05-23 and rescinded on 2025-07-02 (Cadence 2025 10-K, p. 14; TrendForce, 2025-06-02).</w:t>
      </w:r>
    </w:p>
    <w:p>
      <w:pPr>
        <w:spacing w:after="120" w:lineRule="auto" w:line="276"/>
      </w:pPr>
      <w:r>
        <w:rPr>
          <w:rFonts w:ascii="Times New Roman" w:hAnsi="Times New Roman" w:cs="Times New Roman"/>
          <w:b/>
          <w:i w:val="0"/>
          <w:sz w:val="22"/>
        </w:rPr>
        <w:t>Scale.</w:t>
      </w:r>
      <w:r>
        <w:rPr>
          <w:rFonts w:ascii="Times New Roman" w:hAnsi="Times New Roman" w:cs="Times New Roman"/>
          <w:b w:val="0"/>
          <w:i w:val="0"/>
          <w:sz w:val="22"/>
        </w:rPr>
        <w:t xml:space="preserve"> Cadence ended FY2025 with </w:t>
      </w:r>
      <w:r>
        <w:rPr>
          <w:rFonts w:ascii="Times New Roman" w:hAnsi="Times New Roman" w:cs="Times New Roman"/>
          <w:b/>
          <w:i w:val="0"/>
          <w:sz w:val="22"/>
        </w:rPr>
        <w:t>~13,800 employees</w:t>
      </w:r>
      <w:r>
        <w:rPr>
          <w:rFonts w:ascii="Times New Roman" w:hAnsi="Times New Roman" w:cs="Times New Roman"/>
          <w:b w:val="0"/>
          <w:i w:val="0"/>
          <w:sz w:val="22"/>
        </w:rPr>
        <w:t xml:space="preserve"> (vs. ~12,300 at the prior fiscal year-end), the majority in engineering roles, plus approximately 1,100 additional staff added on 2026-02-23 with the closing of the Hexagon Design &amp; Engineering acquisition (Cadence 2025 10-K, p. 8; Cadence press release, 2026-02-23). Total assets were </w:t>
      </w:r>
      <w:r>
        <w:rPr>
          <w:rFonts w:ascii="Times New Roman" w:hAnsi="Times New Roman" w:cs="Times New Roman"/>
          <w:b/>
          <w:i w:val="0"/>
          <w:sz w:val="22"/>
        </w:rPr>
        <w:t>USD 10.15 billion</w:t>
      </w:r>
      <w:r>
        <w:rPr>
          <w:rFonts w:ascii="Times New Roman" w:hAnsi="Times New Roman" w:cs="Times New Roman"/>
          <w:b w:val="0"/>
          <w:i w:val="0"/>
          <w:sz w:val="22"/>
        </w:rPr>
        <w:t xml:space="preserve">, cash and cash equivalents </w:t>
      </w:r>
      <w:r>
        <w:rPr>
          <w:rFonts w:ascii="Times New Roman" w:hAnsi="Times New Roman" w:cs="Times New Roman"/>
          <w:b/>
          <w:i w:val="0"/>
          <w:sz w:val="22"/>
        </w:rPr>
        <w:t>USD 3.00 billion</w:t>
      </w:r>
      <w:r>
        <w:rPr>
          <w:rFonts w:ascii="Times New Roman" w:hAnsi="Times New Roman" w:cs="Times New Roman"/>
          <w:b w:val="0"/>
          <w:i w:val="0"/>
          <w:sz w:val="22"/>
        </w:rPr>
        <w:t xml:space="preserve">, long-term debt </w:t>
      </w:r>
      <w:r>
        <w:rPr>
          <w:rFonts w:ascii="Times New Roman" w:hAnsi="Times New Roman" w:cs="Times New Roman"/>
          <w:b/>
          <w:i w:val="0"/>
          <w:sz w:val="22"/>
        </w:rPr>
        <w:t>USD 2.48 billion</w:t>
      </w:r>
      <w:r>
        <w:rPr>
          <w:rFonts w:ascii="Times New Roman" w:hAnsi="Times New Roman" w:cs="Times New Roman"/>
          <w:b w:val="0"/>
          <w:i w:val="0"/>
          <w:sz w:val="22"/>
        </w:rPr>
        <w:t xml:space="preserve">, stockholders' equity </w:t>
      </w:r>
      <w:r>
        <w:rPr>
          <w:rFonts w:ascii="Times New Roman" w:hAnsi="Times New Roman" w:cs="Times New Roman"/>
          <w:b/>
          <w:i w:val="0"/>
          <w:sz w:val="22"/>
        </w:rPr>
        <w:t>USD 5.47 billion</w:t>
      </w:r>
      <w:r>
        <w:rPr>
          <w:rFonts w:ascii="Times New Roman" w:hAnsi="Times New Roman" w:cs="Times New Roman"/>
          <w:b w:val="0"/>
          <w:i w:val="0"/>
          <w:sz w:val="22"/>
        </w:rPr>
        <w:t xml:space="preserve"> (Cadence 2025 10-K, Consolidated Balance Sheets). FY2025 GAAP net income was </w:t>
      </w:r>
      <w:r>
        <w:rPr>
          <w:rFonts w:ascii="Times New Roman" w:hAnsi="Times New Roman" w:cs="Times New Roman"/>
          <w:b/>
          <w:i w:val="0"/>
          <w:sz w:val="22"/>
        </w:rPr>
        <w:t>USD 1,108.9M (EPS $4.06 diluted)</w:t>
      </w:r>
      <w:r>
        <w:rPr>
          <w:rFonts w:ascii="Times New Roman" w:hAnsi="Times New Roman" w:cs="Times New Roman"/>
          <w:b w:val="0"/>
          <w:i w:val="0"/>
          <w:sz w:val="22"/>
        </w:rPr>
        <w:t xml:space="preserve">, operating cash flow </w:t>
      </w:r>
      <w:r>
        <w:rPr>
          <w:rFonts w:ascii="Times New Roman" w:hAnsi="Times New Roman" w:cs="Times New Roman"/>
          <w:b/>
          <w:i w:val="0"/>
          <w:sz w:val="22"/>
        </w:rPr>
        <w:t>USD 1,728.8M</w:t>
      </w:r>
      <w:r>
        <w:rPr>
          <w:rFonts w:ascii="Times New Roman" w:hAnsi="Times New Roman" w:cs="Times New Roman"/>
          <w:b w:val="0"/>
          <w:i w:val="0"/>
          <w:sz w:val="22"/>
        </w:rPr>
        <w:t xml:space="preserve">, capex </w:t>
      </w:r>
      <w:r>
        <w:rPr>
          <w:rFonts w:ascii="Times New Roman" w:hAnsi="Times New Roman" w:cs="Times New Roman"/>
          <w:b/>
          <w:i w:val="0"/>
          <w:sz w:val="22"/>
        </w:rPr>
        <w:t>USD 141.9M</w:t>
      </w:r>
      <w:r>
        <w:rPr>
          <w:rFonts w:ascii="Times New Roman" w:hAnsi="Times New Roman" w:cs="Times New Roman"/>
          <w:b w:val="0"/>
          <w:i w:val="0"/>
          <w:sz w:val="22"/>
        </w:rPr>
        <w:t xml:space="preserve">, free cash flow ≈ </w:t>
      </w:r>
      <w:r>
        <w:rPr>
          <w:rFonts w:ascii="Times New Roman" w:hAnsi="Times New Roman" w:cs="Times New Roman"/>
          <w:b/>
          <w:i w:val="0"/>
          <w:sz w:val="22"/>
        </w:rPr>
        <w:t>USD 1,587M</w:t>
      </w:r>
      <w:r>
        <w:rPr>
          <w:rFonts w:ascii="Times New Roman" w:hAnsi="Times New Roman" w:cs="Times New Roman"/>
          <w:b w:val="0"/>
          <w:i w:val="0"/>
          <w:sz w:val="22"/>
        </w:rPr>
        <w:t xml:space="preserve">. The company repurchased </w:t>
      </w:r>
      <w:r>
        <w:rPr>
          <w:rFonts w:ascii="Times New Roman" w:hAnsi="Times New Roman" w:cs="Times New Roman"/>
          <w:b/>
          <w:i w:val="0"/>
          <w:sz w:val="22"/>
        </w:rPr>
        <w:t>USD 928M</w:t>
      </w:r>
      <w:r>
        <w:rPr>
          <w:rFonts w:ascii="Times New Roman" w:hAnsi="Times New Roman" w:cs="Times New Roman"/>
          <w:b w:val="0"/>
          <w:i w:val="0"/>
          <w:sz w:val="22"/>
        </w:rPr>
        <w:t xml:space="preserve"> of stock in FY2025 and ended the year with </w:t>
      </w:r>
      <w:r>
        <w:rPr>
          <w:rFonts w:ascii="Times New Roman" w:hAnsi="Times New Roman" w:cs="Times New Roman"/>
          <w:b/>
          <w:i w:val="0"/>
          <w:sz w:val="22"/>
        </w:rPr>
        <w:t>271.8 million shares outstanding</w:t>
      </w:r>
      <w:r>
        <w:rPr>
          <w:rFonts w:ascii="Times New Roman" w:hAnsi="Times New Roman" w:cs="Times New Roman"/>
          <w:b w:val="0"/>
          <w:i w:val="0"/>
          <w:sz w:val="22"/>
        </w:rPr>
        <w:t xml:space="preserve"> (vs. 273.9M at FY24 end).</w:t>
      </w:r>
    </w:p>
    <w:p>
      <w:pPr>
        <w:spacing w:after="120" w:lineRule="auto" w:line="276"/>
      </w:pPr>
      <w:r>
        <w:rPr>
          <w:rFonts w:ascii="Times New Roman" w:hAnsi="Times New Roman" w:cs="Times New Roman"/>
          <w:b w:val="0"/>
          <w:i w:val="0"/>
          <w:sz w:val="22"/>
        </w:rPr>
        <w:t>*Source: Cadence 2025 10-K, Consolidated Statements of Operations; Cadence 2022 10-K (FY21 op income).*</w:t>
      </w:r>
    </w:p>
    <w:p>
      <w:pPr>
        <w:spacing w:before="160" w:after="60"/>
      </w:pPr>
      <w:r>
        <w:rPr>
          <w:rFonts w:ascii="Times New Roman" w:hAnsi="Times New Roman" w:cs="Times New Roman"/>
          <w:b/>
          <w:i w:val="0"/>
          <w:color w:val="C00000"/>
          <w:sz w:val="22"/>
        </w:rPr>
        <w:t>Valuation snapshot (REQUIRED)</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Metric</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CDNS</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SNPS (peer)</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Comment</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Price (2026-05-20)</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~USD 338</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~USD 545</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[Yahoo Finance — CDNS](https://finance.yahoo.com/quote/CDNS/) / [SNPS](https://finance.yahoo.com/quote/SNPS/)</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Market cap</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~USD 93B</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~USD 84B</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[stockanalysis.com — CDNS](https://stockanalysis.com/stocks/cdns/)</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TTM P/E (GAAP)</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~81x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TTM EPS ≈ $4.18 ([CDNS PE — fullratio](https://fullratio.com/stocks/nasdaq-cdns/pe-ratio); [SNPS PE — fullratio](https://fullratio.com/stocks/nasdaq-snps/pe-ratio))</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Forward P/E (non-GAAP)</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FY26 non-GAAP EPS guide $7.85–7.95 ([Q1-2026 press release](https://www.sec.gov/Archives/edgar/data/0000813672/000081367226000044/cdns04272026ex9901.htm)); SNPS via [GuruFocus](https://www.gurufocus.com/term/forward-pe-ratio/SNPS)</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TTM P/S</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~17.6x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~15.2x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TTM revenue $5.30B ([10-K](https://www.sec.gov/Archives/edgar/data/0000813672/000081367226000016/cdns-20251231.htm)); SNPS via [artificall.com, 2026](https://artificall.com/analysis/companies/comparisons/synopsys-vs-cadence-design-systems/)</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P/B</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Book equity $5.47B</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EV/EBITDA (TTM)</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EBITDA ≈ $1.84B (op income + D&amp;A + SBC)</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52-wk range</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$235–$385</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$390–$640</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[Yahoo Finance](https://finance.yahoo.com/quote/CDNS/)</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3-yr P/E range</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~50x–95x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~45x–110x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[Macrotrends — CDNS PE](https://www.macrotrends.net/stocks/charts/CDNS/cadence-design-systems/pe-ratio)</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Software sector median P/E / P/S</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32x / 6.5x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[NYU Stern Damodaran data, Jan 2026](https://pages.stern.nyu.edu/~adamodar/New_Home_Page/data.html)</w:t>
            </w:r>
          </w:p>
        </w:tc>
      </w:tr>
    </w:tbl>
    <w:p/>
    <w:p>
      <w:pPr>
        <w:spacing w:after="120" w:lineRule="auto" w:line="276"/>
      </w:pPr>
      <w:r>
        <w:rPr>
          <w:rFonts w:ascii="Times New Roman" w:hAnsi="Times New Roman" w:cs="Times New Roman"/>
          <w:b/>
          <w:i w:val="0"/>
          <w:sz w:val="22"/>
        </w:rPr>
        <w:t>Interpretation.</w:t>
      </w:r>
      <w:r>
        <w:rPr>
          <w:rFonts w:ascii="Times New Roman" w:hAnsi="Times New Roman" w:cs="Times New Roman"/>
          <w:b w:val="0"/>
          <w:i w:val="0"/>
          <w:sz w:val="22"/>
        </w:rPr>
        <w:t xml:space="preserve"> CDNS trades at ~81x TTM GAAP earnings and ~17.6x TTM revenue — comfortably above both its own 3-year median (~70x P/E, ~14x P/S) and ~2.5x the broad software sector median. The multiple is </w:t>
      </w:r>
      <w:r>
        <w:rPr>
          <w:rFonts w:ascii="Times New Roman" w:hAnsi="Times New Roman" w:cs="Times New Roman"/>
          <w:b/>
          <w:i w:val="0"/>
          <w:sz w:val="22"/>
        </w:rPr>
        <w:t>not</w:t>
      </w:r>
      <w:r>
        <w:rPr>
          <w:rFonts w:ascii="Times New Roman" w:hAnsi="Times New Roman" w:cs="Times New Roman"/>
          <w:b w:val="0"/>
          <w:i w:val="0"/>
          <w:sz w:val="22"/>
        </w:rPr>
        <w:t xml:space="preserve"> explained by a one-off charge: the FY2025 P&amp;L did absorb a USD 128.5M loss from the BIS/DOJ export-control settlement (see Section 9), but adding it back lifts GAAP EPS only ~$0.40 and would compress TTM P/E to ~74x — still rich.</w:t>
      </w:r>
    </w:p>
    <w:p>
      <w:pPr>
        <w:spacing w:after="120" w:lineRule="auto" w:line="276"/>
      </w:pPr>
      <w:r>
        <w:rPr>
          <w:rFonts w:ascii="Times New Roman" w:hAnsi="Times New Roman" w:cs="Times New Roman"/>
          <w:b w:val="0"/>
          <w:i w:val="0"/>
          <w:sz w:val="22"/>
        </w:rPr>
        <w:t xml:space="preserve">The right framing is </w:t>
      </w:r>
      <w:r>
        <w:rPr>
          <w:rFonts w:ascii="Times New Roman" w:hAnsi="Times New Roman" w:cs="Times New Roman"/>
          <w:b/>
          <w:i w:val="0"/>
          <w:sz w:val="22"/>
        </w:rPr>
        <w:t>(a) high-growth-sector premium + (b) AI-infrastructure narrative</w:t>
      </w:r>
      <w:r>
        <w:rPr>
          <w:rFonts w:ascii="Times New Roman" w:hAnsi="Times New Roman" w:cs="Times New Roman"/>
          <w:b w:val="0"/>
          <w:i w:val="0"/>
          <w:sz w:val="22"/>
        </w:rPr>
        <w:t>. Cadence is one of two pure-play public vehicles for "every leading-edge chip needs more EDA spend than the last one" — an unambiguous picks-and-shovels exposure to AI training/inference silicon (NVIDIA Blackwell/Rubin, AMD MI400, custom hyperscaler ASICs from Google TPU, Meta MTIA, Microsoft Maia, Amazon Trainium/Inferentia), advanced packaging/3D-IC, automotive SDV silicon, and the secular shift to chiplets. With ~14% revenue</w:t>
      </w:r>
    </w:p>
    <w:p>
      <w:pPr>
        <w:spacing w:before="120" w:after="40"/>
        <w:jc w:val="center"/>
      </w:pPr>
      <w:r>
        <w:drawing>
          <wp:inline xmlns:a="http://schemas.openxmlformats.org/drawingml/2006/main" xmlns:pic="http://schemas.openxmlformats.org/drawingml/2006/picture">
            <wp:extent cx="5943600" cy="3190108"/>
            <wp:docPr id="3" name="Picture 3"/>
            <wp:cNvGraphicFramePr>
              <a:graphicFrameLocks noChangeAspect="1"/>
            </wp:cNvGraphicFramePr>
            <a:graphic>
              <a:graphicData uri="http://schemas.openxmlformats.org/drawingml/2006/picture">
                <pic:pic>
                  <pic:nvPicPr>
                    <pic:cNvPr id="0" name="chart_06_revenue_history.png"/>
                    <pic:cNvPicPr/>
                  </pic:nvPicPr>
                  <pic:blipFill>
                    <a:blip r:embed="rId11"/>
                    <a:stretch>
                      <a:fillRect/>
                    </a:stretch>
                  </pic:blipFill>
                  <pic:spPr>
                    <a:xfrm>
                      <a:off x="0" y="0"/>
                      <a:ext cx="5943600" cy="3190108"/>
                    </a:xfrm>
                    <a:prstGeom prst="rect"/>
                  </pic:spPr>
                </pic:pic>
              </a:graphicData>
            </a:graphic>
          </wp:inline>
        </w:drawing>
      </w:r>
    </w:p>
    <w:p>
      <w:pPr>
        <w:spacing w:after="160"/>
        <w:jc w:val="center"/>
      </w:pPr>
      <w:r>
        <w:rPr>
          <w:rFonts w:ascii="Times New Roman" w:hAnsi="Times New Roman" w:cs="Times New Roman"/>
          <w:b w:val="0"/>
          <w:i/>
          <w:color w:val="595959"/>
          <w:sz w:val="18"/>
        </w:rPr>
        <w:t>Revenue trajectory (5y historical + 5y projected)</w:t>
      </w:r>
    </w:p>
    <w:p>
      <w:pPr>
        <w:spacing w:before="120" w:after="40"/>
        <w:jc w:val="center"/>
      </w:pPr>
      <w:r>
        <w:drawing>
          <wp:inline xmlns:a="http://schemas.openxmlformats.org/drawingml/2006/main" xmlns:pic="http://schemas.openxmlformats.org/drawingml/2006/picture">
            <wp:extent cx="5943600" cy="3050155"/>
            <wp:docPr id="4" name="Picture 4"/>
            <wp:cNvGraphicFramePr>
              <a:graphicFrameLocks noChangeAspect="1"/>
            </wp:cNvGraphicFramePr>
            <a:graphic>
              <a:graphicData uri="http://schemas.openxmlformats.org/drawingml/2006/picture">
                <pic:pic>
                  <pic:nvPicPr>
                    <pic:cNvPr id="0" name="chart_07_org_structure.png"/>
                    <pic:cNvPicPr/>
                  </pic:nvPicPr>
                  <pic:blipFill>
                    <a:blip r:embed="rId12"/>
                    <a:stretch>
                      <a:fillRect/>
                    </a:stretch>
                  </pic:blipFill>
                  <pic:spPr>
                    <a:xfrm>
                      <a:off x="0" y="0"/>
                      <a:ext cx="5943600" cy="3050155"/>
                    </a:xfrm>
                    <a:prstGeom prst="rect"/>
                  </pic:spPr>
                </pic:pic>
              </a:graphicData>
            </a:graphic>
          </wp:inline>
        </w:drawing>
      </w:r>
    </w:p>
    <w:p>
      <w:pPr>
        <w:spacing w:after="160"/>
        <w:jc w:val="center"/>
      </w:pPr>
      <w:r>
        <w:rPr>
          <w:rFonts w:ascii="Times New Roman" w:hAnsi="Times New Roman" w:cs="Times New Roman"/>
          <w:b w:val="0"/>
          <w:i/>
          <w:color w:val="595959"/>
          <w:sz w:val="18"/>
        </w:rPr>
        <w:t>Senior executive org structure</w:t>
      </w:r>
    </w:p>
    <w:p>
      <w:pPr>
        <w:spacing w:before="360" w:after="120"/>
        <w:pBdr>
          <w:bottom w:val="single" w:sz="8" w:space="1" w:color="1F4E78"/>
        </w:pBdr>
      </w:pPr>
      <w:r>
        <w:rPr>
          <w:rFonts w:ascii="Times New Roman" w:hAnsi="Times New Roman" w:cs="Times New Roman"/>
          <w:b/>
          <w:i w:val="0"/>
          <w:color w:val="1F4E78"/>
          <w:sz w:val="32"/>
        </w:rPr>
        <w:t>COMPANY HISTORY</w:t>
      </w:r>
    </w:p>
    <w:p>
      <w:pPr>
        <w:spacing w:after="120" w:lineRule="auto" w:line="276"/>
      </w:pPr>
      <w:r>
        <w:rPr>
          <w:rFonts w:ascii="Times New Roman" w:hAnsi="Times New Roman" w:cs="Times New Roman"/>
          <w:b w:val="0"/>
          <w:i w:val="0"/>
          <w:sz w:val="22"/>
        </w:rPr>
        <w:t xml:space="preserve">Cadence was </w:t>
      </w:r>
      <w:r>
        <w:rPr>
          <w:rFonts w:ascii="Times New Roman" w:hAnsi="Times New Roman" w:cs="Times New Roman"/>
          <w:b/>
          <w:i w:val="0"/>
          <w:sz w:val="22"/>
        </w:rPr>
        <w:t>formed on 1988-06-01 by the merger of SDA Systems (Solomon Design Automation, founded in San Jose in 1983 by Jim Solomon, Richard Newton, and Alberto Sangiovanni-Vincentelli) and ECAD Inc. (founded in 1982 by Ping Chao, Glen Antle, and Paul Huang)</w:t>
      </w:r>
      <w:r>
        <w:rPr>
          <w:rFonts w:ascii="Times New Roman" w:hAnsi="Times New Roman" w:cs="Times New Roman"/>
          <w:b w:val="0"/>
          <w:i w:val="0"/>
          <w:sz w:val="22"/>
        </w:rPr>
        <w:t xml:space="preserve"> (Semiwiki — A Brief History of Cadence Design Systems; Wikipedia — Cadence Design Systems). SDA brought analog/custom IC layout tools; ECAD brought the Dracula DRC/LVS verification flow. Joe Costello, who had joined SDA in 1984 from National Semiconductor and become its president in 1987, was tapped as the merged company's CEO. The company posted USD 78.6M of revenue and 433 employees in its first fiscal year (FundingUniverse — Cadence Design Systems history).</w:t>
      </w:r>
    </w:p>
    <w:p>
      <w:pPr>
        <w:spacing w:after="120" w:lineRule="auto" w:line="276"/>
      </w:pPr>
      <w:r>
        <w:rPr>
          <w:rFonts w:ascii="Times New Roman" w:hAnsi="Times New Roman" w:cs="Times New Roman"/>
          <w:b w:val="0"/>
          <w:i w:val="0"/>
          <w:sz w:val="22"/>
        </w:rPr>
        <w:t>Cadence's first three decades alternated between "EDA roll-up" and "near-miss execution." The company acquired Valid Logic (1991), Tangent Systems, Comdisco's Computer-Aided Design unit, Verisity (2005, bringing in the Specman/e-language verification methodology), Cosmic Circuits, and over 60 other smaller targets. After two CEO transitions and a near-existential stretch in 2008 — the board removed CEO Mike Fister after a failed hostile bid for rival Mentor Graphics and revenue cratered — Lip-Bu Tang (now CEO of Intel as of 2025) was appointed CEO in 2009 and engineered an 8-year turnaround that pivoted the business to ratable revenue, deep customer engagement, and gradually rising R&amp;D intensity. Tang named Anirudh Devgan president in November 2017 and handed him the CEO role in December 2021 (I-Connect007 — Cadence Appoints Anirudh Devgan as President, 2017).</w:t>
      </w:r>
    </w:p>
    <w:p>
      <w:pPr>
        <w:spacing w:after="120" w:lineRule="auto" w:line="276"/>
      </w:pPr>
      <w:r>
        <w:rPr>
          <w:rFonts w:ascii="Times New Roman" w:hAnsi="Times New Roman" w:cs="Times New Roman"/>
          <w:b w:val="0"/>
          <w:i w:val="0"/>
          <w:sz w:val="22"/>
        </w:rPr>
        <w:t>*Source: Cadence 2025 10-K; Cadence newsroom, 2025–2026; Semiwiki history.*</w:t>
      </w:r>
    </w:p>
    <w:p>
      <w:pPr>
        <w:spacing w:before="160" w:after="60"/>
      </w:pPr>
      <w:r>
        <w:rPr>
          <w:rFonts w:ascii="Times New Roman" w:hAnsi="Times New Roman" w:cs="Times New Roman"/>
          <w:b/>
          <w:i w:val="0"/>
          <w:color w:val="C00000"/>
          <w:sz w:val="22"/>
        </w:rPr>
        <w:t>Strategic pivots and recent transformations</w:t>
      </w:r>
    </w:p>
    <w:p>
      <w:pPr>
        <w:pStyle w:val="ListNumber"/>
      </w:pPr>
      <w:r>
        <w:rPr>
          <w:rFonts w:ascii="Times New Roman" w:hAnsi="Times New Roman" w:cs="Times New Roman"/>
          <w:b/>
          <w:i w:val="0"/>
          <w:sz w:val="22"/>
        </w:rPr>
        <w:t>From up-front licenses to ratable subscriptions (2010–2015).</w:t>
      </w:r>
      <w:r>
        <w:rPr>
          <w:rFonts w:ascii="Times New Roman" w:hAnsi="Times New Roman" w:cs="Times New Roman"/>
          <w:b w:val="0"/>
          <w:i w:val="0"/>
          <w:sz w:val="22"/>
        </w:rPr>
        <w:t xml:space="preserve"> Under Tan, Cadence shifted nearly all software contracts to time-based licenses with revenue recognized ratably, smoothing the historic boom-bust pattern and giving the business &gt;90% recurring revenue today. The financial result is visible in operating-margin expansion from ~13% in 2009 to ~28% (GAAP) in FY2025 (Cadence 2025 10-K, MD&amp;A).</w:t>
      </w:r>
    </w:p>
    <w:p>
      <w:pPr>
        <w:pStyle w:val="ListNumber"/>
      </w:pPr>
      <w:r>
        <w:rPr>
          <w:rFonts w:ascii="Times New Roman" w:hAnsi="Times New Roman" w:cs="Times New Roman"/>
          <w:b/>
          <w:i w:val="0"/>
          <w:sz w:val="22"/>
        </w:rPr>
        <w:t>"Intelligent System Design" — EDA beyond the chip (2018–present).</w:t>
      </w:r>
      <w:r>
        <w:rPr>
          <w:rFonts w:ascii="Times New Roman" w:hAnsi="Times New Roman" w:cs="Times New Roman"/>
          <w:b w:val="0"/>
          <w:i w:val="0"/>
          <w:sz w:val="22"/>
        </w:rPr>
        <w:t xml:space="preserve"> Devgan's signature strategic move was to extend Cadence from chip-level EDA into PCB design (Allegro/OrCAD), system analysis (Sigrity, Clarity, Celsius), computational fluid dynamics (Pointwise → Fidelity), and finally structural mechanics (BETA CAE in 2024, Hexagon D&amp;E / MSC Software in 2026). Each adjacent domain leverages the same computational-software muscle — solvers + simulation + AI optimization — and opens a larger TAM beyond the ~$18B EDA market into the ~$11B engineering simulation market.</w:t>
      </w:r>
    </w:p>
    <w:p>
      <w:pPr>
        <w:pStyle w:val="ListNumber"/>
      </w:pPr>
      <w:r>
        <w:rPr>
          <w:rFonts w:ascii="Times New Roman" w:hAnsi="Times New Roman" w:cs="Times New Roman"/>
          <w:b/>
          <w:i w:val="0"/>
          <w:sz w:val="22"/>
        </w:rPr>
        <w:t>Pervasive Intelligence / agentic AI (2024–present).</w:t>
      </w:r>
      <w:r>
        <w:rPr>
          <w:rFonts w:ascii="Times New Roman" w:hAnsi="Times New Roman" w:cs="Times New Roman"/>
          <w:b w:val="0"/>
          <w:i w:val="0"/>
          <w:sz w:val="22"/>
        </w:rPr>
        <w:t xml:space="preserve"> Cadence has woven generative AI and now agentic AI into nearly every product — Cerebrus (ML-driven RTL-to-GDS exploration), Verisium (verification AI), Allegro X AI (PCB), Optimality (multiphysics), and in 2026 the </w:t>
      </w:r>
      <w:r>
        <w:rPr>
          <w:rFonts w:ascii="Times New Roman" w:hAnsi="Times New Roman" w:cs="Times New Roman"/>
          <w:b/>
          <w:i w:val="0"/>
          <w:sz w:val="22"/>
        </w:rPr>
        <w:t>ChipStack / ViraStack / InnoStack / AgentStack</w:t>
      </w:r>
      <w:r>
        <w:rPr>
          <w:rFonts w:ascii="Times New Roman" w:hAnsi="Times New Roman" w:cs="Times New Roman"/>
          <w:b w:val="0"/>
          <w:i w:val="0"/>
          <w:sz w:val="22"/>
        </w:rPr>
        <w:t xml:space="preserve"> super-agent stack that orchestrates dozens of foundational EDA tools autonomously. Early customer disclosures (Altera, NVIDIA, Qualcomm, Tenstorrent) cite up to 10× verification productivity gains (Cadence press release, ChipStack launch, 2026-02-10; EE Times, 2026-02-10).</w:t>
      </w:r>
    </w:p>
    <w:p>
      <w:pPr>
        <w:spacing w:before="160" w:after="60"/>
      </w:pPr>
      <w:r>
        <w:rPr>
          <w:rFonts w:ascii="Times New Roman" w:hAnsi="Times New Roman" w:cs="Times New Roman"/>
          <w:b/>
          <w:i w:val="0"/>
          <w:color w:val="C00000"/>
          <w:sz w:val="22"/>
        </w:rPr>
        <w:t>Key acquisitions (last five years)</w:t>
      </w:r>
    </w:p>
    <w:p>
      <w:pPr>
        <w:pStyle w:val="ListBullet"/>
        <w:ind w:left="432"/>
      </w:pPr>
      <w:r>
        <w:rPr>
          <w:rFonts w:ascii="Times New Roman" w:hAnsi="Times New Roman" w:cs="Times New Roman"/>
          <w:b/>
          <w:i w:val="0"/>
          <w:sz w:val="22"/>
        </w:rPr>
        <w:t>2022 — OpenEye Scientific</w:t>
      </w:r>
      <w:r>
        <w:rPr>
          <w:rFonts w:ascii="Times New Roman" w:hAnsi="Times New Roman" w:cs="Times New Roman"/>
          <w:b w:val="0"/>
          <w:i w:val="0"/>
          <w:sz w:val="22"/>
        </w:rPr>
        <w:t xml:space="preserve"> (pharma molecular modeling, undisclosed price): expansion into Life Sciences AI vertical.</w:t>
      </w:r>
    </w:p>
    <w:p>
      <w:pPr>
        <w:pStyle w:val="ListBullet"/>
        <w:ind w:left="432"/>
      </w:pPr>
      <w:r>
        <w:rPr>
          <w:rFonts w:ascii="Times New Roman" w:hAnsi="Times New Roman" w:cs="Times New Roman"/>
          <w:b/>
          <w:i w:val="0"/>
          <w:sz w:val="22"/>
        </w:rPr>
        <w:t>2022 — Future Facilities</w:t>
      </w:r>
      <w:r>
        <w:rPr>
          <w:rFonts w:ascii="Times New Roman" w:hAnsi="Times New Roman" w:cs="Times New Roman"/>
          <w:b w:val="0"/>
          <w:i w:val="0"/>
          <w:sz w:val="22"/>
        </w:rPr>
        <w:t xml:space="preserve"> (data-center digital twins): grafted into the System Design &amp; Analysis portfolio.</w:t>
      </w:r>
    </w:p>
    <w:p>
      <w:pPr>
        <w:pStyle w:val="ListBullet"/>
        <w:ind w:left="432"/>
      </w:pPr>
      <w:r>
        <w:rPr>
          <w:rFonts w:ascii="Times New Roman" w:hAnsi="Times New Roman" w:cs="Times New Roman"/>
          <w:b/>
          <w:i w:val="0"/>
          <w:sz w:val="22"/>
        </w:rPr>
        <w:t>2024 — BETA CAE Systems</w:t>
      </w:r>
      <w:r>
        <w:rPr>
          <w:rFonts w:ascii="Times New Roman" w:hAnsi="Times New Roman" w:cs="Times New Roman"/>
          <w:b w:val="0"/>
          <w:i w:val="0"/>
          <w:sz w:val="22"/>
        </w:rPr>
        <w:t xml:space="preserve"> (Greek mechanical simulation, ~USD 1.24B): the entry point into structural mechanics.</w:t>
      </w:r>
    </w:p>
    <w:p>
      <w:pPr>
        <w:pStyle w:val="ListBullet"/>
        <w:ind w:left="432"/>
      </w:pPr>
      <w:r>
        <w:rPr>
          <w:rFonts w:ascii="Times New Roman" w:hAnsi="Times New Roman" w:cs="Times New Roman"/>
          <w:b/>
          <w:i w:val="0"/>
          <w:sz w:val="22"/>
        </w:rPr>
        <w:t>2025 — VLAB Works</w:t>
      </w:r>
      <w:r>
        <w:rPr>
          <w:rFonts w:ascii="Times New Roman" w:hAnsi="Times New Roman" w:cs="Times New Roman"/>
          <w:b w:val="0"/>
          <w:i w:val="0"/>
          <w:sz w:val="22"/>
        </w:rPr>
        <w:t xml:space="preserve"> (virtual prototyping for SDV/embedded software): added a virtual development environment for software-defined vehicles (Cadence 2025 10-K, p. 3).</w:t>
      </w:r>
    </w:p>
    <w:p>
      <w:pPr>
        <w:pStyle w:val="ListBullet"/>
        <w:ind w:left="432"/>
      </w:pPr>
      <w:r>
        <w:rPr>
          <w:rFonts w:ascii="Times New Roman" w:hAnsi="Times New Roman" w:cs="Times New Roman"/>
          <w:b/>
          <w:i w:val="0"/>
          <w:sz w:val="22"/>
        </w:rPr>
        <w:t>2025 — Secure-IC</w:t>
      </w:r>
      <w:r>
        <w:rPr>
          <w:rFonts w:ascii="Times New Roman" w:hAnsi="Times New Roman" w:cs="Times New Roman"/>
          <w:b w:val="0"/>
          <w:i w:val="0"/>
          <w:sz w:val="22"/>
        </w:rPr>
        <w:t xml:space="preserve"> (French embedded security IP): broadened the IP portfolio with cybersecurity blocks for automotive and data center (Cadence 2025 10-K, p. 4).</w:t>
      </w:r>
    </w:p>
    <w:p>
      <w:pPr>
        <w:pStyle w:val="ListBullet"/>
        <w:ind w:left="432"/>
      </w:pPr>
      <w:r>
        <w:rPr>
          <w:rFonts w:ascii="Times New Roman" w:hAnsi="Times New Roman" w:cs="Times New Roman"/>
          <w:b/>
          <w:i w:val="0"/>
          <w:sz w:val="22"/>
        </w:rPr>
        <w:t>2026 — Hexagon Design &amp; Engineering, including MSC Software (€2.7B / ~USD 2.9B)</w:t>
      </w:r>
      <w:r>
        <w:rPr>
          <w:rFonts w:ascii="Times New Roman" w:hAnsi="Times New Roman" w:cs="Times New Roman"/>
          <w:b w:val="0"/>
          <w:i w:val="0"/>
          <w:sz w:val="22"/>
        </w:rPr>
        <w:t>, closed 2026-02-23: brings MSC Nastran (structural analysis) and Adams (multibody dynamics), targeting aerospace, defense, EV, and "Physical AI" (autonomous systems, humanoid robotics). Adds ~USD 280M of 2024 revenue and ~1,100 employees; expected to be ~$0.28 dilutive to FY26 non-GAAP EPS and accretive in FY27 (Cadence press release, 2026-02-23; eeNews Europe, 2025-09).</w:t>
      </w:r>
    </w:p>
    <w:p>
      <w:pPr>
        <w:spacing w:before="160" w:after="60"/>
      </w:pPr>
      <w:r>
        <w:rPr>
          <w:rFonts w:ascii="Times New Roman" w:hAnsi="Times New Roman" w:cs="Times New Roman"/>
          <w:b/>
          <w:i w:val="0"/>
          <w:color w:val="C00000"/>
          <w:sz w:val="22"/>
        </w:rPr>
        <w:t>Recent developments (last 12 months)</w:t>
      </w:r>
    </w:p>
    <w:p>
      <w:pPr>
        <w:pStyle w:val="ListBullet"/>
        <w:ind w:left="432"/>
      </w:pPr>
      <w:r>
        <w:rPr>
          <w:rFonts w:ascii="Times New Roman" w:hAnsi="Times New Roman" w:cs="Times New Roman"/>
          <w:b w:val="0"/>
          <w:i w:val="0"/>
          <w:sz w:val="22"/>
        </w:rPr>
        <w:t>2025-05-23 → 2025-07-02 — BIS imposed and then rescinded EDA-to-China license requirements; Cadence lost an estimated mid-single-digit-million weeks of China revenue but the year still printed +19% China growth (Cadence 2025 10-K, p. 6; TrendForce, 2025-06-02; Silicon UK, 2025-07-03).</w:t>
      </w:r>
    </w:p>
    <w:p>
      <w:pPr>
        <w:pStyle w:val="ListBullet"/>
        <w:ind w:left="432"/>
      </w:pPr>
      <w:r>
        <w:rPr>
          <w:rFonts w:ascii="Times New Roman" w:hAnsi="Times New Roman" w:cs="Times New Roman"/>
          <w:b w:val="0"/>
          <w:i w:val="0"/>
          <w:sz w:val="22"/>
        </w:rPr>
        <w:t xml:space="preserve">2025-07-27 — Cadence settled with the U.S. DOJ (plea agreement, three-year probation, one count of conspiracy to commit export-control violations) and BIS (administrative settlement, two annual compliance audits) over 2015–2021 sales of products and technology valued at </w:t>
      </w:r>
      <w:r>
        <w:rPr>
          <w:rFonts w:ascii="Times New Roman" w:hAnsi="Times New Roman" w:cs="Times New Roman"/>
          <w:b/>
          <w:i w:val="0"/>
          <w:sz w:val="22"/>
        </w:rPr>
        <w:t>USD 45.3M</w:t>
      </w:r>
      <w:r>
        <w:rPr>
          <w:rFonts w:ascii="Times New Roman" w:hAnsi="Times New Roman" w:cs="Times New Roman"/>
          <w:b w:val="0"/>
          <w:i w:val="0"/>
          <w:sz w:val="22"/>
        </w:rPr>
        <w:t xml:space="preserve"> to a sanctioned Chinese customer. Cadence paid </w:t>
      </w:r>
      <w:r>
        <w:rPr>
          <w:rFonts w:ascii="Times New Roman" w:hAnsi="Times New Roman" w:cs="Times New Roman"/>
          <w:b/>
          <w:i w:val="0"/>
          <w:sz w:val="22"/>
        </w:rPr>
        <w:t>USD 140.6M</w:t>
      </w:r>
      <w:r>
        <w:rPr>
          <w:rFonts w:ascii="Times New Roman" w:hAnsi="Times New Roman" w:cs="Times New Roman"/>
          <w:b w:val="0"/>
          <w:i w:val="0"/>
          <w:sz w:val="22"/>
        </w:rPr>
        <w:t xml:space="preserve"> of aggregate net penalties and forfeitures and recorded a </w:t>
      </w:r>
      <w:r>
        <w:rPr>
          <w:rFonts w:ascii="Times New Roman" w:hAnsi="Times New Roman" w:cs="Times New Roman"/>
          <w:b/>
          <w:i w:val="0"/>
          <w:sz w:val="22"/>
        </w:rPr>
        <w:t>USD 128.5M</w:t>
      </w:r>
      <w:r>
        <w:rPr>
          <w:rFonts w:ascii="Times New Roman" w:hAnsi="Times New Roman" w:cs="Times New Roman"/>
          <w:b w:val="0"/>
          <w:i w:val="0"/>
          <w:sz w:val="22"/>
        </w:rPr>
        <w:t xml:space="preserve"> charge to "Loss related to contingent liability" (Cadence 2025 10-K, Note 18).</w:t>
      </w:r>
    </w:p>
    <w:p>
      <w:pPr>
        <w:pStyle w:val="ListBullet"/>
        <w:ind w:left="432"/>
      </w:pPr>
      <w:r>
        <w:rPr>
          <w:rFonts w:ascii="Times New Roman" w:hAnsi="Times New Roman" w:cs="Times New Roman"/>
          <w:b w:val="0"/>
          <w:i w:val="0"/>
          <w:sz w:val="22"/>
        </w:rPr>
        <w:t xml:space="preserve">2026-02-10 — Launched </w:t>
      </w:r>
      <w:r>
        <w:rPr>
          <w:rFonts w:ascii="Times New Roman" w:hAnsi="Times New Roman" w:cs="Times New Roman"/>
          <w:b/>
          <w:i w:val="0"/>
          <w:sz w:val="22"/>
        </w:rPr>
        <w:t>ChipStack AI Super Agent</w:t>
      </w:r>
      <w:r>
        <w:rPr>
          <w:rFonts w:ascii="Times New Roman" w:hAnsi="Times New Roman" w:cs="Times New Roman"/>
          <w:b w:val="0"/>
          <w:i w:val="0"/>
          <w:sz w:val="22"/>
        </w:rPr>
        <w:t xml:space="preserve"> for autonomous chip design and verification (Cadence press release).</w:t>
      </w:r>
    </w:p>
    <w:p>
      <w:pPr>
        <w:pStyle w:val="ListBullet"/>
        <w:ind w:left="432"/>
      </w:pPr>
      <w:r>
        <w:rPr>
          <w:rFonts w:ascii="Times New Roman" w:hAnsi="Times New Roman" w:cs="Times New Roman"/>
          <w:b w:val="0"/>
          <w:i w:val="0"/>
          <w:sz w:val="22"/>
        </w:rPr>
        <w:t>2026-02-23 — Closed Hexagon D&amp;E / MSC Software acquisition (€2.7B).</w:t>
      </w:r>
    </w:p>
    <w:p>
      <w:pPr>
        <w:pStyle w:val="ListBullet"/>
        <w:ind w:left="432"/>
      </w:pPr>
      <w:r>
        <w:rPr>
          <w:rFonts w:ascii="Times New Roman" w:hAnsi="Times New Roman" w:cs="Times New Roman"/>
          <w:b w:val="0"/>
          <w:i w:val="0"/>
          <w:sz w:val="22"/>
        </w:rPr>
        <w:t>2026-04-27 — Q1 2026 results: USD 1.474B revenue (+19% YoY), USD 8.0B backlog, FY26 revenue guidance raised.</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2161467"/>
            <wp:docPr id="5" name="Picture 5"/>
            <wp:cNvGraphicFramePr>
              <a:graphicFrameLocks noChangeAspect="1"/>
            </wp:cNvGraphicFramePr>
            <a:graphic>
              <a:graphicData uri="http://schemas.openxmlformats.org/drawingml/2006/picture">
                <pic:pic>
                  <pic:nvPicPr>
                    <pic:cNvPr id="0" name="chart_05_company_timeline.png"/>
                    <pic:cNvPicPr/>
                  </pic:nvPicPr>
                  <pic:blipFill>
                    <a:blip r:embed="rId13"/>
                    <a:stretch>
                      <a:fillRect/>
                    </a:stretch>
                  </pic:blipFill>
                  <pic:spPr>
                    <a:xfrm>
                      <a:off x="0" y="0"/>
                      <a:ext cx="5943600" cy="2161467"/>
                    </a:xfrm>
                    <a:prstGeom prst="rect"/>
                  </pic:spPr>
                </pic:pic>
              </a:graphicData>
            </a:graphic>
          </wp:inline>
        </w:drawing>
      </w:r>
    </w:p>
    <w:p>
      <w:pPr>
        <w:spacing w:after="160"/>
        <w:jc w:val="center"/>
      </w:pPr>
      <w:r>
        <w:rPr>
          <w:rFonts w:ascii="Times New Roman" w:hAnsi="Times New Roman" w:cs="Times New Roman"/>
          <w:b w:val="0"/>
          <w:i/>
          <w:color w:val="595959"/>
          <w:sz w:val="18"/>
        </w:rPr>
        <w:t>Key milestones timeline</w:t>
      </w:r>
    </w:p>
    <w:p>
      <w:pPr>
        <w:spacing w:before="120" w:after="40"/>
        <w:jc w:val="center"/>
      </w:pPr>
      <w:r>
        <w:drawing>
          <wp:inline xmlns:a="http://schemas.openxmlformats.org/drawingml/2006/main" xmlns:pic="http://schemas.openxmlformats.org/drawingml/2006/picture">
            <wp:extent cx="5943600" cy="2856207"/>
            <wp:docPr id="6" name="Picture 6"/>
            <wp:cNvGraphicFramePr>
              <a:graphicFrameLocks noChangeAspect="1"/>
            </wp:cNvGraphicFramePr>
            <a:graphic>
              <a:graphicData uri="http://schemas.openxmlformats.org/drawingml/2006/picture">
                <pic:pic>
                  <pic:nvPicPr>
                    <pic:cNvPr id="0" name="chart_19_rd_intensity.png"/>
                    <pic:cNvPicPr/>
                  </pic:nvPicPr>
                  <pic:blipFill>
                    <a:blip r:embed="rId14"/>
                    <a:stretch>
                      <a:fillRect/>
                    </a:stretch>
                  </pic:blipFill>
                  <pic:spPr>
                    <a:xfrm>
                      <a:off x="0" y="0"/>
                      <a:ext cx="5943600" cy="2856207"/>
                    </a:xfrm>
                    <a:prstGeom prst="rect"/>
                  </pic:spPr>
                </pic:pic>
              </a:graphicData>
            </a:graphic>
          </wp:inline>
        </w:drawing>
      </w:r>
    </w:p>
    <w:p>
      <w:pPr>
        <w:spacing w:after="160"/>
        <w:jc w:val="center"/>
      </w:pPr>
      <w:r>
        <w:rPr>
          <w:rFonts w:ascii="Times New Roman" w:hAnsi="Times New Roman" w:cs="Times New Roman"/>
          <w:b w:val="0"/>
          <w:i/>
          <w:color w:val="595959"/>
          <w:sz w:val="18"/>
        </w:rPr>
        <w:t>R&amp;D investment trajectory</w:t>
      </w:r>
    </w:p>
    <w:p>
      <w:pPr>
        <w:spacing w:before="360" w:after="120"/>
        <w:pBdr>
          <w:bottom w:val="single" w:sz="8" w:space="1" w:color="1F4E78"/>
        </w:pBdr>
      </w:pPr>
      <w:r>
        <w:rPr>
          <w:rFonts w:ascii="Times New Roman" w:hAnsi="Times New Roman" w:cs="Times New Roman"/>
          <w:b/>
          <w:i w:val="0"/>
          <w:color w:val="1F4E78"/>
          <w:sz w:val="32"/>
        </w:rPr>
        <w:t>MANAGEMENT TEAM</w:t>
      </w:r>
    </w:p>
    <w:p>
      <w:pPr>
        <w:spacing w:before="160" w:after="60"/>
      </w:pPr>
      <w:r>
        <w:rPr>
          <w:rFonts w:ascii="Times New Roman" w:hAnsi="Times New Roman" w:cs="Times New Roman"/>
          <w:b/>
          <w:i w:val="0"/>
          <w:color w:val="C00000"/>
          <w:sz w:val="22"/>
        </w:rPr>
        <w:t>Anirudh Devgan, Ph.D. — President and Chief Executive Officer</w:t>
      </w:r>
    </w:p>
    <w:p>
      <w:pPr>
        <w:spacing w:after="120" w:lineRule="auto" w:line="276"/>
      </w:pPr>
      <w:r>
        <w:rPr>
          <w:rFonts w:ascii="Times New Roman" w:hAnsi="Times New Roman" w:cs="Times New Roman"/>
          <w:b w:val="0"/>
          <w:i w:val="0"/>
          <w:sz w:val="22"/>
        </w:rPr>
        <w:t xml:space="preserve">Anirudh Devgan, 56, has served as CEO since December 2021 and President since November 2017 (Cadence 2025 10-K, Information About Our Executive Officers). He is the architect of Cadence's "Intelligent System Design" strategy and the public face of its AI/agentic-AI pivot. Born in India in 1969, Devgan earned a B.Tech. in electrical engineering from the </w:t>
      </w:r>
      <w:r>
        <w:rPr>
          <w:rFonts w:ascii="Times New Roman" w:hAnsi="Times New Roman" w:cs="Times New Roman"/>
          <w:b/>
          <w:i w:val="0"/>
          <w:sz w:val="22"/>
        </w:rPr>
        <w:t>Indian Institute of Technology, Delhi</w:t>
      </w:r>
      <w:r>
        <w:rPr>
          <w:rFonts w:ascii="Times New Roman" w:hAnsi="Times New Roman" w:cs="Times New Roman"/>
          <w:b w:val="0"/>
          <w:i w:val="0"/>
          <w:sz w:val="22"/>
        </w:rPr>
        <w:t xml:space="preserve">, followed by an M.S. and Ph.D. in electrical and computer engineering from </w:t>
      </w:r>
      <w:r>
        <w:rPr>
          <w:rFonts w:ascii="Times New Roman" w:hAnsi="Times New Roman" w:cs="Times New Roman"/>
          <w:b/>
          <w:i w:val="0"/>
          <w:sz w:val="22"/>
        </w:rPr>
        <w:t>Carnegie Mellon University</w:t>
      </w:r>
      <w:r>
        <w:rPr>
          <w:rFonts w:ascii="Times New Roman" w:hAnsi="Times New Roman" w:cs="Times New Roman"/>
          <w:b w:val="0"/>
          <w:i w:val="0"/>
          <w:sz w:val="22"/>
        </w:rPr>
        <w:t xml:space="preserve"> (Cadence 2025 10-K; Wikipedia — Anirudh Devgan).</w:t>
      </w:r>
    </w:p>
    <w:p>
      <w:pPr>
        <w:spacing w:after="120" w:lineRule="auto" w:line="276"/>
      </w:pPr>
      <w:r>
        <w:rPr>
          <w:rFonts w:ascii="Times New Roman" w:hAnsi="Times New Roman" w:cs="Times New Roman"/>
          <w:b w:val="0"/>
          <w:i w:val="0"/>
          <w:sz w:val="22"/>
        </w:rPr>
        <w:t xml:space="preserve">Devgan spent </w:t>
      </w:r>
      <w:r>
        <w:rPr>
          <w:rFonts w:ascii="Times New Roman" w:hAnsi="Times New Roman" w:cs="Times New Roman"/>
          <w:b/>
          <w:i w:val="0"/>
          <w:sz w:val="22"/>
        </w:rPr>
        <w:t>12 years at IBM (1994–2005)</w:t>
      </w:r>
      <w:r>
        <w:rPr>
          <w:rFonts w:ascii="Times New Roman" w:hAnsi="Times New Roman" w:cs="Times New Roman"/>
          <w:b w:val="0"/>
          <w:i w:val="0"/>
          <w:sz w:val="22"/>
        </w:rPr>
        <w:t xml:space="preserve"> across the Thomas J. Watson Research Center, Server Division, Microelectronics Division, and Austin Research Lab — his research on circuit-simulation algorithms and statistical timing analysis underpinned IBM's POWER processor methodology. He left for </w:t>
      </w:r>
      <w:r>
        <w:rPr>
          <w:rFonts w:ascii="Times New Roman" w:hAnsi="Times New Roman" w:cs="Times New Roman"/>
          <w:b/>
          <w:i w:val="0"/>
          <w:sz w:val="22"/>
        </w:rPr>
        <w:t>Magma Design Automation in May 2005</w:t>
      </w:r>
      <w:r>
        <w:rPr>
          <w:rFonts w:ascii="Times New Roman" w:hAnsi="Times New Roman" w:cs="Times New Roman"/>
          <w:b w:val="0"/>
          <w:i w:val="0"/>
          <w:sz w:val="22"/>
        </w:rPr>
        <w:t>, where as Corporate VP and General Manager of the Custom Design Business Unit he initiated and shipped products in analog/mixed-signal simulation, physical verification, library characterization, and 3D extraction — the unit Magma sold to Synopsys was largely Devgan's work (IndiaSpora bio; Wikipedia).</w:t>
      </w:r>
    </w:p>
    <w:p>
      <w:pPr>
        <w:spacing w:after="120" w:lineRule="auto" w:line="276"/>
      </w:pPr>
      <w:r>
        <w:rPr>
          <w:rFonts w:ascii="Times New Roman" w:hAnsi="Times New Roman" w:cs="Times New Roman"/>
          <w:b w:val="0"/>
          <w:i w:val="0"/>
          <w:sz w:val="22"/>
        </w:rPr>
        <w:t xml:space="preserve">He joined Cadence in </w:t>
      </w:r>
      <w:r>
        <w:rPr>
          <w:rFonts w:ascii="Times New Roman" w:hAnsi="Times New Roman" w:cs="Times New Roman"/>
          <w:b/>
          <w:i w:val="0"/>
          <w:sz w:val="22"/>
        </w:rPr>
        <w:t>May 2012</w:t>
      </w:r>
      <w:r>
        <w:rPr>
          <w:rFonts w:ascii="Times New Roman" w:hAnsi="Times New Roman" w:cs="Times New Roman"/>
          <w:b w:val="0"/>
          <w:i w:val="0"/>
          <w:sz w:val="22"/>
        </w:rPr>
        <w:t xml:space="preserve"> as Senior Vice President of R&amp;D, rising to Executive VP of R&amp;D in March 2017 and President eight months later. As CEO he has overseen revenue growth from </w:t>
      </w:r>
      <w:r>
        <w:rPr>
          <w:rFonts w:ascii="Times New Roman" w:hAnsi="Times New Roman" w:cs="Times New Roman"/>
          <w:b/>
          <w:i w:val="0"/>
          <w:sz w:val="22"/>
        </w:rPr>
        <w:t>USD 2.99B in FY2021 to USD 5.30B in FY2025 (~77% cumulative, ~15% CAGR)</w:t>
      </w:r>
      <w:r>
        <w:rPr>
          <w:rFonts w:ascii="Times New Roman" w:hAnsi="Times New Roman" w:cs="Times New Roman"/>
          <w:b w:val="0"/>
          <w:i w:val="0"/>
          <w:sz w:val="22"/>
        </w:rPr>
        <w:t>, GAAP operating margin expansion from 26% to 28% (and non-GAAP from ~40% to ~44%), and the BETA CAE / Secure-IC / VLAB Works / Hexagon D&amp;E acquisition cycle that has doubled the company's addressable market.</w:t>
      </w:r>
    </w:p>
    <w:p>
      <w:pPr>
        <w:spacing w:after="120" w:lineRule="auto" w:line="276"/>
      </w:pPr>
      <w:r>
        <w:rPr>
          <w:rFonts w:ascii="Times New Roman" w:hAnsi="Times New Roman" w:cs="Times New Roman"/>
          <w:b w:val="0"/>
          <w:i w:val="0"/>
          <w:sz w:val="22"/>
        </w:rPr>
        <w:t xml:space="preserve">Devgan holds </w:t>
      </w:r>
      <w:r>
        <w:rPr>
          <w:rFonts w:ascii="Times New Roman" w:hAnsi="Times New Roman" w:cs="Times New Roman"/>
          <w:b/>
          <w:i w:val="0"/>
          <w:sz w:val="22"/>
        </w:rPr>
        <w:t>24 U.S. patents</w:t>
      </w:r>
      <w:r>
        <w:rPr>
          <w:rFonts w:ascii="Times New Roman" w:hAnsi="Times New Roman" w:cs="Times New Roman"/>
          <w:b w:val="0"/>
          <w:i w:val="0"/>
          <w:sz w:val="22"/>
        </w:rPr>
        <w:t xml:space="preserve"> and has published </w:t>
      </w:r>
      <w:r>
        <w:rPr>
          <w:rFonts w:ascii="Times New Roman" w:hAnsi="Times New Roman" w:cs="Times New Roman"/>
          <w:b/>
          <w:i w:val="0"/>
          <w:sz w:val="22"/>
        </w:rPr>
        <w:t>&gt;70 research papers</w:t>
      </w:r>
      <w:r>
        <w:rPr>
          <w:rFonts w:ascii="Times New Roman" w:hAnsi="Times New Roman" w:cs="Times New Roman"/>
          <w:b w:val="0"/>
          <w:i w:val="0"/>
          <w:sz w:val="22"/>
        </w:rPr>
        <w:t xml:space="preserve">. He was named an </w:t>
      </w:r>
      <w:r>
        <w:rPr>
          <w:rFonts w:ascii="Times New Roman" w:hAnsi="Times New Roman" w:cs="Times New Roman"/>
          <w:b/>
          <w:i w:val="0"/>
          <w:sz w:val="22"/>
        </w:rPr>
        <w:t>IEEE Fellow in 2006</w:t>
      </w:r>
      <w:r>
        <w:rPr>
          <w:rFonts w:ascii="Times New Roman" w:hAnsi="Times New Roman" w:cs="Times New Roman"/>
          <w:b w:val="0"/>
          <w:i w:val="0"/>
          <w:sz w:val="22"/>
        </w:rPr>
        <w:t xml:space="preserve">, won the </w:t>
      </w:r>
      <w:r>
        <w:rPr>
          <w:rFonts w:ascii="Times New Roman" w:hAnsi="Times New Roman" w:cs="Times New Roman"/>
          <w:b/>
          <w:i w:val="0"/>
          <w:sz w:val="22"/>
        </w:rPr>
        <w:t>IEEE/ACM William J. McCalla Award in 2003</w:t>
      </w:r>
      <w:r>
        <w:rPr>
          <w:rFonts w:ascii="Times New Roman" w:hAnsi="Times New Roman" w:cs="Times New Roman"/>
          <w:b w:val="0"/>
          <w:i w:val="0"/>
          <w:sz w:val="22"/>
        </w:rPr>
        <w:t xml:space="preserve"> and the </w:t>
      </w:r>
      <w:r>
        <w:rPr>
          <w:rFonts w:ascii="Times New Roman" w:hAnsi="Times New Roman" w:cs="Times New Roman"/>
          <w:b/>
          <w:i w:val="0"/>
          <w:sz w:val="22"/>
        </w:rPr>
        <w:t>ACM/DAC Best Paper Award in 2005</w:t>
      </w:r>
      <w:r>
        <w:rPr>
          <w:rFonts w:ascii="Times New Roman" w:hAnsi="Times New Roman" w:cs="Times New Roman"/>
          <w:b w:val="0"/>
          <w:i w:val="0"/>
          <w:sz w:val="22"/>
        </w:rPr>
        <w:t xml:space="preserve">, and was added to the </w:t>
      </w:r>
      <w:r>
        <w:rPr>
          <w:rFonts w:ascii="Times New Roman" w:hAnsi="Times New Roman" w:cs="Times New Roman"/>
          <w:b/>
          <w:i w:val="0"/>
          <w:sz w:val="22"/>
        </w:rPr>
        <w:t>Lam Research board of directors on 2026-02-03</w:t>
      </w:r>
      <w:r>
        <w:rPr>
          <w:rFonts w:ascii="Times New Roman" w:hAnsi="Times New Roman" w:cs="Times New Roman"/>
          <w:b w:val="0"/>
          <w:i w:val="0"/>
          <w:sz w:val="22"/>
        </w:rPr>
        <w:t xml:space="preserve"> (Lam Research newsroom, 2026-02-03). He has been an unusually consequential CEO precisely because he is a </w:t>
      </w:r>
      <w:r>
        <w:rPr>
          <w:rFonts w:ascii="Times New Roman" w:hAnsi="Times New Roman" w:cs="Times New Roman"/>
          <w:b/>
          <w:i w:val="0"/>
          <w:sz w:val="22"/>
        </w:rPr>
        <w:t>practicing EDA scientist who can hold technical depth-conversations with NVIDIA, TSMC, and hyperscaler CTOs</w:t>
      </w:r>
      <w:r>
        <w:rPr>
          <w:rFonts w:ascii="Times New Roman" w:hAnsi="Times New Roman" w:cs="Times New Roman"/>
          <w:b w:val="0"/>
          <w:i w:val="0"/>
          <w:sz w:val="22"/>
        </w:rPr>
        <w:t xml:space="preserve"> — a contrast with most software CEOs of comparable scale. His employment agreement, last amended 2021-12-15 alongside the CEO appointment, is incorporated by reference in the 10-K exhibit index (Cadence 2025 10-K, Exhibit 10.22). Direct beneficial ownership detail will appear in the 2026 proxy statement (DEF 14A) to be filed within 120 days of fiscal year-end per the 10-K incorporated-by-reference notice.</w:t>
      </w:r>
    </w:p>
    <w:p>
      <w:pPr>
        <w:spacing w:before="160" w:after="60"/>
      </w:pPr>
      <w:r>
        <w:rPr>
          <w:rFonts w:ascii="Times New Roman" w:hAnsi="Times New Roman" w:cs="Times New Roman"/>
          <w:b/>
          <w:i w:val="0"/>
          <w:color w:val="C00000"/>
          <w:sz w:val="22"/>
        </w:rPr>
        <w:t>John M. Wall — Senior Vice President and Chief Financial Officer</w:t>
      </w:r>
    </w:p>
    <w:p>
      <w:pPr>
        <w:spacing w:after="120" w:lineRule="auto" w:line="276"/>
      </w:pPr>
      <w:r>
        <w:rPr>
          <w:rFonts w:ascii="Times New Roman" w:hAnsi="Times New Roman" w:cs="Times New Roman"/>
          <w:b w:val="0"/>
          <w:i w:val="0"/>
          <w:sz w:val="22"/>
        </w:rPr>
        <w:t xml:space="preserve">John M. Wall, 55, has served as CFO since </w:t>
      </w:r>
      <w:r>
        <w:rPr>
          <w:rFonts w:ascii="Times New Roman" w:hAnsi="Times New Roman" w:cs="Times New Roman"/>
          <w:b/>
          <w:i w:val="0"/>
          <w:sz w:val="22"/>
        </w:rPr>
        <w:t>October 2017</w:t>
      </w:r>
      <w:r>
        <w:rPr>
          <w:rFonts w:ascii="Times New Roman" w:hAnsi="Times New Roman" w:cs="Times New Roman"/>
          <w:b w:val="0"/>
          <w:i w:val="0"/>
          <w:sz w:val="22"/>
        </w:rPr>
        <w:t xml:space="preserve"> and is in his ninth year in the role — unusually long tenure for a US tech CFO. He joined Cadence in </w:t>
      </w:r>
      <w:r>
        <w:rPr>
          <w:rFonts w:ascii="Times New Roman" w:hAnsi="Times New Roman" w:cs="Times New Roman"/>
          <w:b/>
          <w:i w:val="0"/>
          <w:sz w:val="22"/>
        </w:rPr>
        <w:t>June 1997</w:t>
      </w:r>
      <w:r>
        <w:rPr>
          <w:rFonts w:ascii="Times New Roman" w:hAnsi="Times New Roman" w:cs="Times New Roman"/>
          <w:b w:val="0"/>
          <w:i w:val="0"/>
          <w:sz w:val="22"/>
        </w:rPr>
        <w:t xml:space="preserve"> and held a series of finance leadership roles, most recently Corporate Vice President and Corporate Controller (April 2016–October 2017) (Cadence 2025 10-K, p. 9).</w:t>
      </w:r>
    </w:p>
    <w:p>
      <w:pPr>
        <w:spacing w:after="120" w:lineRule="auto" w:line="276"/>
      </w:pPr>
      <w:r>
        <w:rPr>
          <w:rFonts w:ascii="Times New Roman" w:hAnsi="Times New Roman" w:cs="Times New Roman"/>
          <w:b w:val="0"/>
          <w:i w:val="0"/>
          <w:sz w:val="22"/>
        </w:rPr>
        <w:t xml:space="preserve">Wall is an </w:t>
      </w:r>
      <w:r>
        <w:rPr>
          <w:rFonts w:ascii="Times New Roman" w:hAnsi="Times New Roman" w:cs="Times New Roman"/>
          <w:b/>
          <w:i w:val="0"/>
          <w:sz w:val="22"/>
        </w:rPr>
        <w:t>NCBS graduate of the Institute of Technology, Tralee</w:t>
      </w:r>
      <w:r>
        <w:rPr>
          <w:rFonts w:ascii="Times New Roman" w:hAnsi="Times New Roman" w:cs="Times New Roman"/>
          <w:b w:val="0"/>
          <w:i w:val="0"/>
          <w:sz w:val="22"/>
        </w:rPr>
        <w:t xml:space="preserve"> (Ireland) and a </w:t>
      </w:r>
      <w:r>
        <w:rPr>
          <w:rFonts w:ascii="Times New Roman" w:hAnsi="Times New Roman" w:cs="Times New Roman"/>
          <w:b/>
          <w:i w:val="0"/>
          <w:sz w:val="22"/>
        </w:rPr>
        <w:t>Fellow of the Association of Chartered Certified Accountants</w:t>
      </w:r>
      <w:r>
        <w:rPr>
          <w:rFonts w:ascii="Times New Roman" w:hAnsi="Times New Roman" w:cs="Times New Roman"/>
          <w:b w:val="0"/>
          <w:i w:val="0"/>
          <w:sz w:val="22"/>
        </w:rPr>
        <w:t xml:space="preserve"> (FCCA). His track record as CFO is the textbook case for ratable EDA business-model conversion executed at scale: under Wall, Cadence has gone from </w:t>
      </w:r>
      <w:r>
        <w:rPr>
          <w:rFonts w:ascii="Times New Roman" w:hAnsi="Times New Roman" w:cs="Times New Roman"/>
          <w:b/>
          <w:i w:val="0"/>
          <w:sz w:val="22"/>
        </w:rPr>
        <w:t>USD 1.94B revenue / 24% GAAP op margin (FY2017)</w:t>
      </w:r>
      <w:r>
        <w:rPr>
          <w:rFonts w:ascii="Times New Roman" w:hAnsi="Times New Roman" w:cs="Times New Roman"/>
          <w:b w:val="0"/>
          <w:i w:val="0"/>
          <w:sz w:val="22"/>
        </w:rPr>
        <w:t xml:space="preserve"> to </w:t>
      </w:r>
      <w:r>
        <w:rPr>
          <w:rFonts w:ascii="Times New Roman" w:hAnsi="Times New Roman" w:cs="Times New Roman"/>
          <w:b/>
          <w:i w:val="0"/>
          <w:sz w:val="22"/>
        </w:rPr>
        <w:t>USD 5.30B / 28% GAAP / ~44% non-GAAP (FY2025)</w:t>
      </w:r>
      <w:r>
        <w:rPr>
          <w:rFonts w:ascii="Times New Roman" w:hAnsi="Times New Roman" w:cs="Times New Roman"/>
          <w:b w:val="0"/>
          <w:i w:val="0"/>
          <w:sz w:val="22"/>
        </w:rPr>
        <w:t xml:space="preserve"> — a ~14% revenue CAGR with steady ~150bp/year non-GAAP margin expansion. He oversaw the </w:t>
      </w:r>
      <w:r>
        <w:rPr>
          <w:rFonts w:ascii="Times New Roman" w:hAnsi="Times New Roman" w:cs="Times New Roman"/>
          <w:b/>
          <w:i w:val="0"/>
          <w:sz w:val="22"/>
        </w:rPr>
        <w:t>2024 issuance of USD 3.2B of investment-grade notes</w:t>
      </w:r>
      <w:r>
        <w:rPr>
          <w:rFonts w:ascii="Times New Roman" w:hAnsi="Times New Roman" w:cs="Times New Roman"/>
          <w:b w:val="0"/>
          <w:i w:val="0"/>
          <w:sz w:val="22"/>
        </w:rPr>
        <w:t xml:space="preserve"> used to fund BETA CAE Systems, the largest debt raise in company history; the resulting net-debt/EBITDA remains &lt;1.5x. Wall has been the on-the-record voice for every quarterly CFO Commentary deck for nine years, and the lack of a single guide miss-and-cut cycle during his tenure is a meaningful piece of the company's premium multiple. He earned roughly USD 6.8M in total compensation per the FY24 proxy (full FY25 detail forthcoming in the 2026 DEF 14A).</w:t>
      </w:r>
    </w:p>
    <w:p>
      <w:pPr>
        <w:spacing w:before="160" w:after="60"/>
      </w:pPr>
      <w:r>
        <w:rPr>
          <w:rFonts w:ascii="Times New Roman" w:hAnsi="Times New Roman" w:cs="Times New Roman"/>
          <w:b/>
          <w:i w:val="0"/>
          <w:color w:val="C00000"/>
          <w:sz w:val="22"/>
        </w:rPr>
        <w:t>Other key executives</w:t>
      </w:r>
    </w:p>
    <w:p>
      <w:pPr>
        <w:spacing w:after="120" w:lineRule="auto" w:line="276"/>
      </w:pPr>
      <w:r>
        <w:rPr>
          <w:rFonts w:ascii="Times New Roman" w:hAnsi="Times New Roman" w:cs="Times New Roman"/>
          <w:b/>
          <w:i w:val="0"/>
          <w:sz w:val="22"/>
        </w:rPr>
        <w:t>Chin-Chi Teng, Ph.D. — SVP &amp; GM, Digital and Signoff Group (since September 2018).</w:t>
      </w:r>
      <w:r>
        <w:rPr>
          <w:rFonts w:ascii="Times New Roman" w:hAnsi="Times New Roman" w:cs="Times New Roman"/>
          <w:b w:val="0"/>
          <w:i w:val="0"/>
          <w:sz w:val="22"/>
        </w:rPr>
        <w:t xml:space="preserve"> Teng joined Cadence in January 2002 and has worked across digital implementation, signoff, and physical verification for &gt;23 years at the company. He runs the group that ships </w:t>
      </w:r>
      <w:r>
        <w:rPr>
          <w:rFonts w:ascii="Times New Roman" w:hAnsi="Times New Roman" w:cs="Times New Roman"/>
          <w:b/>
          <w:i w:val="0"/>
          <w:sz w:val="22"/>
        </w:rPr>
        <w:t>Innovus, Genus, Tempus, Voltus, Quantus, Pegasus, Conformal, and Cerebrus</w:t>
      </w:r>
      <w:r>
        <w:rPr>
          <w:rFonts w:ascii="Times New Roman" w:hAnsi="Times New Roman" w:cs="Times New Roman"/>
          <w:b w:val="0"/>
          <w:i w:val="0"/>
          <w:sz w:val="22"/>
        </w:rPr>
        <w:t xml:space="preserve"> — i.e., the entire digital RTL-to-GDS flow that competes head-to-head with Synopsys Fusion Compiler / IC Compiler II. Teng holds a B.S. in EE from National Taiwan University and a Ph.D. in ECE from the University of Illinois Urbana-Champaign (Cadence 2025 10-K, p. 9).</w:t>
      </w:r>
    </w:p>
    <w:p>
      <w:pPr>
        <w:spacing w:after="120" w:lineRule="auto" w:line="276"/>
      </w:pPr>
      <w:r>
        <w:rPr>
          <w:rFonts w:ascii="Times New Roman" w:hAnsi="Times New Roman" w:cs="Times New Roman"/>
          <w:b/>
          <w:i w:val="0"/>
          <w:sz w:val="22"/>
        </w:rPr>
        <w:t>Paul Cunningham, Ph.D. — SVP &amp; GM, System Verification Group (since March 2021).</w:t>
      </w:r>
      <w:r>
        <w:rPr>
          <w:rFonts w:ascii="Times New Roman" w:hAnsi="Times New Roman" w:cs="Times New Roman"/>
          <w:b w:val="0"/>
          <w:i w:val="0"/>
          <w:sz w:val="22"/>
        </w:rPr>
        <w:t xml:space="preserve"> Cunningham came to Cadence via the </w:t>
      </w:r>
      <w:r>
        <w:rPr>
          <w:rFonts w:ascii="Times New Roman" w:hAnsi="Times New Roman" w:cs="Times New Roman"/>
          <w:b/>
          <w:i w:val="0"/>
          <w:sz w:val="22"/>
        </w:rPr>
        <w:t>July 2011 acquisition of Azuro</w:t>
      </w:r>
      <w:r>
        <w:rPr>
          <w:rFonts w:ascii="Times New Roman" w:hAnsi="Times New Roman" w:cs="Times New Roman"/>
          <w:b w:val="0"/>
          <w:i w:val="0"/>
          <w:sz w:val="22"/>
        </w:rPr>
        <w:t xml:space="preserve">, which he co-founded and led as CEO; Azuro was a clock-concurrent optimization startup spun out of Cambridge. He owns Cadence's verification franchise — </w:t>
      </w:r>
      <w:r>
        <w:rPr>
          <w:rFonts w:ascii="Times New Roman" w:hAnsi="Times New Roman" w:cs="Times New Roman"/>
          <w:b/>
          <w:i w:val="0"/>
          <w:sz w:val="22"/>
        </w:rPr>
        <w:t>Xcelium, Jasper Formal, Palladium, Protium, Verisium, and the new ChipStack agentic-AI super agent</w:t>
      </w:r>
      <w:r>
        <w:rPr>
          <w:rFonts w:ascii="Times New Roman" w:hAnsi="Times New Roman" w:cs="Times New Roman"/>
          <w:b w:val="0"/>
          <w:i w:val="0"/>
          <w:sz w:val="22"/>
        </w:rPr>
        <w:t>. Cunningham holds an M.A. and Ph.D. in Computer Science from the University of Cambridge (Cadence 2025 10-K, p. 9).</w:t>
      </w:r>
    </w:p>
    <w:p>
      <w:pPr>
        <w:spacing w:before="160" w:after="60"/>
      </w:pPr>
      <w:r>
        <w:rPr>
          <w:rFonts w:ascii="Times New Roman" w:hAnsi="Times New Roman" w:cs="Times New Roman"/>
          <w:b/>
          <w:i w:val="0"/>
          <w:color w:val="C00000"/>
          <w:sz w:val="22"/>
        </w:rPr>
        <w:t>Governance</w:t>
      </w:r>
    </w:p>
    <w:p>
      <w:pPr>
        <w:pStyle w:val="ListBullet"/>
        <w:ind w:left="432"/>
      </w:pPr>
      <w:r>
        <w:rPr>
          <w:rFonts w:ascii="Times New Roman" w:hAnsi="Times New Roman" w:cs="Times New Roman"/>
          <w:b/>
          <w:i w:val="0"/>
          <w:sz w:val="22"/>
        </w:rPr>
        <w:t>Board of Directors (10 members at FY25 year-end).</w:t>
      </w:r>
      <w:r>
        <w:rPr>
          <w:rFonts w:ascii="Times New Roman" w:hAnsi="Times New Roman" w:cs="Times New Roman"/>
          <w:b w:val="0"/>
          <w:i w:val="0"/>
          <w:sz w:val="22"/>
        </w:rPr>
        <w:t xml:space="preserve"> ML (Mary Louise) Krakauer (independent Chair, since 2023-05-04, ex-Dell EVP), Mark W. Adams, Ita Brennan (ex-Arista CFO), Lewis Chew, Anirudh Devgan (CEO), Moshe Gavrielov (ex-Xilinx CEO, joined 2025-01-01), Julia Liuson (Microsoft EVP, GitHub), Dr. James D. Plummer (Stanford EE professor emeritus), Dr. Alberto Sangiovanni-Vincentelli (Cadence co-founder, UC Berkeley professor), Young K. Sohn (ex-Samsung Chief Strategy Officer), and Dr. Luc Van den hove (CEO of imec, joined 2026-01-01) (Cadence 2025 10-K signature page; BusinessWire — Krakauer appointed Chair, 2023-05-11; BusinessWire — Gavrielov appointment, 2024-12-12).</w:t>
      </w:r>
    </w:p>
    <w:p>
      <w:pPr>
        <w:pStyle w:val="ListBullet"/>
        <w:ind w:left="432"/>
      </w:pPr>
      <w:r>
        <w:rPr>
          <w:rFonts w:ascii="Times New Roman" w:hAnsi="Times New Roman" w:cs="Times New Roman"/>
          <w:b/>
          <w:i w:val="0"/>
          <w:sz w:val="22"/>
        </w:rPr>
        <w:t>Independence.</w:t>
      </w:r>
      <w:r>
        <w:rPr>
          <w:rFonts w:ascii="Times New Roman" w:hAnsi="Times New Roman" w:cs="Times New Roman"/>
          <w:b w:val="0"/>
          <w:i w:val="0"/>
          <w:sz w:val="22"/>
        </w:rPr>
        <w:t xml:space="preserve"> 9 of 10 directors are independent; Devgan is the only insider. Chair and CEO roles are separate.</w:t>
      </w:r>
    </w:p>
    <w:p>
      <w:pPr>
        <w:pStyle w:val="ListBullet"/>
        <w:ind w:left="432"/>
      </w:pPr>
      <w:r>
        <w:rPr>
          <w:rFonts w:ascii="Times New Roman" w:hAnsi="Times New Roman" w:cs="Times New Roman"/>
          <w:b/>
          <w:i w:val="0"/>
          <w:sz w:val="22"/>
        </w:rPr>
        <w:t>Insider ownership.</w:t>
      </w:r>
      <w:r>
        <w:rPr>
          <w:rFonts w:ascii="Times New Roman" w:hAnsi="Times New Roman" w:cs="Times New Roman"/>
          <w:b w:val="0"/>
          <w:i w:val="0"/>
          <w:sz w:val="22"/>
        </w:rPr>
        <w:t xml:space="preserve"> Specific %s pending in the 2026 DEF 14A; FY24 proxy disclosed directors and executive officers as a group holding &lt;2% of shares outstanding — modest insider stake but typical for a 38-year-old large-cap.</w:t>
      </w:r>
    </w:p>
    <w:p>
      <w:pPr>
        <w:pStyle w:val="ListBullet"/>
        <w:ind w:left="432"/>
      </w:pPr>
      <w:r>
        <w:rPr>
          <w:rFonts w:ascii="Times New Roman" w:hAnsi="Times New Roman" w:cs="Times New Roman"/>
          <w:b/>
          <w:i w:val="0"/>
          <w:sz w:val="22"/>
        </w:rPr>
        <w:t>Comp structure.</w:t>
      </w:r>
      <w:r>
        <w:rPr>
          <w:rFonts w:ascii="Times New Roman" w:hAnsi="Times New Roman" w:cs="Times New Roman"/>
          <w:b w:val="0"/>
          <w:i w:val="0"/>
          <w:sz w:val="22"/>
        </w:rPr>
        <w:t xml:space="preserve"> Heavily equity-weighted; PSUs vest on operating-income and relative TSR metrics (forms of PSU agreement listed in Q1-2025 10-Q exhibits 10.4 and 10.6) (Cadence 2025 10-K exhibit index). Stock-based compensation expense was </w:t>
      </w:r>
      <w:r>
        <w:rPr>
          <w:rFonts w:ascii="Times New Roman" w:hAnsi="Times New Roman" w:cs="Times New Roman"/>
          <w:b/>
          <w:i w:val="0"/>
          <w:sz w:val="22"/>
        </w:rPr>
        <w:t>USD 455.2M in FY25 (8.6% of revenue)</w:t>
      </w:r>
      <w:r>
        <w:rPr>
          <w:rFonts w:ascii="Times New Roman" w:hAnsi="Times New Roman" w:cs="Times New Roman"/>
          <w:b w:val="0"/>
          <w:i w:val="0"/>
          <w:sz w:val="22"/>
        </w:rPr>
        <w:t xml:space="preserve"> — high but in line with large-cap software peers.</w:t>
      </w:r>
    </w:p>
    <w:p>
      <w:pPr>
        <w:pStyle w:val="ListBullet"/>
        <w:ind w:left="432"/>
      </w:pPr>
      <w:r>
        <w:rPr>
          <w:rFonts w:ascii="Times New Roman" w:hAnsi="Times New Roman" w:cs="Times New Roman"/>
          <w:b/>
          <w:i w:val="0"/>
          <w:sz w:val="22"/>
        </w:rPr>
        <w:t>Auditor.</w:t>
      </w:r>
      <w:r>
        <w:rPr>
          <w:rFonts w:ascii="Times New Roman" w:hAnsi="Times New Roman" w:cs="Times New Roman"/>
          <w:b w:val="0"/>
          <w:i w:val="0"/>
          <w:sz w:val="22"/>
        </w:rPr>
        <w:t xml:space="preserve"> PricewaterhouseCoopers LLP.</w:t>
      </w:r>
    </w:p>
    <w:p>
      <w:pPr>
        <w:pStyle w:val="ListBullet"/>
        <w:ind w:left="432"/>
      </w:pPr>
      <w:r>
        <w:rPr>
          <w:rFonts w:ascii="Times New Roman" w:hAnsi="Times New Roman" w:cs="Times New Roman"/>
          <w:b/>
          <w:i w:val="0"/>
          <w:sz w:val="22"/>
        </w:rPr>
        <w:t>Material governance event.</w:t>
      </w:r>
      <w:r>
        <w:rPr>
          <w:rFonts w:ascii="Times New Roman" w:hAnsi="Times New Roman" w:cs="Times New Roman"/>
          <w:b w:val="0"/>
          <w:i w:val="0"/>
          <w:sz w:val="22"/>
        </w:rPr>
        <w:t xml:space="preserve"> July 2025 DOJ plea agreement places Cadence on a three-year probationary t</w:t>
      </w:r>
    </w:p>
    <w:p>
      <w:pPr>
        <w:spacing w:before="360" w:after="120"/>
        <w:pBdr>
          <w:bottom w:val="single" w:sz="8" w:space="1" w:color="1F4E78"/>
        </w:pBdr>
      </w:pPr>
      <w:r>
        <w:rPr>
          <w:rFonts w:ascii="Times New Roman" w:hAnsi="Times New Roman" w:cs="Times New Roman"/>
          <w:b/>
          <w:i w:val="0"/>
          <w:color w:val="1F4E78"/>
          <w:sz w:val="32"/>
        </w:rPr>
        <w:t>PRODUCTS &amp; SERVICES</w:t>
      </w:r>
    </w:p>
    <w:p>
      <w:pPr>
        <w:spacing w:after="120" w:lineRule="auto" w:line="276"/>
      </w:pPr>
      <w:r>
        <w:rPr>
          <w:rFonts w:ascii="Times New Roman" w:hAnsi="Times New Roman" w:cs="Times New Roman"/>
          <w:b w:val="0"/>
          <w:i w:val="0"/>
          <w:sz w:val="22"/>
        </w:rPr>
        <w:t>Cadence organizes its offerings into three product categories (Cadence 2025 10-K, p. 2):</w:t>
      </w:r>
    </w:p>
    <w:p>
      <w:pPr>
        <w:pStyle w:val="ListNumber"/>
      </w:pPr>
      <w:r>
        <w:rPr>
          <w:rFonts w:ascii="Times New Roman" w:hAnsi="Times New Roman" w:cs="Times New Roman"/>
          <w:b/>
          <w:i w:val="0"/>
          <w:sz w:val="22"/>
        </w:rPr>
        <w:t>Core EDA</w:t>
      </w:r>
      <w:r>
        <w:rPr>
          <w:rFonts w:ascii="Times New Roman" w:hAnsi="Times New Roman" w:cs="Times New Roman"/>
          <w:b w:val="0"/>
          <w:i w:val="0"/>
          <w:sz w:val="22"/>
        </w:rPr>
        <w:t xml:space="preserve"> — software and hardware for designing and verifying chips. </w:t>
      </w:r>
      <w:r>
        <w:rPr>
          <w:rFonts w:ascii="Times New Roman" w:hAnsi="Times New Roman" w:cs="Times New Roman"/>
          <w:b/>
          <w:i w:val="0"/>
          <w:sz w:val="22"/>
        </w:rPr>
        <w:t>~60% of revenue</w:t>
      </w:r>
      <w:r>
        <w:rPr>
          <w:rFonts w:ascii="Times New Roman" w:hAnsi="Times New Roman" w:cs="Times New Roman"/>
          <w:b w:val="0"/>
          <w:i w:val="0"/>
          <w:sz w:val="22"/>
        </w:rPr>
        <w:t>; growing ~13–18% YoY.</w:t>
      </w:r>
    </w:p>
    <w:p>
      <w:pPr>
        <w:pStyle w:val="ListNumber"/>
      </w:pPr>
      <w:r>
        <w:rPr>
          <w:rFonts w:ascii="Times New Roman" w:hAnsi="Times New Roman" w:cs="Times New Roman"/>
          <w:b/>
          <w:i w:val="0"/>
          <w:sz w:val="22"/>
        </w:rPr>
        <w:t>System Design &amp; Analysis (SD&amp;A)</w:t>
      </w:r>
      <w:r>
        <w:rPr>
          <w:rFonts w:ascii="Times New Roman" w:hAnsi="Times New Roman" w:cs="Times New Roman"/>
          <w:b w:val="0"/>
          <w:i w:val="0"/>
          <w:sz w:val="22"/>
        </w:rPr>
        <w:t xml:space="preserve"> — PCB design, multiphysics, CFD, structural / thermal analysis. </w:t>
      </w:r>
      <w:r>
        <w:rPr>
          <w:rFonts w:ascii="Times New Roman" w:hAnsi="Times New Roman" w:cs="Times New Roman"/>
          <w:b/>
          <w:i w:val="0"/>
          <w:sz w:val="22"/>
        </w:rPr>
        <w:t>~25% of revenue</w:t>
      </w:r>
      <w:r>
        <w:rPr>
          <w:rFonts w:ascii="Times New Roman" w:hAnsi="Times New Roman" w:cs="Times New Roman"/>
          <w:b w:val="0"/>
          <w:i w:val="0"/>
          <w:sz w:val="22"/>
        </w:rPr>
        <w:t>; growing ~15–18% YoY.</w:t>
      </w:r>
    </w:p>
    <w:p>
      <w:pPr>
        <w:pStyle w:val="ListNumber"/>
      </w:pPr>
      <w:r>
        <w:rPr>
          <w:rFonts w:ascii="Times New Roman" w:hAnsi="Times New Roman" w:cs="Times New Roman"/>
          <w:b/>
          <w:i w:val="0"/>
          <w:sz w:val="22"/>
        </w:rPr>
        <w:t>Semiconductor IP</w:t>
      </w:r>
      <w:r>
        <w:rPr>
          <w:rFonts w:ascii="Times New Roman" w:hAnsi="Times New Roman" w:cs="Times New Roman"/>
          <w:b w:val="0"/>
          <w:i w:val="0"/>
          <w:sz w:val="22"/>
        </w:rPr>
        <w:t xml:space="preserve"> — licensable silicon IP blocks. </w:t>
      </w:r>
      <w:r>
        <w:rPr>
          <w:rFonts w:ascii="Times New Roman" w:hAnsi="Times New Roman" w:cs="Times New Roman"/>
          <w:b/>
          <w:i w:val="0"/>
          <w:sz w:val="22"/>
        </w:rPr>
        <w:t>~15% of revenue</w:t>
      </w:r>
      <w:r>
        <w:rPr>
          <w:rFonts w:ascii="Times New Roman" w:hAnsi="Times New Roman" w:cs="Times New Roman"/>
          <w:b w:val="0"/>
          <w:i w:val="0"/>
          <w:sz w:val="22"/>
        </w:rPr>
        <w:t>; growing ~20–25% YoY in FY25/Q1 26.</w:t>
      </w:r>
    </w:p>
    <w:p>
      <w:pPr>
        <w:spacing w:after="120" w:lineRule="auto" w:line="276"/>
      </w:pPr>
      <w:r>
        <w:rPr>
          <w:rFonts w:ascii="Times New Roman" w:hAnsi="Times New Roman" w:cs="Times New Roman"/>
          <w:b w:val="0"/>
          <w:i w:val="0"/>
          <w:sz w:val="22"/>
        </w:rPr>
        <w:t>*Source: Cadence 2025 10-K, Items 1.A–1.C; Cadence Products page.*</w:t>
      </w:r>
    </w:p>
    <w:p>
      <w:pPr>
        <w:spacing w:before="160" w:after="60"/>
      </w:pPr>
      <w:r>
        <w:rPr>
          <w:rFonts w:ascii="Times New Roman" w:hAnsi="Times New Roman" w:cs="Times New Roman"/>
          <w:b/>
          <w:i w:val="0"/>
          <w:color w:val="C00000"/>
          <w:sz w:val="22"/>
        </w:rPr>
        <w:t>Core EDA — the franchise</w:t>
      </w:r>
    </w:p>
    <w:p>
      <w:pPr>
        <w:spacing w:after="120" w:lineRule="auto" w:line="276"/>
      </w:pPr>
      <w:r>
        <w:rPr>
          <w:rFonts w:ascii="Times New Roman" w:hAnsi="Times New Roman" w:cs="Times New Roman"/>
          <w:b/>
          <w:i w:val="0"/>
          <w:sz w:val="22"/>
        </w:rPr>
        <w:t>Virtuoso platform — custom / analog / RF / mixed-signal IC design.</w:t>
      </w:r>
      <w:r>
        <w:rPr>
          <w:rFonts w:ascii="Times New Roman" w:hAnsi="Times New Roman" w:cs="Times New Roman"/>
          <w:b w:val="0"/>
          <w:i w:val="0"/>
          <w:sz w:val="22"/>
        </w:rPr>
        <w:t xml:space="preserve"> Cadence's flagship and the industry standard for analog and custom IC design, used by Apple, Qualcomm, MediaTek, NXP, ST Micro, Infineon, and virtually every analog house. Integrates schematic capture, layout, simulation (Spectre), and physical verification (Pegasus DRC/LVS). Cadence states Virtuoso "is considered the industry standard for custom and analog IC design" (Cadence 2025 10-K, p. 2; Virtuoso product page).</w:t>
      </w:r>
    </w:p>
    <w:p>
      <w:pPr>
        <w:pStyle w:val="ListBullet"/>
        <w:ind w:left="432"/>
      </w:pPr>
      <w:r>
        <w:rPr>
          <w:rFonts w:ascii="Times New Roman" w:hAnsi="Times New Roman" w:cs="Times New Roman"/>
          <w:b/>
          <w:i w:val="0"/>
          <w:sz w:val="22"/>
        </w:rPr>
        <w:t>Competitive-advantage verdict: YES — durable moat.</w:t>
      </w:r>
      <w:r>
        <w:rPr>
          <w:rFonts w:ascii="Times New Roman" w:hAnsi="Times New Roman" w:cs="Times New Roman"/>
          <w:b w:val="0"/>
          <w:i w:val="0"/>
          <w:sz w:val="22"/>
        </w:rPr>
        <w:t xml:space="preserve"> Moat type: </w:t>
      </w:r>
      <w:r>
        <w:rPr>
          <w:rFonts w:ascii="Times New Roman" w:hAnsi="Times New Roman" w:cs="Times New Roman"/>
          <w:b/>
          <w:i w:val="0"/>
          <w:sz w:val="22"/>
        </w:rPr>
        <w:t>switching costs + ecosystem lock-in</w:t>
      </w:r>
      <w:r>
        <w:rPr>
          <w:rFonts w:ascii="Times New Roman" w:hAnsi="Times New Roman" w:cs="Times New Roman"/>
          <w:b w:val="0"/>
          <w:i w:val="0"/>
          <w:sz w:val="22"/>
        </w:rPr>
        <w:t>. Every foundry (TSMC, Samsung, Intel Foundry, GlobalFoundries) qualifies process design kits (PDKs) for Virtuoso first; an engineering team rebuilt around a competitor would face 12–24 months of PDK requalification.</w:t>
      </w:r>
    </w:p>
    <w:p>
      <w:pPr>
        <w:pStyle w:val="ListBullet"/>
        <w:ind w:left="432"/>
      </w:pPr>
      <w:r>
        <w:rPr>
          <w:rFonts w:ascii="Times New Roman" w:hAnsi="Times New Roman" w:cs="Times New Roman"/>
          <w:b/>
          <w:i w:val="0"/>
          <w:sz w:val="22"/>
        </w:rPr>
        <w:t>Closest competitor product:</w:t>
      </w:r>
      <w:r>
        <w:rPr>
          <w:rFonts w:ascii="Times New Roman" w:hAnsi="Times New Roman" w:cs="Times New Roman"/>
          <w:b w:val="0"/>
          <w:i w:val="0"/>
          <w:sz w:val="22"/>
        </w:rPr>
        <w:t xml:space="preserve"> Synopsys Custom Compiler. Verdict: </w:t>
      </w:r>
      <w:r>
        <w:rPr>
          <w:rFonts w:ascii="Times New Roman" w:hAnsi="Times New Roman" w:cs="Times New Roman"/>
          <w:b/>
          <w:i w:val="0"/>
          <w:sz w:val="22"/>
        </w:rPr>
        <w:t>Cadence ahead in installed base and PDK certification depth</w:t>
      </w:r>
      <w:r>
        <w:rPr>
          <w:rFonts w:ascii="Times New Roman" w:hAnsi="Times New Roman" w:cs="Times New Roman"/>
          <w:b w:val="0"/>
          <w:i w:val="0"/>
          <w:sz w:val="22"/>
        </w:rPr>
        <w:t>; SNPS has narrowed the technical gap.</w:t>
      </w:r>
    </w:p>
    <w:p>
      <w:pPr>
        <w:spacing w:after="120" w:lineRule="auto" w:line="276"/>
      </w:pPr>
      <w:r>
        <w:rPr>
          <w:rFonts w:ascii="Times New Roman" w:hAnsi="Times New Roman" w:cs="Times New Roman"/>
          <w:b/>
          <w:i w:val="0"/>
          <w:sz w:val="22"/>
        </w:rPr>
        <w:t>Innovus Implementation System — digital place-and-route.</w:t>
      </w:r>
      <w:r>
        <w:rPr>
          <w:rFonts w:ascii="Times New Roman" w:hAnsi="Times New Roman" w:cs="Times New Roman"/>
          <w:b w:val="0"/>
          <w:i w:val="0"/>
          <w:sz w:val="22"/>
        </w:rPr>
        <w:t xml:space="preserve"> Used by AMD, NVIDIA, Apple, Broadcom, Marvell, and most hyperscaler in-house silicon teams to drive RTL through synthesis (Genus) → placement → CTS → routing → signoff (Tempus, Voltus, Quantus) on advanced nodes (3nm, 2nm). Integrated with Cerebrus for AI-driven PPA exploration (Innovus product page).</w:t>
      </w:r>
    </w:p>
    <w:p>
      <w:pPr>
        <w:pStyle w:val="ListBullet"/>
        <w:ind w:left="432"/>
      </w:pPr>
      <w:r>
        <w:rPr>
          <w:rFonts w:ascii="Times New Roman" w:hAnsi="Times New Roman" w:cs="Times New Roman"/>
          <w:b/>
          <w:i w:val="0"/>
          <w:sz w:val="22"/>
        </w:rPr>
        <w:t>Competitive-advantage verdict: PARTIAL — duopoly with Synopsys.</w:t>
      </w:r>
      <w:r>
        <w:rPr>
          <w:rFonts w:ascii="Times New Roman" w:hAnsi="Times New Roman" w:cs="Times New Roman"/>
          <w:b w:val="0"/>
          <w:i w:val="0"/>
          <w:sz w:val="22"/>
        </w:rPr>
        <w:t xml:space="preserve"> Moat type: </w:t>
      </w:r>
      <w:r>
        <w:rPr>
          <w:rFonts w:ascii="Times New Roman" w:hAnsi="Times New Roman" w:cs="Times New Roman"/>
          <w:b/>
          <w:i w:val="0"/>
          <w:sz w:val="22"/>
        </w:rPr>
        <w:t>scale + technology</w:t>
      </w:r>
      <w:r>
        <w:rPr>
          <w:rFonts w:ascii="Times New Roman" w:hAnsi="Times New Roman" w:cs="Times New Roman"/>
          <w:b w:val="0"/>
          <w:i w:val="0"/>
          <w:sz w:val="22"/>
        </w:rPr>
        <w:t xml:space="preserve"> — only Cadence and Synopsys have credible 3/2nm sign-off flows.</w:t>
      </w:r>
    </w:p>
    <w:p>
      <w:pPr>
        <w:pStyle w:val="ListBullet"/>
        <w:ind w:left="432"/>
      </w:pPr>
      <w:r>
        <w:rPr>
          <w:rFonts w:ascii="Times New Roman" w:hAnsi="Times New Roman" w:cs="Times New Roman"/>
          <w:b/>
          <w:i w:val="0"/>
          <w:sz w:val="22"/>
        </w:rPr>
        <w:t>Closest competitor product:</w:t>
      </w:r>
      <w:r>
        <w:rPr>
          <w:rFonts w:ascii="Times New Roman" w:hAnsi="Times New Roman" w:cs="Times New Roman"/>
          <w:b w:val="0"/>
          <w:i w:val="0"/>
          <w:sz w:val="22"/>
        </w:rPr>
        <w:t xml:space="preserve"> Synopsys Fusion Compiler / IC Compiler II. Verdict: </w:t>
      </w:r>
      <w:r>
        <w:rPr>
          <w:rFonts w:ascii="Times New Roman" w:hAnsi="Times New Roman" w:cs="Times New Roman"/>
          <w:b/>
          <w:i w:val="0"/>
          <w:sz w:val="22"/>
        </w:rPr>
        <w:t>roughly at parity</w:t>
      </w:r>
      <w:r>
        <w:rPr>
          <w:rFonts w:ascii="Times New Roman" w:hAnsi="Times New Roman" w:cs="Times New Roman"/>
          <w:b w:val="0"/>
          <w:i w:val="0"/>
          <w:sz w:val="22"/>
        </w:rPr>
        <w:t>; market share oscillates by node and customer.</w:t>
      </w:r>
    </w:p>
    <w:p>
      <w:pPr>
        <w:spacing w:after="120" w:lineRule="auto" w:line="276"/>
      </w:pPr>
      <w:r>
        <w:rPr>
          <w:rFonts w:ascii="Times New Roman" w:hAnsi="Times New Roman" w:cs="Times New Roman"/>
          <w:b/>
          <w:i w:val="0"/>
          <w:sz w:val="22"/>
        </w:rPr>
        <w:t>Xcelium Parallel Logic Simulator + Jasper Formal + Verisium AI.</w:t>
      </w:r>
      <w:r>
        <w:rPr>
          <w:rFonts w:ascii="Times New Roman" w:hAnsi="Times New Roman" w:cs="Times New Roman"/>
          <w:b w:val="0"/>
          <w:i w:val="0"/>
          <w:sz w:val="22"/>
        </w:rPr>
        <w:t xml:space="preserve"> The functional-verification stack; verification typically consumes 60–70% of a digital SoC project's compute hours and is where ChipStack delivers its 10× productivity claim (Cadence press release, ChipStack launch, 2026-02-10; HPCwire, 2026-02-12).</w:t>
      </w:r>
    </w:p>
    <w:p>
      <w:pPr>
        <w:pStyle w:val="ListBullet"/>
        <w:ind w:left="432"/>
      </w:pPr>
      <w:r>
        <w:rPr>
          <w:rFonts w:ascii="Times New Roman" w:hAnsi="Times New Roman" w:cs="Times New Roman"/>
          <w:b/>
          <w:i w:val="0"/>
          <w:sz w:val="22"/>
        </w:rPr>
        <w:t>Competitive-advantage verdict: PARTIAL.</w:t>
      </w:r>
      <w:r>
        <w:rPr>
          <w:rFonts w:ascii="Times New Roman" w:hAnsi="Times New Roman" w:cs="Times New Roman"/>
          <w:b w:val="0"/>
          <w:i w:val="0"/>
          <w:sz w:val="22"/>
        </w:rPr>
        <w:t xml:space="preserve"> Moat type: technology + methodology lock-in (Specman 'e' verification language inherited from Verisity).</w:t>
      </w:r>
    </w:p>
    <w:p>
      <w:pPr>
        <w:pStyle w:val="ListBullet"/>
        <w:ind w:left="432"/>
      </w:pPr>
      <w:r>
        <w:rPr>
          <w:rFonts w:ascii="Times New Roman" w:hAnsi="Times New Roman" w:cs="Times New Roman"/>
          <w:b/>
          <w:i w:val="0"/>
          <w:sz w:val="22"/>
        </w:rPr>
        <w:t>Closest competitor product:</w:t>
      </w:r>
      <w:r>
        <w:rPr>
          <w:rFonts w:ascii="Times New Roman" w:hAnsi="Times New Roman" w:cs="Times New Roman"/>
          <w:b w:val="0"/>
          <w:i w:val="0"/>
          <w:sz w:val="22"/>
        </w:rPr>
        <w:t xml:space="preserve"> Synopsys VCS + VC Formal. Verdict: </w:t>
      </w:r>
      <w:r>
        <w:rPr>
          <w:rFonts w:ascii="Times New Roman" w:hAnsi="Times New Roman" w:cs="Times New Roman"/>
          <w:b/>
          <w:i w:val="0"/>
          <w:sz w:val="22"/>
        </w:rPr>
        <w:t>mixed</w:t>
      </w:r>
      <w:r>
        <w:rPr>
          <w:rFonts w:ascii="Times New Roman" w:hAnsi="Times New Roman" w:cs="Times New Roman"/>
          <w:b w:val="0"/>
          <w:i w:val="0"/>
          <w:sz w:val="22"/>
        </w:rPr>
        <w:t xml:space="preserve"> — Cadence ahead in formal (Jasper) and emulation-tied verification flows, Synopsys ahead in raw simulation throughput.</w:t>
      </w:r>
    </w:p>
    <w:p>
      <w:pPr>
        <w:spacing w:after="120" w:lineRule="auto" w:line="276"/>
      </w:pPr>
      <w:r>
        <w:rPr>
          <w:rFonts w:ascii="Times New Roman" w:hAnsi="Times New Roman" w:cs="Times New Roman"/>
          <w:b/>
          <w:i w:val="0"/>
          <w:sz w:val="22"/>
        </w:rPr>
        <w:t>Palladium Enterprise Emulation Platform + Protium FPGA-Based Prototyping.</w:t>
      </w:r>
      <w:r>
        <w:rPr>
          <w:rFonts w:ascii="Times New Roman" w:hAnsi="Times New Roman" w:cs="Times New Roman"/>
          <w:b w:val="0"/>
          <w:i w:val="0"/>
          <w:sz w:val="22"/>
        </w:rPr>
        <w:t xml:space="preserve"> Multi-million-dollar dedicated emulation appliances that run a customer's chip RTL at MHz-class speeds before silicon — essential for any chip &gt;1B transistors. Cadence states "Palladium delivers high throughput, capacity, and reliability for global design teams" and explicitly calls this out as the segment that delivered "a record quarter" in Q1 2026 (Cadence 2025 10-K, p. 3; Q1-2026 press release).</w:t>
      </w:r>
    </w:p>
    <w:p>
      <w:pPr>
        <w:pStyle w:val="ListBullet"/>
        <w:ind w:left="432"/>
      </w:pPr>
      <w:r>
        <w:rPr>
          <w:rFonts w:ascii="Times New Roman" w:hAnsi="Times New Roman" w:cs="Times New Roman"/>
          <w:b/>
          <w:i w:val="0"/>
          <w:sz w:val="22"/>
        </w:rPr>
        <w:t>Competitive-advantage verdict: YES — strong moat.</w:t>
      </w:r>
      <w:r>
        <w:rPr>
          <w:rFonts w:ascii="Times New Roman" w:hAnsi="Times New Roman" w:cs="Times New Roman"/>
          <w:b w:val="0"/>
          <w:i w:val="0"/>
          <w:sz w:val="22"/>
        </w:rPr>
        <w:t xml:space="preserve"> Moat type: </w:t>
      </w:r>
      <w:r>
        <w:rPr>
          <w:rFonts w:ascii="Times New Roman" w:hAnsi="Times New Roman" w:cs="Times New Roman"/>
          <w:b/>
          <w:i w:val="0"/>
          <w:sz w:val="22"/>
        </w:rPr>
        <w:t>technology + capex barrier + scale</w:t>
      </w:r>
      <w:r>
        <w:rPr>
          <w:rFonts w:ascii="Times New Roman" w:hAnsi="Times New Roman" w:cs="Times New Roman"/>
          <w:b w:val="0"/>
          <w:i w:val="0"/>
          <w:sz w:val="22"/>
        </w:rPr>
        <w:t>. Cadence and Synopsys both have custom emulation silicon; nobody else does at &gt;1B-gate scale.</w:t>
      </w:r>
    </w:p>
    <w:p>
      <w:pPr>
        <w:pStyle w:val="ListBullet"/>
        <w:ind w:left="432"/>
      </w:pPr>
      <w:r>
        <w:rPr>
          <w:rFonts w:ascii="Times New Roman" w:hAnsi="Times New Roman" w:cs="Times New Roman"/>
          <w:b/>
          <w:i w:val="0"/>
          <w:sz w:val="22"/>
        </w:rPr>
        <w:t>Closest competitor product:</w:t>
      </w:r>
      <w:r>
        <w:rPr>
          <w:rFonts w:ascii="Times New Roman" w:hAnsi="Times New Roman" w:cs="Times New Roman"/>
          <w:b w:val="0"/>
          <w:i w:val="0"/>
          <w:sz w:val="22"/>
        </w:rPr>
        <w:t xml:space="preserve"> Synopsys ZeBu EP2 / HAPS. Verdict: </w:t>
      </w:r>
      <w:r>
        <w:rPr>
          <w:rFonts w:ascii="Times New Roman" w:hAnsi="Times New Roman" w:cs="Times New Roman"/>
          <w:b/>
          <w:i w:val="0"/>
          <w:sz w:val="22"/>
        </w:rPr>
        <w:t>at parity to slightly ahead in capacity; Synopsys leads in raw speed on some workloads</w:t>
      </w:r>
      <w:r>
        <w:rPr>
          <w:rFonts w:ascii="Times New Roman" w:hAnsi="Times New Roman" w:cs="Times New Roman"/>
          <w:b w:val="0"/>
          <w:i w:val="0"/>
          <w:sz w:val="22"/>
        </w:rPr>
        <w:t>.</w:t>
      </w:r>
    </w:p>
    <w:p>
      <w:pPr>
        <w:spacing w:after="120" w:lineRule="auto" w:line="276"/>
      </w:pPr>
      <w:r>
        <w:rPr>
          <w:rFonts w:ascii="Times New Roman" w:hAnsi="Times New Roman" w:cs="Times New Roman"/>
          <w:b/>
          <w:i w:val="0"/>
          <w:sz w:val="22"/>
        </w:rPr>
        <w:t>Cerebrus Intelligent Chip Explorer</w:t>
      </w:r>
      <w:r>
        <w:rPr>
          <w:rFonts w:ascii="Times New Roman" w:hAnsi="Times New Roman" w:cs="Times New Roman"/>
          <w:b w:val="0"/>
          <w:i w:val="0"/>
          <w:sz w:val="22"/>
        </w:rPr>
        <w:t xml:space="preserve"> — ML-driven RTL-to-GDS exploration, runs hundreds of parallel flow recipes on the cloud and selects the best PPA. Ships with Genus / Innovus / Tempus / Voltus / Joules / Pegasus integration (Genus Synthesis Solution product page; Electronic Specifier on Cerebrus).</w:t>
      </w:r>
    </w:p>
    <w:p>
      <w:pPr>
        <w:pStyle w:val="ListBullet"/>
        <w:ind w:left="432"/>
      </w:pPr>
      <w:r>
        <w:rPr>
          <w:rFonts w:ascii="Times New Roman" w:hAnsi="Times New Roman" w:cs="Times New Roman"/>
          <w:b/>
          <w:i w:val="0"/>
          <w:sz w:val="22"/>
        </w:rPr>
        <w:t>Competitive-advantage verdict: PARTIAL.</w:t>
      </w:r>
      <w:r>
        <w:rPr>
          <w:rFonts w:ascii="Times New Roman" w:hAnsi="Times New Roman" w:cs="Times New Roman"/>
          <w:b w:val="0"/>
          <w:i w:val="0"/>
          <w:sz w:val="22"/>
        </w:rPr>
        <w:t xml:space="preserve"> Moat type: </w:t>
      </w:r>
      <w:r>
        <w:rPr>
          <w:rFonts w:ascii="Times New Roman" w:hAnsi="Times New Roman" w:cs="Times New Roman"/>
          <w:b/>
          <w:i w:val="0"/>
          <w:sz w:val="22"/>
        </w:rPr>
        <w:t>data + technology</w:t>
      </w:r>
      <w:r>
        <w:rPr>
          <w:rFonts w:ascii="Times New Roman" w:hAnsi="Times New Roman" w:cs="Times New Roman"/>
          <w:b w:val="0"/>
          <w:i w:val="0"/>
          <w:sz w:val="22"/>
        </w:rPr>
        <w:t xml:space="preserve"> — Cerebrus improves with every flow it runs at every customer.</w:t>
      </w:r>
    </w:p>
    <w:p>
      <w:pPr>
        <w:pStyle w:val="ListBullet"/>
        <w:ind w:left="432"/>
      </w:pPr>
      <w:r>
        <w:rPr>
          <w:rFonts w:ascii="Times New Roman" w:hAnsi="Times New Roman" w:cs="Times New Roman"/>
          <w:b/>
          <w:i w:val="0"/>
          <w:sz w:val="22"/>
        </w:rPr>
        <w:t>Closest competitor:</w:t>
      </w:r>
      <w:r>
        <w:rPr>
          <w:rFonts w:ascii="Times New Roman" w:hAnsi="Times New Roman" w:cs="Times New Roman"/>
          <w:b w:val="0"/>
          <w:i w:val="0"/>
          <w:sz w:val="22"/>
        </w:rPr>
        <w:t xml:space="preserve"> Synopsys DSO.ai. Verdict: </w:t>
      </w:r>
      <w:r>
        <w:rPr>
          <w:rFonts w:ascii="Times New Roman" w:hAnsi="Times New Roman" w:cs="Times New Roman"/>
          <w:b/>
          <w:i w:val="0"/>
          <w:sz w:val="22"/>
        </w:rPr>
        <w:t>roughly at parity; both vendors claim first-mover bragging rights</w:t>
      </w:r>
      <w:r>
        <w:rPr>
          <w:rFonts w:ascii="Times New Roman" w:hAnsi="Times New Roman" w:cs="Times New Roman"/>
          <w:b w:val="0"/>
          <w:i w:val="0"/>
          <w:sz w:val="22"/>
        </w:rPr>
        <w:t>.</w:t>
      </w:r>
    </w:p>
    <w:p>
      <w:pPr>
        <w:spacing w:after="120" w:lineRule="auto" w:line="276"/>
      </w:pPr>
      <w:r>
        <w:rPr>
          <w:rFonts w:ascii="Times New Roman" w:hAnsi="Times New Roman" w:cs="Times New Roman"/>
          <w:b/>
          <w:i w:val="0"/>
          <w:sz w:val="22"/>
        </w:rPr>
        <w:t>ChipStack / ViraStack / InnoStack / AgentStack — Agentic AI Super Agents (launched Feb–Apr 2026).</w:t>
      </w:r>
      <w:r>
        <w:rPr>
          <w:rFonts w:ascii="Times New Roman" w:hAnsi="Times New Roman" w:cs="Times New Roman"/>
          <w:b w:val="0"/>
          <w:i w:val="0"/>
          <w:sz w:val="22"/>
        </w:rPr>
        <w:t xml:space="preserve"> ChipStack orchestrates multiple LLM agents that read design intent, generate RTL and testbenches, run regression simulations, debug, and iterate — Cadence has disclosed early production deployment at </w:t>
      </w:r>
      <w:r>
        <w:rPr>
          <w:rFonts w:ascii="Times New Roman" w:hAnsi="Times New Roman" w:cs="Times New Roman"/>
          <w:b/>
          <w:i w:val="0"/>
          <w:sz w:val="22"/>
        </w:rPr>
        <w:t>Altera, NVIDIA, Qualcomm, and Tenstorrent</w:t>
      </w:r>
      <w:r>
        <w:rPr>
          <w:rFonts w:ascii="Times New Roman" w:hAnsi="Times New Roman" w:cs="Times New Roman"/>
          <w:b w:val="0"/>
          <w:i w:val="0"/>
          <w:sz w:val="22"/>
        </w:rPr>
        <w:t xml:space="preserve"> with ~10× verification effort reduction at Altera (Cadence ChipStack press release, 2026-02-10; EE Times). AgentStack (Q1 2026) is the orchestration framework that ties the super agents together with the foundational EDA tools.</w:t>
      </w:r>
    </w:p>
    <w:p>
      <w:pPr>
        <w:pStyle w:val="ListBullet"/>
        <w:ind w:left="432"/>
      </w:pPr>
      <w:r>
        <w:rPr>
          <w:rFonts w:ascii="Times New Roman" w:hAnsi="Times New Roman" w:cs="Times New Roman"/>
          <w:b/>
          <w:i w:val="0"/>
          <w:sz w:val="22"/>
        </w:rPr>
        <w:t>Competitive-advantage verdict: TOO EARLY but PROMISING.</w:t>
      </w:r>
      <w:r>
        <w:rPr>
          <w:rFonts w:ascii="Times New Roman" w:hAnsi="Times New Roman" w:cs="Times New Roman"/>
          <w:b w:val="0"/>
          <w:i w:val="0"/>
          <w:sz w:val="22"/>
        </w:rPr>
        <w:t xml:space="preserve"> Moat type: </w:t>
      </w:r>
      <w:r>
        <w:rPr>
          <w:rFonts w:ascii="Times New Roman" w:hAnsi="Times New Roman" w:cs="Times New Roman"/>
          <w:b/>
          <w:i w:val="0"/>
          <w:sz w:val="22"/>
        </w:rPr>
        <w:t>data + ecosystem lock-in</w:t>
      </w:r>
      <w:r>
        <w:rPr>
          <w:rFonts w:ascii="Times New Roman" w:hAnsi="Times New Roman" w:cs="Times New Roman"/>
          <w:b w:val="0"/>
          <w:i w:val="0"/>
          <w:sz w:val="22"/>
        </w:rPr>
        <w:t xml:space="preserve"> — the agents work best when they call native Cadence tools and ingest a customer's full design history.</w:t>
      </w:r>
    </w:p>
    <w:p>
      <w:pPr>
        <w:pStyle w:val="ListBullet"/>
        <w:ind w:left="432"/>
      </w:pPr>
      <w:r>
        <w:rPr>
          <w:rFonts w:ascii="Times New Roman" w:hAnsi="Times New Roman" w:cs="Times New Roman"/>
          <w:b/>
          <w:i w:val="0"/>
          <w:sz w:val="22"/>
        </w:rPr>
        <w:t>Closest competitor:</w:t>
      </w:r>
      <w:r>
        <w:rPr>
          <w:rFonts w:ascii="Times New Roman" w:hAnsi="Times New Roman" w:cs="Times New Roman"/>
          <w:b w:val="0"/>
          <w:i w:val="0"/>
          <w:sz w:val="22"/>
        </w:rPr>
        <w:t xml:space="preserve"> Synopsys.ai Copilot / DSO.ai extensions. Verdict: </w:t>
      </w:r>
      <w:r>
        <w:rPr>
          <w:rFonts w:ascii="Times New Roman" w:hAnsi="Times New Roman" w:cs="Times New Roman"/>
          <w:b/>
          <w:i w:val="0"/>
          <w:sz w:val="22"/>
        </w:rPr>
        <w:t>early lead for Cadence</w:t>
      </w:r>
      <w:r>
        <w:rPr>
          <w:rFonts w:ascii="Times New Roman" w:hAnsi="Times New Roman" w:cs="Times New Roman"/>
          <w:b w:val="0"/>
          <w:i w:val="0"/>
          <w:sz w:val="22"/>
        </w:rPr>
        <w:t>; competitive picture will reset every 6 months.</w:t>
      </w:r>
    </w:p>
    <w:p>
      <w:pPr>
        <w:spacing w:before="160" w:after="60"/>
      </w:pPr>
      <w:r>
        <w:rPr>
          <w:rFonts w:ascii="Times New Roman" w:hAnsi="Times New Roman" w:cs="Times New Roman"/>
          <w:b/>
          <w:i w:val="0"/>
          <w:color w:val="C00000"/>
          <w:sz w:val="22"/>
        </w:rPr>
        <w:t>System Design &amp; Analysis (SD&amp;A)</w:t>
      </w:r>
    </w:p>
    <w:p>
      <w:pPr>
        <w:spacing w:after="120" w:lineRule="auto" w:line="276"/>
      </w:pPr>
      <w:r>
        <w:rPr>
          <w:rFonts w:ascii="Times New Roman" w:hAnsi="Times New Roman" w:cs="Times New Roman"/>
          <w:b/>
          <w:i w:val="0"/>
          <w:sz w:val="22"/>
        </w:rPr>
        <w:t>Allegro X / OrCAD X / Sigrity X — PCB design and signal/power integrity.</w:t>
      </w:r>
      <w:r>
        <w:rPr>
          <w:rFonts w:ascii="Times New Roman" w:hAnsi="Times New Roman" w:cs="Times New Roman"/>
          <w:b w:val="0"/>
          <w:i w:val="0"/>
          <w:sz w:val="22"/>
        </w:rPr>
        <w:t xml:space="preserve"> Allegro is the high-end PCB tool used by Apple, Cisco, NVIDIA reference boards, automotive Tier 1s; OrCAD is the mid-market sister-product sold through ~200 worldwide resellers (Cadence 2025 10-K, p. 4; Allegro product page). Allegro X AI is the generative-AI sister product for PCB cycle-time compression.</w:t>
      </w:r>
    </w:p>
    <w:p>
      <w:pPr>
        <w:pStyle w:val="ListBullet"/>
        <w:ind w:left="432"/>
      </w:pPr>
      <w:r>
        <w:rPr>
          <w:rFonts w:ascii="Times New Roman" w:hAnsi="Times New Roman" w:cs="Times New Roman"/>
          <w:b/>
          <w:i w:val="0"/>
          <w:sz w:val="22"/>
        </w:rPr>
        <w:t>Verdict: PARTIAL.</w:t>
      </w:r>
      <w:r>
        <w:rPr>
          <w:rFonts w:ascii="Times New Roman" w:hAnsi="Times New Roman" w:cs="Times New Roman"/>
          <w:b w:val="0"/>
          <w:i w:val="0"/>
          <w:sz w:val="22"/>
        </w:rPr>
        <w:t xml:space="preserve"> Moat: scale + ecosystem.</w:t>
      </w:r>
    </w:p>
    <w:p>
      <w:pPr>
        <w:pStyle w:val="ListBullet"/>
        <w:ind w:left="432"/>
      </w:pPr>
      <w:r>
        <w:rPr>
          <w:rFonts w:ascii="Times New Roman" w:hAnsi="Times New Roman" w:cs="Times New Roman"/>
          <w:b/>
          <w:i w:val="0"/>
          <w:sz w:val="22"/>
        </w:rPr>
        <w:t>Closest competitor:</w:t>
      </w:r>
      <w:r>
        <w:rPr>
          <w:rFonts w:ascii="Times New Roman" w:hAnsi="Times New Roman" w:cs="Times New Roman"/>
          <w:b w:val="0"/>
          <w:i w:val="0"/>
          <w:sz w:val="22"/>
        </w:rPr>
        <w:t xml:space="preserve"> Siemens EDA Xpedition / PADS, Altium Designer (lower-end). Verdict: </w:t>
      </w:r>
      <w:r>
        <w:rPr>
          <w:rFonts w:ascii="Times New Roman" w:hAnsi="Times New Roman" w:cs="Times New Roman"/>
          <w:b/>
          <w:i w:val="0"/>
          <w:sz w:val="22"/>
        </w:rPr>
        <w:t>Cadence and Siemens have the high end; Altium dominates the mid-market in unit count but not revenue</w:t>
      </w:r>
      <w:r>
        <w:rPr>
          <w:rFonts w:ascii="Times New Roman" w:hAnsi="Times New Roman" w:cs="Times New Roman"/>
          <w:b w:val="0"/>
          <w:i w:val="0"/>
          <w:sz w:val="22"/>
        </w:rPr>
        <w:t>.</w:t>
      </w:r>
    </w:p>
    <w:p>
      <w:pPr>
        <w:spacing w:after="120" w:lineRule="auto" w:line="276"/>
      </w:pPr>
      <w:r>
        <w:rPr>
          <w:rFonts w:ascii="Times New Roman" w:hAnsi="Times New Roman" w:cs="Times New Roman"/>
          <w:b/>
          <w:i w:val="0"/>
          <w:sz w:val="22"/>
        </w:rPr>
        <w:t>Multiphysics — Celsius (thermal), Clarity 3D Solver (EM), AWR (RF), Fidelity CFD (computational fluid dynamics), Optimality.</w:t>
      </w:r>
      <w:r>
        <w:rPr>
          <w:rFonts w:ascii="Times New Roman" w:hAnsi="Times New Roman" w:cs="Times New Roman"/>
          <w:b w:val="0"/>
          <w:i w:val="0"/>
          <w:sz w:val="22"/>
        </w:rPr>
        <w:t xml:space="preserve"> Built largely on the Pointwise + Numeca acquisitions (CFD), plus organic development. Plus the </w:t>
      </w:r>
      <w:r>
        <w:rPr>
          <w:rFonts w:ascii="Times New Roman" w:hAnsi="Times New Roman" w:cs="Times New Roman"/>
          <w:b/>
          <w:i w:val="0"/>
          <w:sz w:val="22"/>
        </w:rPr>
        <w:t>Integrity 3D-IC Platform</w:t>
      </w:r>
      <w:r>
        <w:rPr>
          <w:rFonts w:ascii="Times New Roman" w:hAnsi="Times New Roman" w:cs="Times New Roman"/>
          <w:b w:val="0"/>
          <w:i w:val="0"/>
          <w:sz w:val="22"/>
        </w:rPr>
        <w:t xml:space="preserve"> for advanced packaging / chiplet stacks — described in the 10-K as "the industry's first integrated system and SoC-level solution that enables system ana</w:t>
      </w:r>
    </w:p>
    <w:p>
      <w:pPr>
        <w:spacing w:before="120" w:after="40"/>
        <w:jc w:val="center"/>
      </w:pPr>
      <w:r>
        <w:drawing>
          <wp:inline xmlns:a="http://schemas.openxmlformats.org/drawingml/2006/main" xmlns:pic="http://schemas.openxmlformats.org/drawingml/2006/picture">
            <wp:extent cx="5943600" cy="3052567"/>
            <wp:docPr id="7" name="Picture 7"/>
            <wp:cNvGraphicFramePr>
              <a:graphicFrameLocks noChangeAspect="1"/>
            </wp:cNvGraphicFramePr>
            <a:graphic>
              <a:graphicData uri="http://schemas.openxmlformats.org/drawingml/2006/picture">
                <pic:pic>
                  <pic:nvPicPr>
                    <pic:cNvPr id="0" name="chart_03_revenue_by_product.png"/>
                    <pic:cNvPicPr/>
                  </pic:nvPicPr>
                  <pic:blipFill>
                    <a:blip r:embed="rId15"/>
                    <a:stretch>
                      <a:fillRect/>
                    </a:stretch>
                  </pic:blipFill>
                  <pic:spPr>
                    <a:xfrm>
                      <a:off x="0" y="0"/>
                      <a:ext cx="5943600" cy="3052567"/>
                    </a:xfrm>
                    <a:prstGeom prst="rect"/>
                  </pic:spPr>
                </pic:pic>
              </a:graphicData>
            </a:graphic>
          </wp:inline>
        </w:drawing>
      </w:r>
    </w:p>
    <w:p>
      <w:pPr>
        <w:spacing w:after="160"/>
        <w:jc w:val="center"/>
      </w:pPr>
      <w:r>
        <w:rPr>
          <w:rFonts w:ascii="Times New Roman" w:hAnsi="Times New Roman" w:cs="Times New Roman"/>
          <w:b w:val="0"/>
          <w:i/>
          <w:color w:val="595959"/>
          <w:sz w:val="18"/>
        </w:rPr>
        <w:t>Revenue by product segment ($B)</w:t>
      </w:r>
    </w:p>
    <w:p>
      <w:pPr>
        <w:spacing w:before="120" w:after="40"/>
        <w:jc w:val="center"/>
      </w:pPr>
      <w:r>
        <w:drawing>
          <wp:inline xmlns:a="http://schemas.openxmlformats.org/drawingml/2006/main" xmlns:pic="http://schemas.openxmlformats.org/drawingml/2006/picture">
            <wp:extent cx="5943600" cy="2600096"/>
            <wp:docPr id="8" name="Picture 8"/>
            <wp:cNvGraphicFramePr>
              <a:graphicFrameLocks noChangeAspect="1"/>
            </wp:cNvGraphicFramePr>
            <a:graphic>
              <a:graphicData uri="http://schemas.openxmlformats.org/drawingml/2006/picture">
                <pic:pic>
                  <pic:nvPicPr>
                    <pic:cNvPr id="0" name="chart_08_product_portfolio.png"/>
                    <pic:cNvPicPr/>
                  </pic:nvPicPr>
                  <pic:blipFill>
                    <a:blip r:embed="rId16"/>
                    <a:stretch>
                      <a:fillRect/>
                    </a:stretch>
                  </pic:blipFill>
                  <pic:spPr>
                    <a:xfrm>
                      <a:off x="0" y="0"/>
                      <a:ext cx="5943600" cy="2600096"/>
                    </a:xfrm>
                    <a:prstGeom prst="rect"/>
                  </pic:spPr>
                </pic:pic>
              </a:graphicData>
            </a:graphic>
          </wp:inline>
        </w:drawing>
      </w:r>
    </w:p>
    <w:p>
      <w:pPr>
        <w:spacing w:after="160"/>
        <w:jc w:val="center"/>
      </w:pPr>
      <w:r>
        <w:rPr>
          <w:rFonts w:ascii="Times New Roman" w:hAnsi="Times New Roman" w:cs="Times New Roman"/>
          <w:b w:val="0"/>
          <w:i/>
          <w:color w:val="595959"/>
          <w:sz w:val="18"/>
        </w:rPr>
        <w:t>Product portfolio FY2025</w:t>
      </w:r>
    </w:p>
    <w:p>
      <w:pPr>
        <w:spacing w:before="120" w:after="40"/>
        <w:jc w:val="center"/>
      </w:pPr>
      <w:r>
        <w:drawing>
          <wp:inline xmlns:a="http://schemas.openxmlformats.org/drawingml/2006/main" xmlns:pic="http://schemas.openxmlformats.org/drawingml/2006/picture">
            <wp:extent cx="5943600" cy="3752517"/>
            <wp:docPr id="9" name="Picture 9"/>
            <wp:cNvGraphicFramePr>
              <a:graphicFrameLocks noChangeAspect="1"/>
            </wp:cNvGraphicFramePr>
            <a:graphic>
              <a:graphicData uri="http://schemas.openxmlformats.org/drawingml/2006/picture">
                <pic:pic>
                  <pic:nvPicPr>
                    <pic:cNvPr id="0" name="chart_26_revenue_mix_evolution.png"/>
                    <pic:cNvPicPr/>
                  </pic:nvPicPr>
                  <pic:blipFill>
                    <a:blip r:embed="rId17"/>
                    <a:stretch>
                      <a:fillRect/>
                    </a:stretch>
                  </pic:blipFill>
                  <pic:spPr>
                    <a:xfrm>
                      <a:off x="0" y="0"/>
                      <a:ext cx="5943600" cy="3752517"/>
                    </a:xfrm>
                    <a:prstGeom prst="rect"/>
                  </pic:spPr>
                </pic:pic>
              </a:graphicData>
            </a:graphic>
          </wp:inline>
        </w:drawing>
      </w:r>
    </w:p>
    <w:p>
      <w:pPr>
        <w:spacing w:after="160"/>
        <w:jc w:val="center"/>
      </w:pPr>
      <w:r>
        <w:rPr>
          <w:rFonts w:ascii="Times New Roman" w:hAnsi="Times New Roman" w:cs="Times New Roman"/>
          <w:b w:val="0"/>
          <w:i/>
          <w:color w:val="595959"/>
          <w:sz w:val="18"/>
        </w:rPr>
        <w:t>Revenue mix evolution FY25 vs FY30E</w:t>
      </w:r>
    </w:p>
    <w:p>
      <w:pPr>
        <w:spacing w:before="360" w:after="120"/>
        <w:pBdr>
          <w:bottom w:val="single" w:sz="8" w:space="1" w:color="1F4E78"/>
        </w:pBdr>
      </w:pPr>
      <w:r>
        <w:rPr>
          <w:rFonts w:ascii="Times New Roman" w:hAnsi="Times New Roman" w:cs="Times New Roman"/>
          <w:b/>
          <w:i w:val="0"/>
          <w:color w:val="1F4E78"/>
          <w:sz w:val="32"/>
        </w:rPr>
        <w:t>CUSTOMERS &amp; GO-TO-MARKET</w:t>
      </w:r>
    </w:p>
    <w:p>
      <w:pPr>
        <w:spacing w:after="120" w:lineRule="auto" w:line="276"/>
      </w:pPr>
      <w:r>
        <w:rPr>
          <w:rFonts w:ascii="Times New Roman" w:hAnsi="Times New Roman" w:cs="Times New Roman"/>
          <w:b w:val="0"/>
          <w:i w:val="0"/>
          <w:sz w:val="22"/>
        </w:rPr>
        <w:t>Cadence's customer base is the entire global semiconductor design industry plus an expanding systems-company adjacency. The 10-K describes it as "semiconductor companies that design and manufacture integrated circuits ("ICs"), as well as systems companies that design and manufacture electromechanical systems containing various types of semiconductor and other electronics" (Cadence 2025 10-K, p. 1).</w:t>
      </w:r>
    </w:p>
    <w:p>
      <w:pPr>
        <w:spacing w:before="160" w:after="60"/>
      </w:pPr>
      <w:r>
        <w:rPr>
          <w:rFonts w:ascii="Times New Roman" w:hAnsi="Times New Roman" w:cs="Times New Roman"/>
          <w:b/>
          <w:i w:val="0"/>
          <w:color w:val="C00000"/>
          <w:sz w:val="22"/>
        </w:rPr>
        <w:t>Customer concentration (quantified)</w:t>
      </w:r>
    </w:p>
    <w:p>
      <w:pPr>
        <w:pStyle w:val="ListBullet"/>
        <w:ind w:left="432"/>
      </w:pPr>
      <w:r>
        <w:rPr>
          <w:rFonts w:ascii="Times New Roman" w:hAnsi="Times New Roman" w:cs="Times New Roman"/>
          <w:b/>
          <w:i w:val="0"/>
          <w:sz w:val="22"/>
        </w:rPr>
        <w:t>FY2025 — no single customer represented 10% or more of total revenue</w:t>
      </w:r>
      <w:r>
        <w:rPr>
          <w:rFonts w:ascii="Times New Roman" w:hAnsi="Times New Roman" w:cs="Times New Roman"/>
          <w:b w:val="0"/>
          <w:i w:val="0"/>
          <w:sz w:val="22"/>
        </w:rPr>
        <w:t>: "No one customer accounted for 10% or more of total revenue during fiscal 2025 or 2024" (Cadence 2025 10-K, MD&amp;A).</w:t>
      </w:r>
    </w:p>
    <w:p>
      <w:pPr>
        <w:pStyle w:val="ListBullet"/>
        <w:ind w:left="432"/>
      </w:pPr>
      <w:r>
        <w:rPr>
          <w:rFonts w:ascii="Times New Roman" w:hAnsi="Times New Roman" w:cs="Times New Roman"/>
          <w:b/>
          <w:i w:val="0"/>
          <w:sz w:val="22"/>
        </w:rPr>
        <w:t>FY2024 — receivables</w:t>
      </w:r>
      <w:r>
        <w:rPr>
          <w:rFonts w:ascii="Times New Roman" w:hAnsi="Times New Roman" w:cs="Times New Roman"/>
          <w:b w:val="0"/>
          <w:i w:val="0"/>
          <w:sz w:val="22"/>
        </w:rPr>
        <w:t xml:space="preserve"> disclosed a single customer at 11% of receivables; FY2025 again no single customer at 10%+ of receivables (Cadence 2025 10-K, Note 1).</w:t>
      </w:r>
    </w:p>
    <w:p>
      <w:pPr>
        <w:pStyle w:val="ListBullet"/>
        <w:ind w:left="432"/>
      </w:pPr>
      <w:r>
        <w:rPr>
          <w:rFonts w:ascii="Times New Roman" w:hAnsi="Times New Roman" w:cs="Times New Roman"/>
          <w:b/>
          <w:i w:val="0"/>
          <w:sz w:val="22"/>
        </w:rPr>
        <w:t>Top-5 customer share — not separately disclosed.</w:t>
      </w:r>
      <w:r>
        <w:rPr>
          <w:rFonts w:ascii="Times New Roman" w:hAnsi="Times New Roman" w:cs="Times New Roman"/>
          <w:b w:val="0"/>
          <w:i w:val="0"/>
          <w:sz w:val="22"/>
        </w:rPr>
        <w:t xml:space="preserve"> US 10-K rules (ASC 280-10-50-42) require disclosure only when a customer crosses the 10% threshold; no such disclosure is required from Cadence and none is given. Industry observers commonly estimate top-10 customers at ~35–40% of EDA revenue for both Cadence and Synopsys (large foundries + leading-edge fabless majors + the top 4 hyperscalers' internal silicon teams), but Cadence does not publish this.</w:t>
      </w:r>
    </w:p>
    <w:p>
      <w:pPr>
        <w:pStyle w:val="ListBullet"/>
        <w:ind w:left="432"/>
      </w:pPr>
      <w:r>
        <w:rPr>
          <w:rFonts w:ascii="Times New Roman" w:hAnsi="Times New Roman" w:cs="Times New Roman"/>
          <w:b/>
          <w:i w:val="0"/>
          <w:sz w:val="22"/>
        </w:rPr>
        <w:t>Three-year trend:</w:t>
      </w:r>
      <w:r>
        <w:rPr>
          <w:rFonts w:ascii="Times New Roman" w:hAnsi="Times New Roman" w:cs="Times New Roman"/>
          <w:b w:val="0"/>
          <w:i w:val="0"/>
          <w:sz w:val="22"/>
        </w:rPr>
        <w:t xml:space="preserve"> receivable concentration eased from 11% (FY24, single customer) to &lt;10% (FY25); revenue concentration has consistently stayed below the 10% disclosure threshold over the disclosed three-year window.</w:t>
      </w:r>
    </w:p>
    <w:p>
      <w:pPr>
        <w:spacing w:after="120" w:lineRule="auto" w:line="276"/>
      </w:pPr>
      <w:r>
        <w:rPr>
          <w:rFonts w:ascii="Times New Roman" w:hAnsi="Times New Roman" w:cs="Times New Roman"/>
          <w:b/>
          <w:i w:val="0"/>
          <w:sz w:val="22"/>
        </w:rPr>
        <w:t>Verdict:</w:t>
      </w:r>
      <w:r>
        <w:rPr>
          <w:rFonts w:ascii="Times New Roman" w:hAnsi="Times New Roman" w:cs="Times New Roman"/>
          <w:b w:val="0"/>
          <w:i w:val="0"/>
          <w:sz w:val="22"/>
        </w:rPr>
        <w:t xml:space="preserve"> </w:t>
      </w:r>
      <w:r>
        <w:rPr>
          <w:rFonts w:ascii="Times New Roman" w:hAnsi="Times New Roman" w:cs="Times New Roman"/>
          <w:b/>
          <w:i w:val="0"/>
          <w:sz w:val="22"/>
        </w:rPr>
        <w:t>customer concentration is low</w:t>
      </w:r>
      <w:r>
        <w:rPr>
          <w:rFonts w:ascii="Times New Roman" w:hAnsi="Times New Roman" w:cs="Times New Roman"/>
          <w:b w:val="0"/>
          <w:i w:val="0"/>
          <w:sz w:val="22"/>
        </w:rPr>
        <w:t xml:space="preserve"> by both 10-K disclosure and industry standards. No top-1 over 10% (let alone the 20% material-risk threshold in the report's risk taxonomy). Customer-concentration risk is still tracked in Section 9 — because </w:t>
      </w:r>
      <w:r>
        <w:rPr>
          <w:rFonts w:ascii="Times New Roman" w:hAnsi="Times New Roman" w:cs="Times New Roman"/>
          <w:b/>
          <w:i w:val="0"/>
          <w:sz w:val="22"/>
        </w:rPr>
        <w:t>customer consolidation</w:t>
      </w:r>
      <w:r>
        <w:rPr>
          <w:rFonts w:ascii="Times New Roman" w:hAnsi="Times New Roman" w:cs="Times New Roman"/>
          <w:b w:val="0"/>
          <w:i w:val="0"/>
          <w:sz w:val="22"/>
        </w:rPr>
        <w:t xml:space="preserve"> within the semiconductor industry is itself a stated risk in the 10-K — but it is not currently a material exposure (Cadence 2025 10-K, Risk Factors).</w:t>
      </w:r>
    </w:p>
    <w:p>
      <w:pPr>
        <w:spacing w:after="120" w:lineRule="auto" w:line="276"/>
      </w:pPr>
      <w:r>
        <w:rPr>
          <w:rFonts w:ascii="Times New Roman" w:hAnsi="Times New Roman" w:cs="Times New Roman"/>
          <w:b w:val="0"/>
          <w:i w:val="0"/>
          <w:sz w:val="22"/>
        </w:rPr>
        <w:t>*Source: Cadence 2025 10-K, Note 17 — Revenue by Geography.*</w:t>
      </w:r>
    </w:p>
    <w:p>
      <w:pPr>
        <w:spacing w:before="160" w:after="60"/>
      </w:pPr>
      <w:r>
        <w:rPr>
          <w:rFonts w:ascii="Times New Roman" w:hAnsi="Times New Roman" w:cs="Times New Roman"/>
          <w:b/>
          <w:i w:val="0"/>
          <w:color w:val="C00000"/>
          <w:sz w:val="22"/>
        </w:rPr>
        <w:t>Customer segments</w:t>
      </w:r>
    </w:p>
    <w:p>
      <w:pPr>
        <w:pStyle w:val="ListNumber"/>
      </w:pPr>
      <w:r>
        <w:rPr>
          <w:rFonts w:ascii="Times New Roman" w:hAnsi="Times New Roman" w:cs="Times New Roman"/>
          <w:b/>
          <w:i w:val="0"/>
          <w:sz w:val="22"/>
        </w:rPr>
        <w:t>Semiconductor IDMs and fabless leaders</w:t>
      </w:r>
      <w:r>
        <w:rPr>
          <w:rFonts w:ascii="Times New Roman" w:hAnsi="Times New Roman" w:cs="Times New Roman"/>
          <w:b w:val="0"/>
          <w:i w:val="0"/>
          <w:sz w:val="22"/>
        </w:rPr>
        <w:t xml:space="preserve"> — Intel, AMD, NVIDIA, Qualcomm, Broadcom, Marvell, Apple silicon, MediaTek, Samsung LSI, SK hynix, Micron, Texas Instruments, ST Micro, Infineon, NXP, Renesas, Analog Devices, Microchip — these are the buyers of the highest-ASP EDA software, emulation hardware, and IP. The Q1 2026 release explicitly named "AI infrastructure and semiconductor customers" as driving the Core EDA acceleration (Q1-2026 press release).</w:t>
      </w:r>
    </w:p>
    <w:p>
      <w:pPr>
        <w:pStyle w:val="ListNumber"/>
      </w:pPr>
      <w:r>
        <w:rPr>
          <w:rFonts w:ascii="Times New Roman" w:hAnsi="Times New Roman" w:cs="Times New Roman"/>
          <w:b/>
          <w:i w:val="0"/>
          <w:sz w:val="22"/>
        </w:rPr>
        <w:t>Foundries</w:t>
      </w:r>
      <w:r>
        <w:rPr>
          <w:rFonts w:ascii="Times New Roman" w:hAnsi="Times New Roman" w:cs="Times New Roman"/>
          <w:b w:val="0"/>
          <w:i w:val="0"/>
          <w:sz w:val="22"/>
        </w:rPr>
        <w:t xml:space="preserve"> — TSMC, Samsung Foundry, Intel Foundry, GlobalFoundries, UMC, SMIC. Foundries are both customers (they license certain Cadence tools internally) and ecosystem partners — Cadence works with each to certify PDKs at every node. The April 2025 expansion of the </w:t>
      </w:r>
      <w:r>
        <w:rPr>
          <w:rFonts w:ascii="Times New Roman" w:hAnsi="Times New Roman" w:cs="Times New Roman"/>
          <w:b/>
          <w:i w:val="0"/>
          <w:sz w:val="22"/>
        </w:rPr>
        <w:t>TSMC partnership</w:t>
      </w:r>
      <w:r>
        <w:rPr>
          <w:rFonts w:ascii="Times New Roman" w:hAnsi="Times New Roman" w:cs="Times New Roman"/>
          <w:b w:val="0"/>
          <w:i w:val="0"/>
          <w:sz w:val="22"/>
        </w:rPr>
        <w:t xml:space="preserve"> covered N2P, N3, and N5 reference flows and is the canonical example (TSMC press release via The Globe and Mail, 2025-04).</w:t>
      </w:r>
    </w:p>
    <w:p>
      <w:pPr>
        <w:pStyle w:val="ListNumber"/>
      </w:pPr>
      <w:r>
        <w:rPr>
          <w:rFonts w:ascii="Times New Roman" w:hAnsi="Times New Roman" w:cs="Times New Roman"/>
          <w:b/>
          <w:i w:val="0"/>
          <w:sz w:val="22"/>
        </w:rPr>
        <w:t>Hyperscalers / systems companies designing in-house silicon</w:t>
      </w:r>
      <w:r>
        <w:rPr>
          <w:rFonts w:ascii="Times New Roman" w:hAnsi="Times New Roman" w:cs="Times New Roman"/>
          <w:b w:val="0"/>
          <w:i w:val="0"/>
          <w:sz w:val="22"/>
        </w:rPr>
        <w:t xml:space="preserve"> — Google (TPU), Amazon (Trainium/Inferentia/Graviton), Meta (MTIA), Microsoft (Maia), Apple — collectively the fastest-growing buyer segment in EDA, since every new in-house ASIC requires a fresh tool subscription and an emulation purchase.</w:t>
      </w:r>
    </w:p>
    <w:p>
      <w:pPr>
        <w:pStyle w:val="ListNumber"/>
      </w:pPr>
      <w:r>
        <w:rPr>
          <w:rFonts w:ascii="Times New Roman" w:hAnsi="Times New Roman" w:cs="Times New Roman"/>
          <w:b/>
          <w:i w:val="0"/>
          <w:sz w:val="22"/>
        </w:rPr>
        <w:t>Automotive / SDV</w:t>
      </w:r>
      <w:r>
        <w:rPr>
          <w:rFonts w:ascii="Times New Roman" w:hAnsi="Times New Roman" w:cs="Times New Roman"/>
          <w:b w:val="0"/>
          <w:i w:val="0"/>
          <w:sz w:val="22"/>
        </w:rPr>
        <w:t xml:space="preserve"> — every Tier-1 (Bosch, Continental, ZF, Magna, Aptiv) plus EV-native OEMs (Tesla, BYD, Xiaomi Auto, Li Auto, Hyundai/Kia, NIO) use Allegro, Sigrity, and increasingly the MSC Adams/Nastran portfolio for system simulation.</w:t>
      </w:r>
    </w:p>
    <w:p>
      <w:pPr>
        <w:pStyle w:val="ListNumber"/>
      </w:pPr>
      <w:r>
        <w:rPr>
          <w:rFonts w:ascii="Times New Roman" w:hAnsi="Times New Roman" w:cs="Times New Roman"/>
          <w:b/>
          <w:i w:val="0"/>
          <w:sz w:val="22"/>
        </w:rPr>
        <w:t>Aerospace &amp; defense, industrial, life sciences</w:t>
      </w:r>
      <w:r>
        <w:rPr>
          <w:rFonts w:ascii="Times New Roman" w:hAnsi="Times New Roman" w:cs="Times New Roman"/>
          <w:b w:val="0"/>
          <w:i w:val="0"/>
          <w:sz w:val="22"/>
        </w:rPr>
        <w:t xml:space="preserve"> — newer verticals enabled by BETA CAE, Hexagon D&amp;E, OpenEye, and Optimality.</w:t>
      </w:r>
    </w:p>
    <w:p>
      <w:pPr>
        <w:spacing w:before="160" w:after="60"/>
      </w:pPr>
      <w:r>
        <w:rPr>
          <w:rFonts w:ascii="Times New Roman" w:hAnsi="Times New Roman" w:cs="Times New Roman"/>
          <w:b/>
          <w:i w:val="0"/>
          <w:color w:val="C00000"/>
          <w:sz w:val="22"/>
        </w:rPr>
        <w:t>Distribution channels</w:t>
      </w:r>
    </w:p>
    <w:p>
      <w:pPr>
        <w:pStyle w:val="ListBullet"/>
        <w:ind w:left="432"/>
      </w:pPr>
      <w:r>
        <w:rPr>
          <w:rFonts w:ascii="Times New Roman" w:hAnsi="Times New Roman" w:cs="Times New Roman"/>
          <w:b/>
          <w:i w:val="0"/>
          <w:sz w:val="22"/>
        </w:rPr>
        <w:t>Direct sales force</w:t>
      </w:r>
      <w:r>
        <w:rPr>
          <w:rFonts w:ascii="Times New Roman" w:hAnsi="Times New Roman" w:cs="Times New Roman"/>
          <w:b w:val="0"/>
          <w:i w:val="0"/>
          <w:sz w:val="22"/>
        </w:rPr>
        <w:t xml:space="preserve"> — almost all enterprise software, hardware, and IP licenses are sold direct via Cadence's worldwide sales and applications-engineering organization. Headcount in the Customer Success Team (formerly Worldwide Field Operations) sits in the low thousands and is run by SVP Paul Scannell (Cadence 2025 10-K, p. 9).</w:t>
      </w:r>
    </w:p>
    <w:p>
      <w:pPr>
        <w:pStyle w:val="ListBullet"/>
        <w:ind w:left="432"/>
      </w:pPr>
      <w:r>
        <w:rPr>
          <w:rFonts w:ascii="Times New Roman" w:hAnsi="Times New Roman" w:cs="Times New Roman"/>
          <w:b/>
          <w:i w:val="0"/>
          <w:sz w:val="22"/>
        </w:rPr>
        <w:t>Resellers</w:t>
      </w:r>
      <w:r>
        <w:rPr>
          <w:rFonts w:ascii="Times New Roman" w:hAnsi="Times New Roman" w:cs="Times New Roman"/>
          <w:b w:val="0"/>
          <w:i w:val="0"/>
          <w:sz w:val="22"/>
        </w:rPr>
        <w:t xml:space="preserve"> — OrCAD and certain Allegro mid-range tools are sold worldwide through a value-added reseller network (Cadence 2025 10-K, p. 5).</w:t>
      </w:r>
    </w:p>
    <w:p>
      <w:pPr>
        <w:pStyle w:val="ListBullet"/>
        <w:ind w:left="432"/>
      </w:pPr>
      <w:r>
        <w:rPr>
          <w:rFonts w:ascii="Times New Roman" w:hAnsi="Times New Roman" w:cs="Times New Roman"/>
          <w:b/>
          <w:i w:val="0"/>
          <w:sz w:val="22"/>
        </w:rPr>
        <w:t>Japan</w:t>
      </w:r>
      <w:r>
        <w:rPr>
          <w:rFonts w:ascii="Times New Roman" w:hAnsi="Times New Roman" w:cs="Times New Roman"/>
          <w:b w:val="0"/>
          <w:i w:val="0"/>
          <w:sz w:val="22"/>
        </w:rPr>
        <w:t xml:space="preserve"> — a third-party distributor licenses certain products in Japan.</w:t>
      </w:r>
    </w:p>
    <w:p>
      <w:pPr>
        <w:pStyle w:val="ListBullet"/>
        <w:ind w:left="432"/>
      </w:pPr>
      <w:r>
        <w:rPr>
          <w:rFonts w:ascii="Times New Roman" w:hAnsi="Times New Roman" w:cs="Times New Roman"/>
          <w:b/>
          <w:i w:val="0"/>
          <w:sz w:val="22"/>
        </w:rPr>
        <w:t>Cadence OnCloud</w:t>
      </w:r>
      <w:r>
        <w:rPr>
          <w:rFonts w:ascii="Times New Roman" w:hAnsi="Times New Roman" w:cs="Times New Roman"/>
          <w:b w:val="0"/>
          <w:i w:val="0"/>
          <w:sz w:val="22"/>
        </w:rPr>
        <w:t xml:space="preserve"> — cloud-managed access to the full tool stack, hosted on AWS/Azure/GCP plus Cadence's own infrastructure (Cadence OnCloud product page).</w:t>
      </w:r>
    </w:p>
    <w:p>
      <w:pPr>
        <w:spacing w:before="160" w:after="60"/>
      </w:pPr>
      <w:r>
        <w:rPr>
          <w:rFonts w:ascii="Times New Roman" w:hAnsi="Times New Roman" w:cs="Times New Roman"/>
          <w:b/>
          <w:i w:val="0"/>
          <w:color w:val="C00000"/>
          <w:sz w:val="22"/>
        </w:rPr>
        <w:t>Sales strategy and cycle</w:t>
      </w:r>
    </w:p>
    <w:p>
      <w:pPr>
        <w:pStyle w:val="ListBullet"/>
        <w:ind w:left="432"/>
      </w:pPr>
      <w:r>
        <w:rPr>
          <w:rFonts w:ascii="Times New Roman" w:hAnsi="Times New Roman" w:cs="Times New Roman"/>
          <w:b w:val="0"/>
          <w:i w:val="0"/>
          <w:sz w:val="22"/>
        </w:rPr>
        <w:t>Cadence calls out sales cycles of "up to six months or longer" for major engagements (Cadence 2025 10-K, p. 5).</w:t>
      </w:r>
    </w:p>
    <w:p>
      <w:pPr>
        <w:pStyle w:val="ListBullet"/>
        <w:ind w:left="432"/>
      </w:pPr>
      <w:r>
        <w:rPr>
          <w:rFonts w:ascii="Times New Roman" w:hAnsi="Times New Roman" w:cs="Times New Roman"/>
          <w:b w:val="0"/>
          <w:i w:val="0"/>
          <w:sz w:val="22"/>
        </w:rPr>
        <w:t xml:space="preserve">Contract structure: 2–3 year subscription master agreements, multi-year non-cancellable hardware leases, and royalty-bearing IP licenses. Backlog at Q1-2026 quarter-end was a </w:t>
      </w:r>
      <w:r>
        <w:rPr>
          <w:rFonts w:ascii="Times New Roman" w:hAnsi="Times New Roman" w:cs="Times New Roman"/>
          <w:b/>
          <w:i w:val="0"/>
          <w:sz w:val="22"/>
        </w:rPr>
        <w:t>record USD 8.0 billion</w:t>
      </w:r>
      <w:r>
        <w:rPr>
          <w:rFonts w:ascii="Times New Roman" w:hAnsi="Times New Roman" w:cs="Times New Roman"/>
          <w:b w:val="0"/>
          <w:i w:val="0"/>
          <w:sz w:val="22"/>
        </w:rPr>
        <w:t>, with USD 4.0 billion expected to convert to revenue in the next 12 months — providing exceptional revenue visibility (Q1-2026 press release).</w:t>
      </w:r>
    </w:p>
    <w:p>
      <w:pPr>
        <w:spacing w:before="160" w:after="60"/>
      </w:pPr>
      <w:r>
        <w:rPr>
          <w:rFonts w:ascii="Times New Roman" w:hAnsi="Times New Roman" w:cs="Times New Roman"/>
          <w:b/>
          <w:i w:val="0"/>
          <w:color w:val="C00000"/>
          <w:sz w:val="22"/>
        </w:rPr>
        <w:t>Key partnerships</w:t>
      </w:r>
    </w:p>
    <w:p>
      <w:pPr>
        <w:pStyle w:val="ListBullet"/>
        <w:ind w:left="432"/>
      </w:pPr>
      <w:r>
        <w:rPr>
          <w:rFonts w:ascii="Times New Roman" w:hAnsi="Times New Roman" w:cs="Times New Roman"/>
          <w:b/>
          <w:i w:val="0"/>
          <w:sz w:val="22"/>
        </w:rPr>
        <w:t>TSMC</w:t>
      </w:r>
      <w:r>
        <w:rPr>
          <w:rFonts w:ascii="Times New Roman" w:hAnsi="Times New Roman" w:cs="Times New Roman"/>
          <w:b w:val="0"/>
          <w:i w:val="0"/>
          <w:sz w:val="22"/>
        </w:rPr>
        <w:t xml:space="preserve"> — extended partnership Apr 2025 for N2P/N3/N5 reference flows (Cadence and TSMC press release, 2025-04).</w:t>
      </w:r>
    </w:p>
    <w:p>
      <w:pPr>
        <w:pStyle w:val="ListBullet"/>
        <w:ind w:left="432"/>
      </w:pPr>
      <w:r>
        <w:rPr>
          <w:rFonts w:ascii="Times New Roman" w:hAnsi="Times New Roman" w:cs="Times New Roman"/>
          <w:b/>
          <w:i w:val="0"/>
          <w:sz w:val="22"/>
        </w:rPr>
        <w:t>NVIDIA</w:t>
      </w:r>
      <w:r>
        <w:rPr>
          <w:rFonts w:ascii="Times New Roman" w:hAnsi="Times New Roman" w:cs="Times New Roman"/>
          <w:b w:val="0"/>
          <w:i w:val="0"/>
          <w:sz w:val="22"/>
        </w:rPr>
        <w:t xml:space="preserve"> — multi-quarter partnership announcements through 2025–2026 covering Blackwell/Rubin design flows, ChipStack early deployment, Cadence Millennium Supercomputer on NVIDIA GPUs (Cadence and NVIDIA, 2026).</w:t>
      </w:r>
    </w:p>
    <w:p>
      <w:pPr>
        <w:pStyle w:val="ListBullet"/>
        <w:ind w:left="432"/>
      </w:pPr>
      <w:r>
        <w:rPr>
          <w:rFonts w:ascii="Times New Roman" w:hAnsi="Times New Roman" w:cs="Times New Roman"/>
          <w:b/>
          <w:i w:val="0"/>
          <w:sz w:val="22"/>
        </w:rPr>
        <w:t>Arm</w:t>
      </w:r>
      <w:r>
        <w:rPr>
          <w:rFonts w:ascii="Times New Roman" w:hAnsi="Times New Roman" w:cs="Times New Roman"/>
          <w:b w:val="0"/>
          <w:i w:val="0"/>
          <w:sz w:val="22"/>
        </w:rPr>
        <w:t xml:space="preserve"> — long-running tool-verification and Neoverse-V2 reference-design partnership (New Electronics — Cadence and Arm Neoverse V2).</w:t>
      </w:r>
    </w:p>
    <w:p>
      <w:pPr>
        <w:pStyle w:val="ListBullet"/>
        <w:ind w:left="432"/>
      </w:pPr>
      <w:r>
        <w:rPr>
          <w:rFonts w:ascii="Times New Roman" w:hAnsi="Times New Roman" w:cs="Times New Roman"/>
          <w:b/>
          <w:i w:val="0"/>
          <w:sz w:val="22"/>
        </w:rPr>
        <w:t>Samsung Foundry, Intel Foundry, GlobalFoundries, UMC</w:t>
      </w:r>
      <w:r>
        <w:rPr>
          <w:rFonts w:ascii="Times New Roman" w:hAnsi="Times New Roman" w:cs="Times New Roman"/>
          <w:b w:val="0"/>
          <w:i w:val="0"/>
          <w:sz w:val="22"/>
        </w:rPr>
        <w:t xml:space="preserve"> — recurring PDK and reference-flow certifications across every node.</w:t>
      </w:r>
    </w:p>
    <w:p>
      <w:pPr>
        <w:pStyle w:val="ListBullet"/>
        <w:ind w:left="432"/>
      </w:pPr>
      <w:r>
        <w:rPr>
          <w:rFonts w:ascii="Times New Roman" w:hAnsi="Times New Roman" w:cs="Times New Roman"/>
          <w:b/>
          <w:i w:val="0"/>
          <w:sz w:val="22"/>
        </w:rPr>
        <w:t>AWS, Azure, GCP</w:t>
      </w:r>
      <w:r>
        <w:rPr>
          <w:rFonts w:ascii="Times New Roman" w:hAnsi="Times New Roman" w:cs="Times New Roman"/>
          <w:b w:val="0"/>
          <w:i w:val="0"/>
          <w:sz w:val="22"/>
        </w:rPr>
        <w:t xml:space="preserve"> — cloud-delivery partners for OnCloud.</w:t>
      </w:r>
    </w:p>
    <w:p>
      <w:pPr>
        <w:spacing w:before="160" w:after="60"/>
      </w:pPr>
      <w:r>
        <w:rPr>
          <w:rFonts w:ascii="Times New Roman" w:hAnsi="Times New Roman" w:cs="Times New Roman"/>
          <w:b/>
          <w:i w:val="0"/>
          <w:color w:val="C00000"/>
          <w:sz w:val="22"/>
        </w:rPr>
        <w:t>Named customer wins (last 12 months)</w:t>
      </w:r>
    </w:p>
    <w:p>
      <w:pPr>
        <w:pStyle w:val="ListBullet"/>
        <w:ind w:left="432"/>
      </w:pPr>
      <w:r>
        <w:rPr>
          <w:rFonts w:ascii="Times New Roman" w:hAnsi="Times New Roman" w:cs="Times New Roman"/>
          <w:b/>
          <w:i w:val="0"/>
          <w:sz w:val="22"/>
        </w:rPr>
        <w:t>Altera, NVIDIA, Qualcomm, Tenstorrent</w:t>
      </w:r>
      <w:r>
        <w:rPr>
          <w:rFonts w:ascii="Times New Roman" w:hAnsi="Times New Roman" w:cs="Times New Roman"/>
          <w:b w:val="0"/>
          <w:i w:val="0"/>
          <w:sz w:val="22"/>
        </w:rPr>
        <w:t xml:space="preserve"> — early ChipStack production deployments, disclosed by Cadence on 2026-02-10 (Cadence press release).</w:t>
      </w:r>
    </w:p>
    <w:p>
      <w:pPr>
        <w:pStyle w:val="ListBullet"/>
        <w:ind w:left="432"/>
      </w:pPr>
      <w:r>
        <w:rPr>
          <w:rFonts w:ascii="Times New Roman" w:hAnsi="Times New Roman" w:cs="Times New Roman"/>
          <w:b/>
          <w:i w:val="0"/>
          <w:sz w:val="22"/>
        </w:rPr>
        <w:t>NVIDIA Blackwell / Rubin</w:t>
      </w:r>
      <w:r>
        <w:rPr>
          <w:rFonts w:ascii="Times New Roman" w:hAnsi="Times New Roman" w:cs="Times New Roman"/>
          <w:b w:val="0"/>
          <w:i w:val="0"/>
          <w:sz w:val="22"/>
        </w:rPr>
        <w:t xml:space="preserve"> — Cadence flows used end-to-end per joint announcements through 2025–2026 (HPCwire, 2026-02-12).</w:t>
      </w:r>
    </w:p>
    <w:p>
      <w:pPr>
        <w:pStyle w:val="ListBullet"/>
        <w:ind w:left="432"/>
      </w:pPr>
      <w:r>
        <w:rPr>
          <w:rFonts w:ascii="Times New Roman" w:hAnsi="Times New Roman" w:cs="Times New Roman"/>
          <w:b/>
          <w:i w:val="0"/>
          <w:sz w:val="22"/>
        </w:rPr>
        <w:t>Multiple hyperscalers</w:t>
      </w:r>
      <w:r>
        <w:rPr>
          <w:rFonts w:ascii="Times New Roman" w:hAnsi="Times New Roman" w:cs="Times New Roman"/>
          <w:b w:val="0"/>
          <w:i w:val="0"/>
          <w:sz w:val="22"/>
        </w:rPr>
        <w:t xml:space="preserve"> (unnamed) for hardware emulation — Palladium "delivered a record quarter" in Q1 2026 per CFO commentary (Q1-2026 press release).</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4599539"/>
            <wp:docPr id="10" name="Picture 10"/>
            <wp:cNvGraphicFramePr>
              <a:graphicFrameLocks noChangeAspect="1"/>
            </wp:cNvGraphicFramePr>
            <a:graphic>
              <a:graphicData uri="http://schemas.openxmlformats.org/drawingml/2006/picture">
                <pic:pic>
                  <pic:nvPicPr>
                    <pic:cNvPr id="0" name="chart_09_customer_segments.png"/>
                    <pic:cNvPicPr/>
                  </pic:nvPicPr>
                  <pic:blipFill>
                    <a:blip r:embed="rId18"/>
                    <a:stretch>
                      <a:fillRect/>
                    </a:stretch>
                  </pic:blipFill>
                  <pic:spPr>
                    <a:xfrm>
                      <a:off x="0" y="0"/>
                      <a:ext cx="5943600" cy="4599539"/>
                    </a:xfrm>
                    <a:prstGeom prst="rect"/>
                  </pic:spPr>
                </pic:pic>
              </a:graphicData>
            </a:graphic>
          </wp:inline>
        </w:drawing>
      </w:r>
    </w:p>
    <w:p>
      <w:pPr>
        <w:spacing w:after="160"/>
        <w:jc w:val="center"/>
      </w:pPr>
      <w:r>
        <w:rPr>
          <w:rFonts w:ascii="Times New Roman" w:hAnsi="Times New Roman" w:cs="Times New Roman"/>
          <w:b w:val="0"/>
          <w:i/>
          <w:color w:val="595959"/>
          <w:sz w:val="18"/>
        </w:rPr>
        <w:t>Customer concentration FY2025E</w:t>
      </w:r>
    </w:p>
    <w:p>
      <w:pPr>
        <w:spacing w:before="120" w:after="40"/>
        <w:jc w:val="center"/>
      </w:pPr>
      <w:r>
        <w:drawing>
          <wp:inline xmlns:a="http://schemas.openxmlformats.org/drawingml/2006/main" xmlns:pic="http://schemas.openxmlformats.org/drawingml/2006/picture">
            <wp:extent cx="5943600" cy="3083726"/>
            <wp:docPr id="11" name="Picture 11"/>
            <wp:cNvGraphicFramePr>
              <a:graphicFrameLocks noChangeAspect="1"/>
            </wp:cNvGraphicFramePr>
            <a:graphic>
              <a:graphicData uri="http://schemas.openxmlformats.org/drawingml/2006/picture">
                <pic:pic>
                  <pic:nvPicPr>
                    <pic:cNvPr id="0" name="chart_04_revenue_by_geography.png"/>
                    <pic:cNvPicPr/>
                  </pic:nvPicPr>
                  <pic:blipFill>
                    <a:blip r:embed="rId19"/>
                    <a:stretch>
                      <a:fillRect/>
                    </a:stretch>
                  </pic:blipFill>
                  <pic:spPr>
                    <a:xfrm>
                      <a:off x="0" y="0"/>
                      <a:ext cx="5943600" cy="3083726"/>
                    </a:xfrm>
                    <a:prstGeom prst="rect"/>
                  </pic:spPr>
                </pic:pic>
              </a:graphicData>
            </a:graphic>
          </wp:inline>
        </w:drawing>
      </w:r>
    </w:p>
    <w:p>
      <w:pPr>
        <w:spacing w:after="160"/>
        <w:jc w:val="center"/>
      </w:pPr>
      <w:r>
        <w:rPr>
          <w:rFonts w:ascii="Times New Roman" w:hAnsi="Times New Roman" w:cs="Times New Roman"/>
          <w:b w:val="0"/>
          <w:i/>
          <w:color w:val="595959"/>
          <w:sz w:val="18"/>
        </w:rPr>
        <w:t>Revenue by geography FY2021–FY2025</w:t>
      </w:r>
    </w:p>
    <w:p>
      <w:pPr>
        <w:spacing w:before="120" w:after="40"/>
        <w:jc w:val="center"/>
      </w:pPr>
      <w:r>
        <w:drawing>
          <wp:inline xmlns:a="http://schemas.openxmlformats.org/drawingml/2006/main" xmlns:pic="http://schemas.openxmlformats.org/drawingml/2006/picture">
            <wp:extent cx="5943600" cy="3227068"/>
            <wp:docPr id="12" name="Picture 12"/>
            <wp:cNvGraphicFramePr>
              <a:graphicFrameLocks noChangeAspect="1"/>
            </wp:cNvGraphicFramePr>
            <a:graphic>
              <a:graphicData uri="http://schemas.openxmlformats.org/drawingml/2006/picture">
                <pic:pic>
                  <pic:nvPicPr>
                    <pic:cNvPr id="0" name="chart_21_backlog.png"/>
                    <pic:cNvPicPr/>
                  </pic:nvPicPr>
                  <pic:blipFill>
                    <a:blip r:embed="rId20"/>
                    <a:stretch>
                      <a:fillRect/>
                    </a:stretch>
                  </pic:blipFill>
                  <pic:spPr>
                    <a:xfrm>
                      <a:off x="0" y="0"/>
                      <a:ext cx="5943600" cy="3227068"/>
                    </a:xfrm>
                    <a:prstGeom prst="rect"/>
                  </pic:spPr>
                </pic:pic>
              </a:graphicData>
            </a:graphic>
          </wp:inline>
        </w:drawing>
      </w:r>
    </w:p>
    <w:p>
      <w:pPr>
        <w:spacing w:after="160"/>
        <w:jc w:val="center"/>
      </w:pPr>
      <w:r>
        <w:rPr>
          <w:rFonts w:ascii="Times New Roman" w:hAnsi="Times New Roman" w:cs="Times New Roman"/>
          <w:b w:val="0"/>
          <w:i/>
          <w:color w:val="595959"/>
          <w:sz w:val="18"/>
        </w:rPr>
        <w:t>Year-end backlog (RPO)</w:t>
      </w:r>
    </w:p>
    <w:p>
      <w:r>
        <w:br w:type="page"/>
      </w:r>
    </w:p>
    <w:p>
      <w:pPr>
        <w:spacing w:before="360" w:after="120"/>
        <w:pBdr>
          <w:bottom w:val="single" w:sz="8" w:space="1" w:color="1F4E78"/>
        </w:pBdr>
      </w:pPr>
      <w:r>
        <w:rPr>
          <w:rFonts w:ascii="Times New Roman" w:hAnsi="Times New Roman" w:cs="Times New Roman"/>
          <w:b/>
          <w:i w:val="0"/>
          <w:color w:val="1F4E78"/>
          <w:sz w:val="32"/>
        </w:rPr>
        <w:t>INDUSTRY OVERVIEW</w:t>
      </w:r>
    </w:p>
    <w:p>
      <w:pPr>
        <w:spacing w:before="160" w:after="60"/>
      </w:pPr>
      <w:r>
        <w:rPr>
          <w:rFonts w:ascii="Times New Roman" w:hAnsi="Times New Roman" w:cs="Times New Roman"/>
          <w:b/>
          <w:i w:val="0"/>
          <w:color w:val="C00000"/>
          <w:sz w:val="22"/>
        </w:rPr>
        <w:t>Industry definition and scope</w:t>
      </w:r>
    </w:p>
    <w:p>
      <w:pPr>
        <w:spacing w:after="120" w:lineRule="auto" w:line="276"/>
      </w:pPr>
      <w:r>
        <w:rPr>
          <w:rFonts w:ascii="Times New Roman" w:hAnsi="Times New Roman" w:cs="Times New Roman"/>
          <w:b w:val="0"/>
          <w:i w:val="0"/>
          <w:sz w:val="22"/>
        </w:rPr>
        <w:t xml:space="preserve">The Electronic Design Automation (EDA) industry consists of (a) software tools that design, simulate, verify, and lay out integrated circuits and electronic systems, (b) dedicated hardware emulation and prototyping appliances, and (c) reusable silicon intellectual property (IP) blocks sold to chip designers under license. The broader </w:t>
      </w:r>
      <w:r>
        <w:rPr>
          <w:rFonts w:ascii="Times New Roman" w:hAnsi="Times New Roman" w:cs="Times New Roman"/>
          <w:b/>
          <w:i w:val="0"/>
          <w:sz w:val="22"/>
        </w:rPr>
        <w:t>Engineering Design &amp; Simulation</w:t>
      </w:r>
      <w:r>
        <w:rPr>
          <w:rFonts w:ascii="Times New Roman" w:hAnsi="Times New Roman" w:cs="Times New Roman"/>
          <w:b w:val="0"/>
          <w:i w:val="0"/>
          <w:sz w:val="22"/>
        </w:rPr>
        <w:t xml:space="preserve"> market — into which Cadence has expanded via Allegro, BETA CAE, Hexagon D&amp;E, and the multiphysics portfolio — adds PCB design, mechanical/structural CAE, computational fluid dynamics, and digital twins.</w:t>
      </w:r>
    </w:p>
    <w:p>
      <w:pPr>
        <w:spacing w:after="120" w:lineRule="auto" w:line="276"/>
      </w:pPr>
      <w:r>
        <w:rPr>
          <w:rFonts w:ascii="Times New Roman" w:hAnsi="Times New Roman" w:cs="Times New Roman"/>
          <w:b w:val="0"/>
          <w:i w:val="0"/>
          <w:sz w:val="22"/>
        </w:rPr>
        <w:t>NAICS code 511210 (Software Publishers — design/engineering) is the cleanest match, with elements of 334413 (semiconductor design services). The customer base sits primarily in NAICS 334413 / 334418 (semiconductors and printed-circuit boards).</w:t>
      </w:r>
    </w:p>
    <w:p>
      <w:pPr>
        <w:spacing w:before="160" w:after="60"/>
      </w:pPr>
      <w:r>
        <w:rPr>
          <w:rFonts w:ascii="Times New Roman" w:hAnsi="Times New Roman" w:cs="Times New Roman"/>
          <w:b/>
          <w:i w:val="0"/>
          <w:color w:val="C00000"/>
          <w:sz w:val="22"/>
        </w:rPr>
        <w:t>Market size and structure</w:t>
      </w:r>
    </w:p>
    <w:p>
      <w:pPr>
        <w:pStyle w:val="ListBullet"/>
        <w:ind w:left="432"/>
      </w:pPr>
      <w:r>
        <w:rPr>
          <w:rFonts w:ascii="Times New Roman" w:hAnsi="Times New Roman" w:cs="Times New Roman"/>
          <w:b/>
          <w:i w:val="0"/>
          <w:sz w:val="22"/>
        </w:rPr>
        <w:t>Global EDA software market ~ USD 17.6B in 2025</w:t>
      </w:r>
      <w:r>
        <w:rPr>
          <w:rFonts w:ascii="Times New Roman" w:hAnsi="Times New Roman" w:cs="Times New Roman"/>
          <w:b w:val="0"/>
          <w:i w:val="0"/>
          <w:sz w:val="22"/>
        </w:rPr>
        <w:t>, projected to reach ~USD 33B by 2032 at ~8% CAGR per industry research aggregated by Mordor Intelligence and Precedence Research (Mordor Intelligence — EDA Tools Market; Precedence Research — EDA software market to USD 34.71B by 2035).</w:t>
      </w:r>
    </w:p>
    <w:p>
      <w:pPr>
        <w:pStyle w:val="ListBullet"/>
        <w:ind w:left="432"/>
      </w:pPr>
      <w:r>
        <w:rPr>
          <w:rFonts w:ascii="Times New Roman" w:hAnsi="Times New Roman" w:cs="Times New Roman"/>
          <w:b/>
          <w:i w:val="0"/>
          <w:sz w:val="22"/>
        </w:rPr>
        <w:t>Mordor Intelligence's 2026 estimate is USD 20.78B, growing to USD 30.67B by 2031</w:t>
      </w:r>
      <w:r>
        <w:rPr>
          <w:rFonts w:ascii="Times New Roman" w:hAnsi="Times New Roman" w:cs="Times New Roman"/>
          <w:b w:val="0"/>
          <w:i w:val="0"/>
          <w:sz w:val="22"/>
        </w:rPr>
        <w:t xml:space="preserve"> (8.1% CAGR), reflecting the same underlying trend (Mordor Intelligence).</w:t>
      </w:r>
    </w:p>
    <w:p>
      <w:pPr>
        <w:pStyle w:val="ListBullet"/>
        <w:ind w:left="432"/>
      </w:pPr>
      <w:r>
        <w:rPr>
          <w:rFonts w:ascii="Times New Roman" w:hAnsi="Times New Roman" w:cs="Times New Roman"/>
          <w:b/>
          <w:i w:val="0"/>
          <w:sz w:val="22"/>
        </w:rPr>
        <w:t>Including engineering simulation</w:t>
      </w:r>
      <w:r>
        <w:rPr>
          <w:rFonts w:ascii="Times New Roman" w:hAnsi="Times New Roman" w:cs="Times New Roman"/>
          <w:b w:val="0"/>
          <w:i w:val="0"/>
          <w:sz w:val="22"/>
        </w:rPr>
        <w:t xml:space="preserve"> (Ansys, Altair, Dassault Simulia, MSC) — where Cadence is now a meaningful player — TAM expands by another ~USD 9–12B, putting Cadence's *expanded* addressable market in the </w:t>
      </w:r>
      <w:r>
        <w:rPr>
          <w:rFonts w:ascii="Times New Roman" w:hAnsi="Times New Roman" w:cs="Times New Roman"/>
          <w:b/>
          <w:i w:val="0"/>
          <w:sz w:val="22"/>
        </w:rPr>
        <w:t>USD 28–35B</w:t>
      </w:r>
      <w:r>
        <w:rPr>
          <w:rFonts w:ascii="Times New Roman" w:hAnsi="Times New Roman" w:cs="Times New Roman"/>
          <w:b w:val="0"/>
          <w:i w:val="0"/>
          <w:sz w:val="22"/>
        </w:rPr>
        <w:t xml:space="preserve"> range today, growing to USD 50B+ by 2032.</w:t>
      </w:r>
    </w:p>
    <w:p>
      <w:pPr>
        <w:spacing w:after="120" w:lineRule="auto" w:line="276"/>
      </w:pPr>
      <w:r>
        <w:rPr>
          <w:rFonts w:ascii="Times New Roman" w:hAnsi="Times New Roman" w:cs="Times New Roman"/>
          <w:b w:val="0"/>
          <w:i w:val="0"/>
          <w:sz w:val="22"/>
        </w:rPr>
        <w:t>*Source: composite from Mordor Intelligence, Precedence Research, and industry consensus.*</w:t>
      </w:r>
    </w:p>
    <w:p>
      <w:pPr>
        <w:spacing w:before="160" w:after="60"/>
      </w:pPr>
      <w:r>
        <w:rPr>
          <w:rFonts w:ascii="Times New Roman" w:hAnsi="Times New Roman" w:cs="Times New Roman"/>
          <w:b/>
          <w:i w:val="0"/>
          <w:color w:val="C00000"/>
          <w:sz w:val="22"/>
        </w:rPr>
        <w:t>Concentration</w:t>
      </w:r>
    </w:p>
    <w:p>
      <w:pPr>
        <w:spacing w:after="120" w:lineRule="auto" w:line="276"/>
      </w:pPr>
      <w:r>
        <w:rPr>
          <w:rFonts w:ascii="Times New Roman" w:hAnsi="Times New Roman" w:cs="Times New Roman"/>
          <w:b w:val="0"/>
          <w:i w:val="0"/>
          <w:sz w:val="22"/>
        </w:rPr>
        <w:t xml:space="preserve">The EDA market is structurally a </w:t>
      </w:r>
      <w:r>
        <w:rPr>
          <w:rFonts w:ascii="Times New Roman" w:hAnsi="Times New Roman" w:cs="Times New Roman"/>
          <w:b/>
          <w:i w:val="0"/>
          <w:sz w:val="22"/>
        </w:rPr>
        <w:t>near-oligopoly</w:t>
      </w:r>
      <w:r>
        <w:rPr>
          <w:rFonts w:ascii="Times New Roman" w:hAnsi="Times New Roman" w:cs="Times New Roman"/>
          <w:b w:val="0"/>
          <w:i w:val="0"/>
          <w:sz w:val="22"/>
        </w:rPr>
        <w:t xml:space="preserve">: per TrendForce data covering 2024, </w:t>
      </w:r>
      <w:r>
        <w:rPr>
          <w:rFonts w:ascii="Times New Roman" w:hAnsi="Times New Roman" w:cs="Times New Roman"/>
          <w:b/>
          <w:i w:val="0"/>
          <w:sz w:val="22"/>
        </w:rPr>
        <w:t>Synopsys ~31%, Cadence ~30%, Siemens EDA ~13%</w:t>
      </w:r>
      <w:r>
        <w:rPr>
          <w:rFonts w:ascii="Times New Roman" w:hAnsi="Times New Roman" w:cs="Times New Roman"/>
          <w:b w:val="0"/>
          <w:i w:val="0"/>
          <w:sz w:val="22"/>
        </w:rPr>
        <w:t xml:space="preserve"> of the global market — together ~74%, with the rest split among Ansys (pre-Synopsys acquisition), Altium, Keysight, Empyrean (China), and a long tail (TrendForce, 2025-06-02). With the closing of the </w:t>
      </w:r>
      <w:r>
        <w:rPr>
          <w:rFonts w:ascii="Times New Roman" w:hAnsi="Times New Roman" w:cs="Times New Roman"/>
          <w:b/>
          <w:i w:val="0"/>
          <w:sz w:val="22"/>
        </w:rPr>
        <w:t>Synopsys + Ansys merger in 2025</w:t>
      </w:r>
      <w:r>
        <w:rPr>
          <w:rFonts w:ascii="Times New Roman" w:hAnsi="Times New Roman" w:cs="Times New Roman"/>
          <w:b w:val="0"/>
          <w:i w:val="0"/>
          <w:sz w:val="22"/>
        </w:rPr>
        <w:t>, the Big Three structure has tightened further; Synopsys now owns the leading multiphysics franchise, and Cadence's BETA CAE + Hexagon D&amp;E moves are explicitly a response.</w:t>
      </w:r>
    </w:p>
    <w:p>
      <w:pPr>
        <w:spacing w:before="160" w:after="60"/>
      </w:pPr>
      <w:r>
        <w:rPr>
          <w:rFonts w:ascii="Times New Roman" w:hAnsi="Times New Roman" w:cs="Times New Roman"/>
          <w:b/>
          <w:i w:val="0"/>
          <w:color w:val="C00000"/>
          <w:sz w:val="22"/>
        </w:rPr>
        <w:t>Growth rates and drivers</w:t>
      </w:r>
    </w:p>
    <w:p>
      <w:pPr>
        <w:spacing w:after="120" w:lineRule="auto" w:line="276"/>
      </w:pPr>
      <w:r>
        <w:rPr>
          <w:rFonts w:ascii="Times New Roman" w:hAnsi="Times New Roman" w:cs="Times New Roman"/>
          <w:b w:val="0"/>
          <w:i w:val="0"/>
          <w:sz w:val="22"/>
        </w:rPr>
        <w:t>Cadence and Synopsys have both grown ~14–15% revenue CAGR over FY21–FY25 — roughly double the underlying ~8% market CAGR. The driver mix:</w:t>
      </w:r>
    </w:p>
    <w:p>
      <w:pPr>
        <w:pStyle w:val="ListNumber"/>
      </w:pPr>
      <w:r>
        <w:rPr>
          <w:rFonts w:ascii="Times New Roman" w:hAnsi="Times New Roman" w:cs="Times New Roman"/>
          <w:b/>
          <w:i w:val="0"/>
          <w:sz w:val="22"/>
        </w:rPr>
        <w:t>Rising design starts at the leading edge.</w:t>
      </w:r>
      <w:r>
        <w:rPr>
          <w:rFonts w:ascii="Times New Roman" w:hAnsi="Times New Roman" w:cs="Times New Roman"/>
          <w:b w:val="0"/>
          <w:i w:val="0"/>
          <w:sz w:val="22"/>
        </w:rPr>
        <w:t xml:space="preserve"> Every new node (5nm → 3nm → 2nm → 1.4nm) requires roughly 2× the EDA compute hours of the prior node because design complexity (transistor count, parasitic effects, physical-verification rule set) grows super-linearly. SemiAnalysis and industry consensus place leading-edge node EDA seat costs 30–50% higher than the prior node, and emulation-hardware order sizes have grown ~25% CAGR over the same window.</w:t>
      </w:r>
    </w:p>
    <w:p>
      <w:pPr>
        <w:pStyle w:val="ListNumber"/>
      </w:pPr>
      <w:r>
        <w:rPr>
          <w:rFonts w:ascii="Times New Roman" w:hAnsi="Times New Roman" w:cs="Times New Roman"/>
          <w:b/>
          <w:i w:val="0"/>
          <w:sz w:val="22"/>
        </w:rPr>
        <w:t>AI/HPC silicon explosion.</w:t>
      </w:r>
      <w:r>
        <w:rPr>
          <w:rFonts w:ascii="Times New Roman" w:hAnsi="Times New Roman" w:cs="Times New Roman"/>
          <w:b w:val="0"/>
          <w:i w:val="0"/>
          <w:sz w:val="22"/>
        </w:rPr>
        <w:t xml:space="preserve"> NVIDIA, AMD, Broadcom, the hyperscaler custom-silicon teams, and a multi-billion-dollar wave of AI training/inference ASIC startups (Cerebras, Groq, Tenstorrent, SambaNova, Etched, Lightmatter) all consume EDA disproportionately. Cadence's Q1 2026 release explicitly names "strong demand from AI and high‑performance computing customers" as the hardware-revenue driver.</w:t>
      </w:r>
    </w:p>
    <w:p>
      <w:pPr>
        <w:pStyle w:val="ListNumber"/>
      </w:pPr>
      <w:r>
        <w:rPr>
          <w:rFonts w:ascii="Times New Roman" w:hAnsi="Times New Roman" w:cs="Times New Roman"/>
          <w:b/>
          <w:i w:val="0"/>
          <w:sz w:val="22"/>
        </w:rPr>
        <w:t>Advanced packaging / 3D-IC / chiplets.</w:t>
      </w:r>
      <w:r>
        <w:rPr>
          <w:rFonts w:ascii="Times New Roman" w:hAnsi="Times New Roman" w:cs="Times New Roman"/>
          <w:b w:val="0"/>
          <w:i w:val="0"/>
          <w:sz w:val="22"/>
        </w:rPr>
        <w:t xml:space="preserve"> Co-design across multiple die requires net-new tools — Integrity 3D-IC, system-level analysis (Clarity, Celsius), and the kind of multi-physics simulation that Hexagon/MSC and BETA CAE provide.</w:t>
      </w:r>
    </w:p>
    <w:p>
      <w:pPr>
        <w:pStyle w:val="ListNumber"/>
      </w:pPr>
      <w:r>
        <w:rPr>
          <w:rFonts w:ascii="Times New Roman" w:hAnsi="Times New Roman" w:cs="Times New Roman"/>
          <w:b/>
          <w:i w:val="0"/>
          <w:sz w:val="22"/>
        </w:rPr>
        <w:t>Software-defined vehicles + Physical AI</w:t>
      </w:r>
      <w:r>
        <w:rPr>
          <w:rFonts w:ascii="Times New Roman" w:hAnsi="Times New Roman" w:cs="Times New Roman"/>
          <w:b w:val="0"/>
          <w:i w:val="0"/>
          <w:sz w:val="22"/>
        </w:rPr>
        <w:t xml:space="preserve"> (autonomous, robotics, drones). Cadence's Hexagon D&amp;E close is the strategic vehicle here (Cadence Hexagon close press release).</w:t>
      </w:r>
    </w:p>
    <w:p>
      <w:pPr>
        <w:pStyle w:val="ListNumber"/>
      </w:pPr>
      <w:r>
        <w:rPr>
          <w:rFonts w:ascii="Times New Roman" w:hAnsi="Times New Roman" w:cs="Times New Roman"/>
          <w:b/>
          <w:i w:val="0"/>
          <w:sz w:val="22"/>
        </w:rPr>
        <w:t>AI inside EDA itself.</w:t>
      </w:r>
      <w:r>
        <w:rPr>
          <w:rFonts w:ascii="Times New Roman" w:hAnsi="Times New Roman" w:cs="Times New Roman"/>
          <w:b w:val="0"/>
          <w:i w:val="0"/>
          <w:sz w:val="22"/>
        </w:rPr>
        <w:t xml:space="preserve"> The Cerebrus / ChipStack / DSO.ai class of products is creating an upsell layer on top of base-tool subscriptions — typically a 10–30% premium on the base seat.</w:t>
      </w:r>
    </w:p>
    <w:p>
      <w:pPr>
        <w:spacing w:before="160" w:after="60"/>
      </w:pPr>
      <w:r>
        <w:rPr>
          <w:rFonts w:ascii="Times New Roman" w:hAnsi="Times New Roman" w:cs="Times New Roman"/>
          <w:b/>
          <w:i w:val="0"/>
          <w:color w:val="C00000"/>
          <w:sz w:val="22"/>
        </w:rPr>
        <w:t>Regulatory environment</w:t>
      </w:r>
    </w:p>
    <w:p>
      <w:pPr>
        <w:pStyle w:val="ListBullet"/>
        <w:ind w:left="432"/>
      </w:pPr>
      <w:r>
        <w:rPr>
          <w:rFonts w:ascii="Times New Roman" w:hAnsi="Times New Roman" w:cs="Times New Roman"/>
          <w:b/>
          <w:i w:val="0"/>
          <w:sz w:val="22"/>
        </w:rPr>
        <w:t>U.S. export controls.</w:t>
      </w:r>
      <w:r>
        <w:rPr>
          <w:rFonts w:ascii="Times New Roman" w:hAnsi="Times New Roman" w:cs="Times New Roman"/>
          <w:b w:val="0"/>
          <w:i w:val="0"/>
          <w:sz w:val="22"/>
        </w:rPr>
        <w:t xml:space="preserve"> The 2024–2026 export-control regime — administered by BIS — has materially shaped EDA-to-China revenue. The 2025-05-23 license-requirement letter that paused EDA-to-China for ~6 weeks before being rescinded on 2025-07-02 was the most disruptive single event in EDA-trade history (Silicon UK, 2025-07-03; TrendForce, 2025-06-02). The 2025-09-29 BIS "50% rule" extension was subsequently suspended through 2026-11-09, but the regulatory regime remains volatile (Cadence 2025 10-K, Risk Factors).</w:t>
      </w:r>
    </w:p>
    <w:p>
      <w:pPr>
        <w:pStyle w:val="ListBullet"/>
        <w:ind w:left="432"/>
      </w:pPr>
      <w:r>
        <w:rPr>
          <w:rFonts w:ascii="Times New Roman" w:hAnsi="Times New Roman" w:cs="Times New Roman"/>
          <w:b/>
          <w:i w:val="0"/>
          <w:sz w:val="22"/>
        </w:rPr>
        <w:t>Entity List restrictions</w:t>
      </w:r>
      <w:r>
        <w:rPr>
          <w:rFonts w:ascii="Times New Roman" w:hAnsi="Times New Roman" w:cs="Times New Roman"/>
          <w:b w:val="0"/>
          <w:i w:val="0"/>
          <w:sz w:val="22"/>
        </w:rPr>
        <w:t xml:space="preserve"> restrict sales to specific Chinese chip designers (Huawei/HiSilicon, SMIC, YMTC, CXMT, and a growing list).</w:t>
      </w:r>
    </w:p>
    <w:p>
      <w:pPr>
        <w:pStyle w:val="ListBullet"/>
        <w:ind w:left="432"/>
      </w:pPr>
      <w:r>
        <w:rPr>
          <w:rFonts w:ascii="Times New Roman" w:hAnsi="Times New Roman" w:cs="Times New Roman"/>
          <w:b/>
          <w:i w:val="0"/>
          <w:sz w:val="22"/>
        </w:rPr>
        <w:t>EU AI Act</w:t>
      </w:r>
      <w:r>
        <w:rPr>
          <w:rFonts w:ascii="Times New Roman" w:hAnsi="Times New Roman" w:cs="Times New Roman"/>
          <w:b w:val="0"/>
          <w:i w:val="0"/>
          <w:sz w:val="22"/>
        </w:rPr>
        <w:t xml:space="preserve"> (in force 2024-08-01, substantive requirements from 2026-08-02) imposes transparency, conformity-assessment, and copyright-compliance obligations on AI providers including EDA vendors shipping generative-AI features (Cadence 2025 10-K, p. 7).</w:t>
      </w:r>
    </w:p>
    <w:p>
      <w:pPr>
        <w:pStyle w:val="ListBullet"/>
        <w:ind w:left="432"/>
      </w:pPr>
      <w:r>
        <w:rPr>
          <w:rFonts w:ascii="Times New Roman" w:hAnsi="Times New Roman" w:cs="Times New Roman"/>
          <w:b/>
          <w:i w:val="0"/>
          <w:sz w:val="22"/>
        </w:rPr>
        <w:t>Chinese industrial policy</w:t>
      </w:r>
      <w:r>
        <w:rPr>
          <w:rFonts w:ascii="Times New Roman" w:hAnsi="Times New Roman" w:cs="Times New Roman"/>
          <w:b w:val="0"/>
          <w:i w:val="0"/>
          <w:sz w:val="22"/>
        </w:rPr>
        <w:t xml:space="preserve"> — Beijing's "domestic EDA by 2030" mandate has produced </w:t>
      </w:r>
      <w:r>
        <w:rPr>
          <w:rFonts w:ascii="Times New Roman" w:hAnsi="Times New Roman" w:cs="Times New Roman"/>
          <w:b/>
          <w:i w:val="0"/>
          <w:sz w:val="22"/>
        </w:rPr>
        <w:t>Empyrean Technology, Cellix (X-EPIC), Primarius, Semitronix</w:t>
      </w:r>
      <w:r>
        <w:rPr>
          <w:rFonts w:ascii="Times New Roman" w:hAnsi="Times New Roman" w:cs="Times New Roman"/>
          <w:b w:val="0"/>
          <w:i w:val="0"/>
          <w:sz w:val="22"/>
        </w:rPr>
        <w:t xml:space="preserve"> as state-backed competitors gaining share among lower-tier Chinese design houses (36Kr, 2025).</w:t>
      </w:r>
    </w:p>
    <w:p>
      <w:pPr>
        <w:spacing w:before="160" w:after="60"/>
      </w:pPr>
      <w:r>
        <w:rPr>
          <w:rFonts w:ascii="Times New Roman" w:hAnsi="Times New Roman" w:cs="Times New Roman"/>
          <w:b/>
          <w:i w:val="0"/>
          <w:color w:val="C00000"/>
          <w:sz w:val="22"/>
        </w:rPr>
        <w:t>Industry dynamics</w:t>
      </w:r>
    </w:p>
    <w:p>
      <w:pPr>
        <w:pStyle w:val="ListBullet"/>
        <w:ind w:left="432"/>
      </w:pPr>
      <w:r>
        <w:rPr>
          <w:rFonts w:ascii="Times New Roman" w:hAnsi="Times New Roman" w:cs="Times New Roman"/>
          <w:b/>
          <w:i w:val="0"/>
          <w:sz w:val="22"/>
        </w:rPr>
        <w:t>Fragmentation:</w:t>
      </w:r>
      <w:r>
        <w:rPr>
          <w:rFonts w:ascii="Times New Roman" w:hAnsi="Times New Roman" w:cs="Times New Roman"/>
          <w:b w:val="0"/>
          <w:i w:val="0"/>
          <w:sz w:val="22"/>
        </w:rPr>
        <w:t xml:space="preserve"> Highly consolidated at the top (Big Three ≈ 74%), highly fragmented in long tail.</w:t>
      </w:r>
    </w:p>
    <w:p>
      <w:pPr>
        <w:pStyle w:val="ListBullet"/>
        <w:ind w:left="432"/>
      </w:pPr>
      <w:r>
        <w:rPr>
          <w:rFonts w:ascii="Times New Roman" w:hAnsi="Times New Roman" w:cs="Times New Roman"/>
          <w:b/>
          <w:i w:val="0"/>
          <w:sz w:val="22"/>
        </w:rPr>
        <w:t>Supplier power:</w:t>
      </w:r>
      <w:r>
        <w:rPr>
          <w:rFonts w:ascii="Times New Roman" w:hAnsi="Times New Roman" w:cs="Times New Roman"/>
          <w:b w:val="0"/>
          <w:i w:val="0"/>
          <w:sz w:val="22"/>
        </w:rPr>
        <w:t xml:space="preserve"> Foundries (TSMC, Samsung, Intel Foundry) are simultaneously partners and indirect competitors via their own internal tools — moderate power.</w:t>
      </w:r>
    </w:p>
    <w:p>
      <w:pPr>
        <w:pStyle w:val="ListBullet"/>
        <w:ind w:left="432"/>
      </w:pPr>
      <w:r>
        <w:rPr>
          <w:rFonts w:ascii="Times New Roman" w:hAnsi="Times New Roman" w:cs="Times New Roman"/>
          <w:b/>
          <w:i w:val="0"/>
          <w:sz w:val="22"/>
        </w:rPr>
        <w:t>Buyer power:</w:t>
      </w:r>
      <w:r>
        <w:rPr>
          <w:rFonts w:ascii="Times New Roman" w:hAnsi="Times New Roman" w:cs="Times New Roman"/>
          <w:b w:val="0"/>
          <w:i w:val="0"/>
          <w:sz w:val="22"/>
        </w:rPr>
        <w:t xml:space="preserve"> Top 20 customers represent material revenue; large fabless and hyperscaler customers can extract pricing concessions but cannot meaningfully switch vendors at the leading edge.</w:t>
      </w:r>
    </w:p>
    <w:p>
      <w:pPr>
        <w:pStyle w:val="ListBullet"/>
        <w:ind w:left="432"/>
      </w:pPr>
      <w:r>
        <w:rPr>
          <w:rFonts w:ascii="Times New Roman" w:hAnsi="Times New Roman" w:cs="Times New Roman"/>
          <w:b/>
          <w:i w:val="0"/>
          <w:sz w:val="22"/>
        </w:rPr>
        <w:t>Substitutes:</w:t>
      </w:r>
      <w:r>
        <w:rPr>
          <w:rFonts w:ascii="Times New Roman" w:hAnsi="Times New Roman" w:cs="Times New Roman"/>
          <w:b w:val="0"/>
          <w:i w:val="0"/>
          <w:sz w:val="22"/>
        </w:rPr>
        <w:t xml:space="preserve"> Internal EDA tools (legacy IBM, Intel) have largely shrunk; open-source EDA (Yosys, OpenROAD) is a credible alternative for educational and ≤180nm work but not for leading-edge SoC sign-off.</w:t>
      </w:r>
    </w:p>
    <w:p>
      <w:pPr>
        <w:pStyle w:val="ListBullet"/>
        <w:ind w:left="432"/>
      </w:pPr>
      <w:r>
        <w:rPr>
          <w:rFonts w:ascii="Times New Roman" w:hAnsi="Times New Roman" w:cs="Times New Roman"/>
          <w:b/>
          <w:i w:val="0"/>
          <w:sz w:val="22"/>
        </w:rPr>
        <w:t>Barriers to entry:</w:t>
      </w:r>
      <w:r>
        <w:rPr>
          <w:rFonts w:ascii="Times New Roman" w:hAnsi="Times New Roman" w:cs="Times New Roman"/>
          <w:b w:val="0"/>
          <w:i w:val="0"/>
          <w:sz w:val="22"/>
        </w:rPr>
        <w:t xml:space="preserve"> Among the highest in software — foundry PDK certification, customer methodology lock-in, ~40% R&amp;D-to-revenue commitment required to stay competitive, and a decade-plus lead time to mature any new product.</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809072"/>
            <wp:docPr id="13" name="Picture 13"/>
            <wp:cNvGraphicFramePr>
              <a:graphicFrameLocks noChangeAspect="1"/>
            </wp:cNvGraphicFramePr>
            <a:graphic>
              <a:graphicData uri="http://schemas.openxmlformats.org/drawingml/2006/picture">
                <pic:pic>
                  <pic:nvPicPr>
                    <pic:cNvPr id="0" name="chart_15_tam.png"/>
                    <pic:cNvPicPr/>
                  </pic:nvPicPr>
                  <pic:blipFill>
                    <a:blip r:embed="rId21"/>
                    <a:stretch>
                      <a:fillRect/>
                    </a:stretch>
                  </pic:blipFill>
                  <pic:spPr>
                    <a:xfrm>
                      <a:off x="0" y="0"/>
                      <a:ext cx="5943600" cy="3809072"/>
                    </a:xfrm>
                    <a:prstGeom prst="rect"/>
                  </pic:spPr>
                </pic:pic>
              </a:graphicData>
            </a:graphic>
          </wp:inline>
        </w:drawing>
      </w:r>
    </w:p>
    <w:p>
      <w:pPr>
        <w:spacing w:after="160"/>
        <w:jc w:val="center"/>
      </w:pPr>
      <w:r>
        <w:rPr>
          <w:rFonts w:ascii="Times New Roman" w:hAnsi="Times New Roman" w:cs="Times New Roman"/>
          <w:b w:val="0"/>
          <w:i/>
          <w:color w:val="595959"/>
          <w:sz w:val="18"/>
        </w:rPr>
        <w:t>Total addressable market ($B)</w:t>
      </w:r>
    </w:p>
    <w:p>
      <w:pPr>
        <w:spacing w:before="120" w:after="40"/>
        <w:jc w:val="center"/>
      </w:pPr>
      <w:r>
        <w:drawing>
          <wp:inline xmlns:a="http://schemas.openxmlformats.org/drawingml/2006/main" xmlns:pic="http://schemas.openxmlformats.org/drawingml/2006/picture">
            <wp:extent cx="5943600" cy="3354496"/>
            <wp:docPr id="14" name="Picture 14"/>
            <wp:cNvGraphicFramePr>
              <a:graphicFrameLocks noChangeAspect="1"/>
            </wp:cNvGraphicFramePr>
            <a:graphic>
              <a:graphicData uri="http://schemas.openxmlformats.org/drawingml/2006/picture">
                <pic:pic>
                  <pic:nvPicPr>
                    <pic:cNvPr id="0" name="chart_17_market_share.png"/>
                    <pic:cNvPicPr/>
                  </pic:nvPicPr>
                  <pic:blipFill>
                    <a:blip r:embed="rId22"/>
                    <a:stretch>
                      <a:fillRect/>
                    </a:stretch>
                  </pic:blipFill>
                  <pic:spPr>
                    <a:xfrm>
                      <a:off x="0" y="0"/>
                      <a:ext cx="5943600" cy="3354496"/>
                    </a:xfrm>
                    <a:prstGeom prst="rect"/>
                  </pic:spPr>
                </pic:pic>
              </a:graphicData>
            </a:graphic>
          </wp:inline>
        </w:drawing>
      </w:r>
    </w:p>
    <w:p>
      <w:pPr>
        <w:spacing w:after="160"/>
        <w:jc w:val="center"/>
      </w:pPr>
      <w:r>
        <w:rPr>
          <w:rFonts w:ascii="Times New Roman" w:hAnsi="Times New Roman" w:cs="Times New Roman"/>
          <w:b w:val="0"/>
          <w:i/>
          <w:color w:val="595959"/>
          <w:sz w:val="18"/>
        </w:rPr>
        <w:t>EDA + simulation market share FY25</w:t>
      </w:r>
    </w:p>
    <w:p>
      <w:pPr>
        <w:spacing w:before="360" w:after="120"/>
        <w:pBdr>
          <w:bottom w:val="single" w:sz="8" w:space="1" w:color="1F4E78"/>
        </w:pBdr>
      </w:pPr>
      <w:r>
        <w:rPr>
          <w:rFonts w:ascii="Times New Roman" w:hAnsi="Times New Roman" w:cs="Times New Roman"/>
          <w:b/>
          <w:i w:val="0"/>
          <w:color w:val="1F4E78"/>
          <w:sz w:val="32"/>
        </w:rPr>
        <w:t>COMPETITIVE LANDSCAPE</w:t>
      </w:r>
    </w:p>
    <w:p>
      <w:pPr>
        <w:spacing w:before="160" w:after="60"/>
      </w:pPr>
      <w:r>
        <w:rPr>
          <w:rFonts w:ascii="Times New Roman" w:hAnsi="Times New Roman" w:cs="Times New Roman"/>
          <w:b/>
          <w:i w:val="0"/>
          <w:color w:val="C00000"/>
          <w:sz w:val="22"/>
        </w:rPr>
        <w:t>Direct competitors</w:t>
      </w:r>
    </w:p>
    <w:p>
      <w:pPr>
        <w:pStyle w:val="ListNumber"/>
      </w:pPr>
      <w:r>
        <w:rPr>
          <w:rFonts w:ascii="Times New Roman" w:hAnsi="Times New Roman" w:cs="Times New Roman"/>
          <w:b/>
          <w:i w:val="0"/>
          <w:sz w:val="22"/>
        </w:rPr>
        <w:t>Synopsys (NASDAQ: SNPS)</w:t>
      </w:r>
      <w:r>
        <w:rPr>
          <w:rFonts w:ascii="Times New Roman" w:hAnsi="Times New Roman" w:cs="Times New Roman"/>
          <w:b w:val="0"/>
          <w:i w:val="0"/>
          <w:sz w:val="22"/>
        </w:rPr>
        <w:t xml:space="preserve"> — the largest EDA company, with ~31% market share (TrendForce 2024). Pure overlap across every Cadence product category. The 2025 close of the </w:t>
      </w:r>
      <w:r>
        <w:rPr>
          <w:rFonts w:ascii="Times New Roman" w:hAnsi="Times New Roman" w:cs="Times New Roman"/>
          <w:b/>
          <w:i w:val="0"/>
          <w:sz w:val="22"/>
        </w:rPr>
        <w:t>Ansys acquisition (~USD 35B)</w:t>
      </w:r>
      <w:r>
        <w:rPr>
          <w:rFonts w:ascii="Times New Roman" w:hAnsi="Times New Roman" w:cs="Times New Roman"/>
          <w:b w:val="0"/>
          <w:i w:val="0"/>
          <w:sz w:val="22"/>
        </w:rPr>
        <w:t xml:space="preserve"> added the multiphysics leader to Synopsys's portfolio, intensifying competition in the System Design &amp; Analysis space Cadence is building into. Synopsys's revenue mix is slightly more IP-weighted than Cadence's. Both trade at premium multiples (~76–80x TTM P/E); Synopsys today is the modest valuation discount (Synopsys vs Cadence, artificall.com 2026; Citi via GuruFocus, 2026).</w:t>
      </w:r>
    </w:p>
    <w:p>
      <w:pPr>
        <w:pStyle w:val="ListNumber"/>
      </w:pPr>
      <w:r>
        <w:rPr>
          <w:rFonts w:ascii="Times New Roman" w:hAnsi="Times New Roman" w:cs="Times New Roman"/>
          <w:b/>
          <w:i w:val="0"/>
          <w:sz w:val="22"/>
        </w:rPr>
        <w:t>Siemens EDA</w:t>
      </w:r>
      <w:r>
        <w:rPr>
          <w:rFonts w:ascii="Times New Roman" w:hAnsi="Times New Roman" w:cs="Times New Roman"/>
          <w:b w:val="0"/>
          <w:i w:val="0"/>
          <w:sz w:val="22"/>
        </w:rPr>
        <w:t xml:space="preserve"> (the former Mentor Graphics, acquired by Siemens AG in 2017) — ~13% market share; particularly strong in PCB (Xpedition, PADS), Calibre physical verification (the de-facto sign-off DRC/LVS standard at multiple foundries), and embedded systems. Wholly inside Siemens Digital Industries Software, so reported as part of a larger conglomerate.</w:t>
      </w:r>
    </w:p>
    <w:p>
      <w:pPr>
        <w:pStyle w:val="ListNumber"/>
      </w:pPr>
      <w:r>
        <w:rPr>
          <w:rFonts w:ascii="Times New Roman" w:hAnsi="Times New Roman" w:cs="Times New Roman"/>
          <w:b/>
          <w:i w:val="0"/>
          <w:sz w:val="22"/>
        </w:rPr>
        <w:t>Ansys</w:t>
      </w:r>
      <w:r>
        <w:rPr>
          <w:rFonts w:ascii="Times New Roman" w:hAnsi="Times New Roman" w:cs="Times New Roman"/>
          <w:b w:val="0"/>
          <w:i w:val="0"/>
          <w:sz w:val="22"/>
        </w:rPr>
        <w:t xml:space="preserve"> — historically the standalone multiphysics leader, now folded into Synopsys. Direct competitor to Cadence's Celsius / Clarity / Fidelity / Integrity 3D-IC and the Hexagon/MSC integration.</w:t>
      </w:r>
    </w:p>
    <w:p>
      <w:pPr>
        <w:pStyle w:val="ListNumber"/>
      </w:pPr>
      <w:r>
        <w:rPr>
          <w:rFonts w:ascii="Times New Roman" w:hAnsi="Times New Roman" w:cs="Times New Roman"/>
          <w:b/>
          <w:i w:val="0"/>
          <w:sz w:val="22"/>
        </w:rPr>
        <w:t>Altium (acquired by Renesas in 2024)</w:t>
      </w:r>
      <w:r>
        <w:rPr>
          <w:rFonts w:ascii="Times New Roman" w:hAnsi="Times New Roman" w:cs="Times New Roman"/>
          <w:b w:val="0"/>
          <w:i w:val="0"/>
          <w:sz w:val="22"/>
        </w:rPr>
        <w:t xml:space="preserve"> — dominant in low-end PCB design (Altium Designer) and the cloud-native Altium 365 collaboration platform. Limits Cadence's OrCAD upsell into mid-market.</w:t>
      </w:r>
    </w:p>
    <w:p>
      <w:pPr>
        <w:spacing w:before="160" w:after="60"/>
      </w:pPr>
      <w:r>
        <w:rPr>
          <w:rFonts w:ascii="Times New Roman" w:hAnsi="Times New Roman" w:cs="Times New Roman"/>
          <w:b/>
          <w:i w:val="0"/>
          <w:color w:val="C00000"/>
          <w:sz w:val="22"/>
        </w:rPr>
        <w:t>Indirect / adjacent competitors</w:t>
      </w:r>
    </w:p>
    <w:p>
      <w:pPr>
        <w:pStyle w:val="ListNumber"/>
      </w:pPr>
      <w:r>
        <w:rPr>
          <w:rFonts w:ascii="Times New Roman" w:hAnsi="Times New Roman" w:cs="Times New Roman"/>
          <w:b/>
          <w:i w:val="0"/>
          <w:sz w:val="22"/>
        </w:rPr>
        <w:t>Ceva (CEVA), Imagination Technologies, Arm (privately controlled by SoftBank/Arm Holdings)</w:t>
      </w:r>
      <w:r>
        <w:rPr>
          <w:rFonts w:ascii="Times New Roman" w:hAnsi="Times New Roman" w:cs="Times New Roman"/>
          <w:b w:val="0"/>
          <w:i w:val="0"/>
          <w:sz w:val="22"/>
        </w:rPr>
        <w:t xml:space="preserve"> — competing IP vendors. Arm dominates CPU IP; Cadence does not compete here directly but its bus, memory-interface, and DSP IP plug into Arm SoCs.</w:t>
      </w:r>
    </w:p>
    <w:p>
      <w:pPr>
        <w:pStyle w:val="ListNumber"/>
      </w:pPr>
      <w:r>
        <w:rPr>
          <w:rFonts w:ascii="Times New Roman" w:hAnsi="Times New Roman" w:cs="Times New Roman"/>
          <w:b/>
          <w:i w:val="0"/>
          <w:sz w:val="22"/>
        </w:rPr>
        <w:t>Alphawave Semi, Rambus</w:t>
      </w:r>
      <w:r>
        <w:rPr>
          <w:rFonts w:ascii="Times New Roman" w:hAnsi="Times New Roman" w:cs="Times New Roman"/>
          <w:b w:val="0"/>
          <w:i w:val="0"/>
          <w:sz w:val="22"/>
        </w:rPr>
        <w:t xml:space="preserve"> — interface IP specialists (SerDes, memory). Each contests subsets of Cadence's Star IP portfolio.</w:t>
      </w:r>
    </w:p>
    <w:p>
      <w:pPr>
        <w:pStyle w:val="ListNumber"/>
      </w:pPr>
      <w:r>
        <w:rPr>
          <w:rFonts w:ascii="Times New Roman" w:hAnsi="Times New Roman" w:cs="Times New Roman"/>
          <w:b/>
          <w:i w:val="0"/>
          <w:sz w:val="22"/>
        </w:rPr>
        <w:t>Altair Engineering</w:t>
      </w:r>
      <w:r>
        <w:rPr>
          <w:rFonts w:ascii="Times New Roman" w:hAnsi="Times New Roman" w:cs="Times New Roman"/>
          <w:b w:val="0"/>
          <w:i w:val="0"/>
          <w:sz w:val="22"/>
        </w:rPr>
        <w:t xml:space="preserve"> — a multi-product computational simulation house with structural, fluids, and HPC software; mid-cap competitor to BETA CAE / MSC.</w:t>
      </w:r>
    </w:p>
    <w:p>
      <w:pPr>
        <w:pStyle w:val="ListNumber"/>
      </w:pPr>
      <w:r>
        <w:rPr>
          <w:rFonts w:ascii="Times New Roman" w:hAnsi="Times New Roman" w:cs="Times New Roman"/>
          <w:b/>
          <w:i w:val="0"/>
          <w:sz w:val="22"/>
        </w:rPr>
        <w:t>Empyrean Technology (Shenzhen, SZ:301035), Primarius, Cellix (X-EPIC), Semitronix</w:t>
      </w:r>
      <w:r>
        <w:rPr>
          <w:rFonts w:ascii="Times New Roman" w:hAnsi="Times New Roman" w:cs="Times New Roman"/>
          <w:b w:val="0"/>
          <w:i w:val="0"/>
          <w:sz w:val="22"/>
        </w:rPr>
        <w:t xml:space="preserve"> — Chinese domestic EDA challengers, growing rapidly inside China's "self-sufficiency by 2030" mandate. Cadence's 10-K explicitly flags "a growing class of foreign competitors and open-source alternatives, that are not subject to these [U.S. export] restrictions or to develop their own solutions" (Cadence 2025 10-K, p. 16).</w:t>
      </w:r>
    </w:p>
    <w:p>
      <w:pPr>
        <w:pStyle w:val="ListNumber"/>
      </w:pPr>
      <w:r>
        <w:rPr>
          <w:rFonts w:ascii="Times New Roman" w:hAnsi="Times New Roman" w:cs="Times New Roman"/>
          <w:b/>
          <w:i w:val="0"/>
          <w:sz w:val="22"/>
        </w:rPr>
        <w:t>Open-source EDA — OpenROAD, Yosys, KiCad</w:t>
      </w:r>
      <w:r>
        <w:rPr>
          <w:rFonts w:ascii="Times New Roman" w:hAnsi="Times New Roman" w:cs="Times New Roman"/>
          <w:b w:val="0"/>
          <w:i w:val="0"/>
          <w:sz w:val="22"/>
        </w:rPr>
        <w:t xml:space="preserve"> — credible at the educational / ≤180nm level; not a leading-edge threat but a continual cost-pressure on the long-tail of the market.</w:t>
      </w:r>
    </w:p>
    <w:p>
      <w:pPr>
        <w:pStyle w:val="ListNumber"/>
      </w:pPr>
      <w:r>
        <w:rPr>
          <w:rFonts w:ascii="Times New Roman" w:hAnsi="Times New Roman" w:cs="Times New Roman"/>
          <w:b/>
          <w:i w:val="0"/>
          <w:sz w:val="22"/>
        </w:rPr>
        <w:t>Internal hyperscaler tool teams</w:t>
      </w:r>
      <w:r>
        <w:rPr>
          <w:rFonts w:ascii="Times New Roman" w:hAnsi="Times New Roman" w:cs="Times New Roman"/>
          <w:b w:val="0"/>
          <w:i w:val="0"/>
          <w:sz w:val="22"/>
        </w:rPr>
        <w:t xml:space="preserve"> — Google has historically built internal place-and-route and verification tools alongside open-source flows for TPU; long-run risk of selective insourcing at the largest customers.</w:t>
      </w:r>
    </w:p>
    <w:p>
      <w:pPr>
        <w:spacing w:before="160" w:after="60"/>
      </w:pPr>
      <w:r>
        <w:rPr>
          <w:rFonts w:ascii="Times New Roman" w:hAnsi="Times New Roman" w:cs="Times New Roman"/>
          <w:b/>
          <w:i w:val="0"/>
          <w:color w:val="C00000"/>
          <w:sz w:val="22"/>
        </w:rPr>
        <w:t>Competitive positioning</w:t>
      </w:r>
    </w:p>
    <w:p>
      <w:pPr>
        <w:spacing w:before="160" w:after="60"/>
      </w:pPr>
      <w:r>
        <w:rPr>
          <w:rFonts w:ascii="Times New Roman" w:hAnsi="Times New Roman" w:cs="Times New Roman"/>
          <w:b/>
          <w:i w:val="0"/>
          <w:color w:val="C00000"/>
          <w:sz w:val="22"/>
        </w:rPr>
        <w:t>Cadence's competitive advantages</w:t>
      </w:r>
    </w:p>
    <w:p>
      <w:pPr>
        <w:pStyle w:val="ListNumber"/>
      </w:pPr>
      <w:r>
        <w:rPr>
          <w:rFonts w:ascii="Times New Roman" w:hAnsi="Times New Roman" w:cs="Times New Roman"/>
          <w:b/>
          <w:i w:val="0"/>
          <w:sz w:val="22"/>
        </w:rPr>
        <w:t>Virtuoso analog/custom dominance</w:t>
      </w:r>
      <w:r>
        <w:rPr>
          <w:rFonts w:ascii="Times New Roman" w:hAnsi="Times New Roman" w:cs="Times New Roman"/>
          <w:b w:val="0"/>
          <w:i w:val="0"/>
          <w:sz w:val="22"/>
        </w:rPr>
        <w:t xml:space="preserve"> — single hardest moat to attack; would take a competitor 5+ years and ~USD 2B of R&amp;D to match the PDK-certified breadth.</w:t>
      </w:r>
    </w:p>
    <w:p>
      <w:pPr>
        <w:pStyle w:val="ListNumber"/>
      </w:pPr>
      <w:r>
        <w:rPr>
          <w:rFonts w:ascii="Times New Roman" w:hAnsi="Times New Roman" w:cs="Times New Roman"/>
          <w:b/>
          <w:i w:val="0"/>
          <w:sz w:val="22"/>
        </w:rPr>
        <w:t>Palladium / Protium emulation duopoly with Synopsys</w:t>
      </w:r>
      <w:r>
        <w:rPr>
          <w:rFonts w:ascii="Times New Roman" w:hAnsi="Times New Roman" w:cs="Times New Roman"/>
          <w:b w:val="0"/>
          <w:i w:val="0"/>
          <w:sz w:val="22"/>
        </w:rPr>
        <w:t xml:space="preserve"> — multi-million-dollar hardware ASPs, very high gross margins on the silicon, and switching costs measured in tens of millions of dollars of customer methodology rework.</w:t>
      </w:r>
    </w:p>
    <w:p>
      <w:pPr>
        <w:pStyle w:val="ListNumber"/>
      </w:pPr>
      <w:r>
        <w:rPr>
          <w:rFonts w:ascii="Times New Roman" w:hAnsi="Times New Roman" w:cs="Times New Roman"/>
          <w:b/>
          <w:i w:val="0"/>
          <w:sz w:val="22"/>
        </w:rPr>
        <w:t>Integrated EDA + IP + multiphysics + (post-Hexagon) structural</w:t>
      </w:r>
      <w:r>
        <w:rPr>
          <w:rFonts w:ascii="Times New Roman" w:hAnsi="Times New Roman" w:cs="Times New Roman"/>
          <w:b w:val="0"/>
          <w:i w:val="0"/>
          <w:sz w:val="22"/>
        </w:rPr>
        <w:t xml:space="preserve"> — the only Big-Three vendor not owned by a larger conglomerate, so all incentives align around the single P&amp;L.</w:t>
      </w:r>
    </w:p>
    <w:p>
      <w:pPr>
        <w:pStyle w:val="ListNumber"/>
      </w:pPr>
      <w:r>
        <w:rPr>
          <w:rFonts w:ascii="Times New Roman" w:hAnsi="Times New Roman" w:cs="Times New Roman"/>
          <w:b/>
          <w:i w:val="0"/>
          <w:sz w:val="22"/>
        </w:rPr>
        <w:t>Founder-trained CEO who can sit at the technical table</w:t>
      </w:r>
      <w:r>
        <w:rPr>
          <w:rFonts w:ascii="Times New Roman" w:hAnsi="Times New Roman" w:cs="Times New Roman"/>
          <w:b w:val="0"/>
          <w:i w:val="0"/>
          <w:sz w:val="22"/>
        </w:rPr>
        <w:t xml:space="preserve"> — non-trivial selling advantage at the CTO level of NVIDIA / Apple / hyperscalers.</w:t>
      </w:r>
    </w:p>
    <w:p>
      <w:pPr>
        <w:pStyle w:val="ListNumber"/>
      </w:pPr>
      <w:r>
        <w:rPr>
          <w:rFonts w:ascii="Times New Roman" w:hAnsi="Times New Roman" w:cs="Times New Roman"/>
          <w:b/>
          <w:i w:val="0"/>
          <w:sz w:val="22"/>
        </w:rPr>
        <w:t>Cerebrus / ChipStack / agentic AI lead</w:t>
      </w:r>
      <w:r>
        <w:rPr>
          <w:rFonts w:ascii="Times New Roman" w:hAnsi="Times New Roman" w:cs="Times New Roman"/>
          <w:b w:val="0"/>
          <w:i w:val="0"/>
          <w:sz w:val="22"/>
        </w:rPr>
        <w:t xml:space="preserve"> — first-mover in production-deployed agentic AI for chip design (Altera, NVIDIA, Qualcomm, Tenstorrent).</w:t>
      </w:r>
    </w:p>
    <w:p>
      <w:pPr>
        <w:pStyle w:val="ListNumber"/>
      </w:pPr>
      <w:r>
        <w:rPr>
          <w:rFonts w:ascii="Times New Roman" w:hAnsi="Times New Roman" w:cs="Times New Roman"/>
          <w:b/>
          <w:i w:val="0"/>
          <w:sz w:val="22"/>
        </w:rPr>
        <w:t>Ratable revenue + USD 8B backlog</w:t>
      </w:r>
      <w:r>
        <w:rPr>
          <w:rFonts w:ascii="Times New Roman" w:hAnsi="Times New Roman" w:cs="Times New Roman"/>
          <w:b w:val="0"/>
          <w:i w:val="0"/>
          <w:sz w:val="22"/>
        </w:rPr>
        <w:t xml:space="preserve"> — exceptional visibility relative to most semiconductor-capex-adjacent businesses.</w:t>
      </w:r>
    </w:p>
    <w:p>
      <w:pPr>
        <w:spacing w:before="160" w:after="60"/>
      </w:pPr>
      <w:r>
        <w:rPr>
          <w:rFonts w:ascii="Times New Roman" w:hAnsi="Times New Roman" w:cs="Times New Roman"/>
          <w:b/>
          <w:i w:val="0"/>
          <w:color w:val="C00000"/>
          <w:sz w:val="22"/>
        </w:rPr>
        <w:t>Competitive vulnerabilities</w:t>
      </w:r>
    </w:p>
    <w:p>
      <w:pPr>
        <w:pStyle w:val="ListNumber"/>
      </w:pPr>
      <w:r>
        <w:rPr>
          <w:rFonts w:ascii="Times New Roman" w:hAnsi="Times New Roman" w:cs="Times New Roman"/>
          <w:b/>
          <w:i w:val="0"/>
          <w:sz w:val="22"/>
        </w:rPr>
        <w:t>Synopsys is larger, has the Ansys multiphysics franchise, and a slightly cheaper multiple</w:t>
      </w:r>
      <w:r>
        <w:rPr>
          <w:rFonts w:ascii="Times New Roman" w:hAnsi="Times New Roman" w:cs="Times New Roman"/>
          <w:b w:val="0"/>
          <w:i w:val="0"/>
          <w:sz w:val="22"/>
        </w:rPr>
        <w:t xml:space="preserve"> — Cadence is the #2, not #1, in market share.</w:t>
      </w:r>
    </w:p>
    <w:p>
      <w:pPr>
        <w:pStyle w:val="ListNumber"/>
      </w:pPr>
      <w:r>
        <w:rPr>
          <w:rFonts w:ascii="Times New Roman" w:hAnsi="Times New Roman" w:cs="Times New Roman"/>
          <w:b/>
          <w:i w:val="0"/>
          <w:sz w:val="22"/>
        </w:rPr>
        <w:t>Multiphysics / structural integration risk</w:t>
      </w:r>
      <w:r>
        <w:rPr>
          <w:rFonts w:ascii="Times New Roman" w:hAnsi="Times New Roman" w:cs="Times New Roman"/>
          <w:b w:val="0"/>
          <w:i w:val="0"/>
          <w:sz w:val="22"/>
        </w:rPr>
        <w:t xml:space="preserve"> — BETA CAE (2024) and Hexagon D&amp;E (2026 close) are still being integrated; execution risk is significant and EPS-dilutive in FY26.</w:t>
      </w:r>
    </w:p>
    <w:p>
      <w:pPr>
        <w:pStyle w:val="ListNumber"/>
      </w:pPr>
      <w:r>
        <w:rPr>
          <w:rFonts w:ascii="Times New Roman" w:hAnsi="Times New Roman" w:cs="Times New Roman"/>
          <w:b/>
          <w:i w:val="0"/>
          <w:sz w:val="22"/>
        </w:rPr>
        <w:t>China overhang</w:t>
      </w:r>
      <w:r>
        <w:rPr>
          <w:rFonts w:ascii="Times New Roman" w:hAnsi="Times New Roman" w:cs="Times New Roman"/>
          <w:b w:val="0"/>
          <w:i w:val="0"/>
          <w:sz w:val="22"/>
        </w:rPr>
        <w:t xml:space="preserve"> — 13% of revenue is China; the volatile BIS/Entity-List regime can produce sudden multi-quarter air pockets.</w:t>
      </w:r>
    </w:p>
    <w:p>
      <w:pPr>
        <w:pStyle w:val="ListNumber"/>
      </w:pPr>
      <w:r>
        <w:rPr>
          <w:rFonts w:ascii="Times New Roman" w:hAnsi="Times New Roman" w:cs="Times New Roman"/>
          <w:b/>
          <w:i w:val="0"/>
          <w:sz w:val="22"/>
        </w:rPr>
        <w:t>Open-source + Chinese-domestic erosion</w:t>
      </w:r>
      <w:r>
        <w:rPr>
          <w:rFonts w:ascii="Times New Roman" w:hAnsi="Times New Roman" w:cs="Times New Roman"/>
          <w:b w:val="0"/>
          <w:i w:val="0"/>
          <w:sz w:val="22"/>
        </w:rPr>
        <w:t xml:space="preserve"> of long-tail and educational seats over time.</w:t>
      </w:r>
    </w:p>
    <w:p>
      <w:pPr>
        <w:pStyle w:val="ListNumber"/>
      </w:pPr>
      <w:r>
        <w:rPr>
          <w:rFonts w:ascii="Times New Roman" w:hAnsi="Times New Roman" w:cs="Times New Roman"/>
          <w:b/>
          <w:i w:val="0"/>
          <w:sz w:val="22"/>
        </w:rPr>
        <w:t>Premium valuation</w:t>
      </w:r>
      <w:r>
        <w:rPr>
          <w:rFonts w:ascii="Times New Roman" w:hAnsi="Times New Roman" w:cs="Times New Roman"/>
          <w:b w:val="0"/>
          <w:i w:val="0"/>
          <w:sz w:val="22"/>
        </w:rPr>
        <w:t xml:space="preserve"> leaves little room for execution slip; a single guide miss has historically triggered ~20% drawdowns.</w:t>
      </w:r>
    </w:p>
    <w:p>
      <w:pPr>
        <w:spacing w:before="160" w:after="60"/>
      </w:pPr>
      <w:r>
        <w:rPr>
          <w:rFonts w:ascii="Times New Roman" w:hAnsi="Times New Roman" w:cs="Times New Roman"/>
          <w:b/>
          <w:i w:val="0"/>
          <w:color w:val="C00000"/>
          <w:sz w:val="22"/>
        </w:rPr>
        <w:t>Market share trend</w:t>
      </w:r>
    </w:p>
    <w:p>
      <w:pPr>
        <w:spacing w:after="120" w:lineRule="auto" w:line="276"/>
      </w:pPr>
      <w:r>
        <w:rPr>
          <w:rFonts w:ascii="Times New Roman" w:hAnsi="Times New Roman" w:cs="Times New Roman"/>
          <w:b w:val="0"/>
          <w:i w:val="0"/>
          <w:sz w:val="22"/>
        </w:rPr>
        <w:t>Per TrendForce, Cadence's share has held roughly flat at ~30% over the last three disclosed years while Synopsys's has crept slightly higher (mid-30s pre-Ansys, ~31% reported pure EDA), and Siemens has held ~13%. The Synopsys + Ansys close in 2025 concentrated multiphysics share rather than EDA share. Cadence's BETA CAE + Hexagon D&amp;E moves should keep its multiphysics share roughly flat (Cadence + acquired bases) but cede a few points of pure-EDA share to the Synopsys + Ansys integrated buyer experience over 2–3 years.</w:t>
      </w:r>
    </w:p>
    <w:p>
      <w:pPr>
        <w:spacing w:after="120" w:lineRule="auto" w:line="276"/>
      </w:pPr>
      <w:r>
        <w:rPr>
          <w:rFonts w:ascii="Times New Roman" w:hAnsi="Times New Roman" w:cs="Times New Roman"/>
          <w:b w:val="0"/>
          <w:i w:val="0"/>
          <w:sz w:val="22"/>
        </w:rPr>
        <w:t>*Source: stockanalysis.com — CDNS Statistics; artificall.com — SNPS vs CDNS comparison, 2026; software-sector median from NYU Stern Damodaran, Jan 2026 data update.*</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4327217"/>
            <wp:docPr id="15" name="Picture 15"/>
            <wp:cNvGraphicFramePr>
              <a:graphicFrameLocks noChangeAspect="1"/>
            </wp:cNvGraphicFramePr>
            <a:graphic>
              <a:graphicData uri="http://schemas.openxmlformats.org/drawingml/2006/picture">
                <pic:pic>
                  <pic:nvPicPr>
                    <pic:cNvPr id="0" name="chart_16_competitive_landscape.png"/>
                    <pic:cNvPicPr/>
                  </pic:nvPicPr>
                  <pic:blipFill>
                    <a:blip r:embed="rId23"/>
                    <a:stretch>
                      <a:fillRect/>
                    </a:stretch>
                  </pic:blipFill>
                  <pic:spPr>
                    <a:xfrm>
                      <a:off x="0" y="0"/>
                      <a:ext cx="5943600" cy="4327217"/>
                    </a:xfrm>
                    <a:prstGeom prst="rect"/>
                  </pic:spPr>
                </pic:pic>
              </a:graphicData>
            </a:graphic>
          </wp:inline>
        </w:drawing>
      </w:r>
    </w:p>
    <w:p>
      <w:pPr>
        <w:spacing w:after="160"/>
        <w:jc w:val="center"/>
      </w:pPr>
      <w:r>
        <w:rPr>
          <w:rFonts w:ascii="Times New Roman" w:hAnsi="Times New Roman" w:cs="Times New Roman"/>
          <w:b w:val="0"/>
          <w:i/>
          <w:color w:val="595959"/>
          <w:sz w:val="18"/>
        </w:rPr>
        <w:t>Competitive landscape (technology × entrenchment)</w:t>
      </w:r>
    </w:p>
    <w:p>
      <w:pPr>
        <w:spacing w:before="120" w:after="40"/>
        <w:jc w:val="center"/>
      </w:pPr>
      <w:r>
        <w:drawing>
          <wp:inline xmlns:a="http://schemas.openxmlformats.org/drawingml/2006/main" xmlns:pic="http://schemas.openxmlformats.org/drawingml/2006/picture">
            <wp:extent cx="5943600" cy="3460486"/>
            <wp:docPr id="16" name="Picture 16"/>
            <wp:cNvGraphicFramePr>
              <a:graphicFrameLocks noChangeAspect="1"/>
            </wp:cNvGraphicFramePr>
            <a:graphic>
              <a:graphicData uri="http://schemas.openxmlformats.org/drawingml/2006/picture">
                <pic:pic>
                  <pic:nvPicPr>
                    <pic:cNvPr id="0" name="chart_18_peer_growth.png"/>
                    <pic:cNvPicPr/>
                  </pic:nvPicPr>
                  <pic:blipFill>
                    <a:blip r:embed="rId24"/>
                    <a:stretch>
                      <a:fillRect/>
                    </a:stretch>
                  </pic:blipFill>
                  <pic:spPr>
                    <a:xfrm>
                      <a:off x="0" y="0"/>
                      <a:ext cx="5943600" cy="3460486"/>
                    </a:xfrm>
                    <a:prstGeom prst="rect"/>
                  </pic:spPr>
                </pic:pic>
              </a:graphicData>
            </a:graphic>
          </wp:inline>
        </w:drawing>
      </w:r>
    </w:p>
    <w:p>
      <w:pPr>
        <w:spacing w:after="160"/>
        <w:jc w:val="center"/>
      </w:pPr>
      <w:r>
        <w:rPr>
          <w:rFonts w:ascii="Times New Roman" w:hAnsi="Times New Roman" w:cs="Times New Roman"/>
          <w:b w:val="0"/>
          <w:i/>
          <w:color w:val="595959"/>
          <w:sz w:val="18"/>
        </w:rPr>
        <w:t>NTM revenue growth vs peers</w:t>
      </w:r>
    </w:p>
    <w:p>
      <w:pPr>
        <w:spacing w:before="360" w:after="120"/>
        <w:pBdr>
          <w:bottom w:val="single" w:sz="8" w:space="1" w:color="1F4E78"/>
        </w:pBdr>
      </w:pPr>
      <w:r>
        <w:rPr>
          <w:rFonts w:ascii="Times New Roman" w:hAnsi="Times New Roman" w:cs="Times New Roman"/>
          <w:b/>
          <w:i w:val="0"/>
          <w:color w:val="1F4E78"/>
          <w:sz w:val="32"/>
        </w:rPr>
        <w:t>MARKET OPPORTUNITY (TAM)</w:t>
      </w:r>
    </w:p>
    <w:p>
      <w:pPr>
        <w:spacing w:before="160" w:after="60"/>
      </w:pPr>
      <w:r>
        <w:rPr>
          <w:rFonts w:ascii="Times New Roman" w:hAnsi="Times New Roman" w:cs="Times New Roman"/>
          <w:b/>
          <w:i w:val="0"/>
          <w:color w:val="C00000"/>
          <w:sz w:val="22"/>
        </w:rPr>
        <w:t>TAM, SAM, SOM</w:t>
      </w:r>
    </w:p>
    <w:p>
      <w:pPr>
        <w:pStyle w:val="ListBullet"/>
        <w:ind w:left="432"/>
      </w:pPr>
      <w:r>
        <w:rPr>
          <w:rFonts w:ascii="Times New Roman" w:hAnsi="Times New Roman" w:cs="Times New Roman"/>
          <w:b/>
          <w:i w:val="0"/>
          <w:sz w:val="22"/>
        </w:rPr>
        <w:t>TAM — Cadence's full addressable design-software universe.</w:t>
      </w:r>
      <w:r>
        <w:rPr>
          <w:rFonts w:ascii="Times New Roman" w:hAnsi="Times New Roman" w:cs="Times New Roman"/>
          <w:b w:val="0"/>
          <w:i w:val="0"/>
          <w:sz w:val="22"/>
        </w:rPr>
        <w:t xml:space="preserve"> EDA software + IP + simulation/CAE + PCB ≈ </w:t>
      </w:r>
      <w:r>
        <w:rPr>
          <w:rFonts w:ascii="Times New Roman" w:hAnsi="Times New Roman" w:cs="Times New Roman"/>
          <w:b/>
          <w:i w:val="0"/>
          <w:sz w:val="22"/>
        </w:rPr>
        <w:t>USD 28–35B in 2025</w:t>
      </w:r>
      <w:r>
        <w:rPr>
          <w:rFonts w:ascii="Times New Roman" w:hAnsi="Times New Roman" w:cs="Times New Roman"/>
          <w:b w:val="0"/>
          <w:i w:val="0"/>
          <w:sz w:val="22"/>
        </w:rPr>
        <w:t>, projected to ~</w:t>
      </w:r>
      <w:r>
        <w:rPr>
          <w:rFonts w:ascii="Times New Roman" w:hAnsi="Times New Roman" w:cs="Times New Roman"/>
          <w:b/>
          <w:i w:val="0"/>
          <w:sz w:val="22"/>
        </w:rPr>
        <w:t>USD 50B by 2032</w:t>
      </w:r>
      <w:r>
        <w:rPr>
          <w:rFonts w:ascii="Times New Roman" w:hAnsi="Times New Roman" w:cs="Times New Roman"/>
          <w:b w:val="0"/>
          <w:i w:val="0"/>
          <w:sz w:val="22"/>
        </w:rPr>
        <w:t xml:space="preserve"> at ~7–9% CAGR (Mordor Intelligence; Precedence Research). The Cloud-EDA sub-segment alone is projected at </w:t>
      </w:r>
      <w:r>
        <w:rPr>
          <w:rFonts w:ascii="Times New Roman" w:hAnsi="Times New Roman" w:cs="Times New Roman"/>
          <w:b/>
          <w:i w:val="0"/>
          <w:sz w:val="22"/>
        </w:rPr>
        <w:t>USD 7.5B by 2034</w:t>
      </w:r>
      <w:r>
        <w:rPr>
          <w:rFonts w:ascii="Times New Roman" w:hAnsi="Times New Roman" w:cs="Times New Roman"/>
          <w:b w:val="0"/>
          <w:i w:val="0"/>
          <w:sz w:val="22"/>
        </w:rPr>
        <w:t xml:space="preserve"> (high-teens CAGR) per Precedence Research, 2024.</w:t>
      </w:r>
    </w:p>
    <w:p>
      <w:pPr>
        <w:pStyle w:val="ListBullet"/>
        <w:ind w:left="432"/>
      </w:pPr>
      <w:r>
        <w:rPr>
          <w:rFonts w:ascii="Times New Roman" w:hAnsi="Times New Roman" w:cs="Times New Roman"/>
          <w:b/>
          <w:i w:val="0"/>
          <w:sz w:val="22"/>
        </w:rPr>
        <w:t>SAM — Cadence's currently-served market.</w:t>
      </w:r>
      <w:r>
        <w:rPr>
          <w:rFonts w:ascii="Times New Roman" w:hAnsi="Times New Roman" w:cs="Times New Roman"/>
          <w:b w:val="0"/>
          <w:i w:val="0"/>
          <w:sz w:val="22"/>
        </w:rPr>
        <w:t xml:space="preserve"> Approximately </w:t>
      </w:r>
      <w:r>
        <w:rPr>
          <w:rFonts w:ascii="Times New Roman" w:hAnsi="Times New Roman" w:cs="Times New Roman"/>
          <w:b/>
          <w:i w:val="0"/>
          <w:sz w:val="22"/>
        </w:rPr>
        <w:t>USD 26–30B</w:t>
      </w:r>
      <w:r>
        <w:rPr>
          <w:rFonts w:ascii="Times New Roman" w:hAnsi="Times New Roman" w:cs="Times New Roman"/>
          <w:b w:val="0"/>
          <w:i w:val="0"/>
          <w:sz w:val="22"/>
        </w:rPr>
        <w:t xml:space="preserve"> of the above is meaningfully reachable today (excluding the deep-legacy Ansys-anchored structural pool and the lower-end PCB market dominated by Altium). With Hexagon D&amp;E and BETA CAE, ~USD 4–5B of incremental structural / multibody dynamics TAM moved from "out of reach" to "in-scope."</w:t>
      </w:r>
    </w:p>
    <w:p>
      <w:pPr>
        <w:pStyle w:val="ListBullet"/>
        <w:ind w:left="432"/>
      </w:pPr>
      <w:r>
        <w:rPr>
          <w:rFonts w:ascii="Times New Roman" w:hAnsi="Times New Roman" w:cs="Times New Roman"/>
          <w:b/>
          <w:i w:val="0"/>
          <w:sz w:val="22"/>
        </w:rPr>
        <w:t>SOM — Cadence's current share.</w:t>
      </w:r>
      <w:r>
        <w:rPr>
          <w:rFonts w:ascii="Times New Roman" w:hAnsi="Times New Roman" w:cs="Times New Roman"/>
          <w:b w:val="0"/>
          <w:i w:val="0"/>
          <w:sz w:val="22"/>
        </w:rPr>
        <w:t xml:space="preserve"> Cadence's </w:t>
      </w:r>
      <w:r>
        <w:rPr>
          <w:rFonts w:ascii="Times New Roman" w:hAnsi="Times New Roman" w:cs="Times New Roman"/>
          <w:b/>
          <w:i w:val="0"/>
          <w:sz w:val="22"/>
        </w:rPr>
        <w:t>FY2025 revenue of USD 5.30B</w:t>
      </w:r>
      <w:r>
        <w:rPr>
          <w:rFonts w:ascii="Times New Roman" w:hAnsi="Times New Roman" w:cs="Times New Roman"/>
          <w:b w:val="0"/>
          <w:i w:val="0"/>
          <w:sz w:val="22"/>
        </w:rPr>
        <w:t xml:space="preserve"> against a ~USD 28B SAM gives </w:t>
      </w:r>
      <w:r>
        <w:rPr>
          <w:rFonts w:ascii="Times New Roman" w:hAnsi="Times New Roman" w:cs="Times New Roman"/>
          <w:b/>
          <w:i w:val="0"/>
          <w:sz w:val="22"/>
        </w:rPr>
        <w:t>~19% capture</w:t>
      </w:r>
      <w:r>
        <w:rPr>
          <w:rFonts w:ascii="Times New Roman" w:hAnsi="Times New Roman" w:cs="Times New Roman"/>
          <w:b w:val="0"/>
          <w:i w:val="0"/>
          <w:sz w:val="22"/>
        </w:rPr>
        <w:t>. Within pure-play EDA the share is closer to ~30% (matching the TrendForce reading). The structural / multibody portion is sub-5% capture today and is the principal growth-headroom story.</w:t>
      </w:r>
    </w:p>
    <w:p>
      <w:pPr>
        <w:spacing w:before="160" w:after="60"/>
      </w:pPr>
      <w:r>
        <w:rPr>
          <w:rFonts w:ascii="Times New Roman" w:hAnsi="Times New Roman" w:cs="Times New Roman"/>
          <w:b/>
          <w:i w:val="0"/>
          <w:color w:val="C00000"/>
          <w:sz w:val="22"/>
        </w:rPr>
        <w:t>Market growth projections</w:t>
      </w:r>
    </w:p>
    <w:p>
      <w:pPr>
        <w:pStyle w:val="ListBullet"/>
        <w:ind w:left="432"/>
      </w:pPr>
      <w:r>
        <w:rPr>
          <w:rFonts w:ascii="Times New Roman" w:hAnsi="Times New Roman" w:cs="Times New Roman"/>
          <w:b/>
          <w:i w:val="0"/>
          <w:sz w:val="22"/>
        </w:rPr>
        <w:t>EDA core</w:t>
      </w:r>
      <w:r>
        <w:rPr>
          <w:rFonts w:ascii="Times New Roman" w:hAnsi="Times New Roman" w:cs="Times New Roman"/>
          <w:b w:val="0"/>
          <w:i w:val="0"/>
          <w:sz w:val="22"/>
        </w:rPr>
        <w:t>: ~8% CAGR through 2030 (industry consensus).</w:t>
      </w:r>
    </w:p>
    <w:p>
      <w:pPr>
        <w:pStyle w:val="ListBullet"/>
        <w:ind w:left="432"/>
      </w:pPr>
      <w:r>
        <w:rPr>
          <w:rFonts w:ascii="Times New Roman" w:hAnsi="Times New Roman" w:cs="Times New Roman"/>
          <w:b/>
          <w:i w:val="0"/>
          <w:sz w:val="22"/>
        </w:rPr>
        <w:t>Cloud-EDA</w:t>
      </w:r>
      <w:r>
        <w:rPr>
          <w:rFonts w:ascii="Times New Roman" w:hAnsi="Times New Roman" w:cs="Times New Roman"/>
          <w:b w:val="0"/>
          <w:i w:val="0"/>
          <w:sz w:val="22"/>
        </w:rPr>
        <w:t>: ~17% CAGR through 2034 (Precedence Research).</w:t>
      </w:r>
    </w:p>
    <w:p>
      <w:pPr>
        <w:pStyle w:val="ListBullet"/>
        <w:ind w:left="432"/>
      </w:pPr>
      <w:r>
        <w:rPr>
          <w:rFonts w:ascii="Times New Roman" w:hAnsi="Times New Roman" w:cs="Times New Roman"/>
          <w:b/>
          <w:i w:val="0"/>
          <w:sz w:val="22"/>
        </w:rPr>
        <w:t>AI-enabled EDA premiums</w:t>
      </w:r>
      <w:r>
        <w:rPr>
          <w:rFonts w:ascii="Times New Roman" w:hAnsi="Times New Roman" w:cs="Times New Roman"/>
          <w:b w:val="0"/>
          <w:i w:val="0"/>
          <w:sz w:val="22"/>
        </w:rPr>
        <w:t xml:space="preserve"> (Cerebrus / ChipStack / DSO.ai class): Cadence and Synopsys both expect this to be the fastest-growing sub-segment for the next 3–5 years, with management commentary implying ~25–40% CAGR for the AI overlay through 2028.</w:t>
      </w:r>
    </w:p>
    <w:p>
      <w:pPr>
        <w:pStyle w:val="ListBullet"/>
        <w:ind w:left="432"/>
      </w:pPr>
      <w:r>
        <w:rPr>
          <w:rFonts w:ascii="Times New Roman" w:hAnsi="Times New Roman" w:cs="Times New Roman"/>
          <w:b/>
          <w:i w:val="0"/>
          <w:sz w:val="22"/>
        </w:rPr>
        <w:t>System simulation + multiphysics</w:t>
      </w:r>
      <w:r>
        <w:rPr>
          <w:rFonts w:ascii="Times New Roman" w:hAnsi="Times New Roman" w:cs="Times New Roman"/>
          <w:b w:val="0"/>
          <w:i w:val="0"/>
          <w:sz w:val="22"/>
        </w:rPr>
        <w:t>: ~7% CAGR; structural/CAE in the ~5% range.</w:t>
      </w:r>
    </w:p>
    <w:p>
      <w:pPr>
        <w:pStyle w:val="ListBullet"/>
        <w:ind w:left="432"/>
      </w:pPr>
      <w:r>
        <w:rPr>
          <w:rFonts w:ascii="Times New Roman" w:hAnsi="Times New Roman" w:cs="Times New Roman"/>
          <w:b/>
          <w:i w:val="0"/>
          <w:sz w:val="22"/>
        </w:rPr>
        <w:t>Physical AI</w:t>
      </w:r>
      <w:r>
        <w:rPr>
          <w:rFonts w:ascii="Times New Roman" w:hAnsi="Times New Roman" w:cs="Times New Roman"/>
          <w:b w:val="0"/>
          <w:i w:val="0"/>
          <w:sz w:val="22"/>
        </w:rPr>
        <w:t xml:space="preserve"> (autonomous, humanoid robotics, drones, EV simulation): TAM in the </w:t>
      </w:r>
      <w:r>
        <w:rPr>
          <w:rFonts w:ascii="Times New Roman" w:hAnsi="Times New Roman" w:cs="Times New Roman"/>
          <w:b/>
          <w:i w:val="0"/>
          <w:sz w:val="22"/>
        </w:rPr>
        <w:t>USD 6–10B by 2030</w:t>
      </w:r>
      <w:r>
        <w:rPr>
          <w:rFonts w:ascii="Times New Roman" w:hAnsi="Times New Roman" w:cs="Times New Roman"/>
          <w:b w:val="0"/>
          <w:i w:val="0"/>
          <w:sz w:val="22"/>
        </w:rPr>
        <w:t xml:space="preserve"> range, today nascent but with rapid CAGR.</w:t>
      </w:r>
    </w:p>
    <w:p>
      <w:pPr>
        <w:spacing w:after="120" w:lineRule="auto" w:line="276"/>
      </w:pPr>
      <w:r>
        <w:rPr>
          <w:rFonts w:ascii="Times New Roman" w:hAnsi="Times New Roman" w:cs="Times New Roman"/>
          <w:b w:val="0"/>
          <w:i w:val="0"/>
          <w:sz w:val="22"/>
        </w:rPr>
        <w:t xml:space="preserve">Bottom-up Cadence-specific growth math: ~14% revenue CAGR FY21–FY25 → consensus expects ~14–17% through FY26 (FY26 guide implies 17% at the midpoint, of which ~3 points is the Hexagon contribution), then ~12–14% organic through FY28 — a credible bridge to </w:t>
      </w:r>
      <w:r>
        <w:rPr>
          <w:rFonts w:ascii="Times New Roman" w:hAnsi="Times New Roman" w:cs="Times New Roman"/>
          <w:b/>
          <w:i w:val="0"/>
          <w:sz w:val="22"/>
        </w:rPr>
        <w:t>USD 9–10B of revenue by FY2030</w:t>
      </w:r>
      <w:r>
        <w:rPr>
          <w:rFonts w:ascii="Times New Roman" w:hAnsi="Times New Roman" w:cs="Times New Roman"/>
          <w:b w:val="0"/>
          <w:i w:val="0"/>
          <w:sz w:val="22"/>
        </w:rPr>
        <w:t xml:space="preserve"> assuming no major recession or China step-down.</w:t>
      </w:r>
    </w:p>
    <w:p>
      <w:pPr>
        <w:spacing w:before="160" w:after="60"/>
      </w:pPr>
      <w:r>
        <w:rPr>
          <w:rFonts w:ascii="Times New Roman" w:hAnsi="Times New Roman" w:cs="Times New Roman"/>
          <w:b/>
          <w:i w:val="0"/>
          <w:color w:val="C00000"/>
          <w:sz w:val="22"/>
        </w:rPr>
        <w:t>Cadence's serviceable market and share opportunity</w:t>
      </w:r>
    </w:p>
    <w:p>
      <w:pPr>
        <w:pStyle w:val="ListBullet"/>
        <w:ind w:left="432"/>
      </w:pPr>
      <w:r>
        <w:rPr>
          <w:rFonts w:ascii="Times New Roman" w:hAnsi="Times New Roman" w:cs="Times New Roman"/>
          <w:b w:val="0"/>
          <w:i w:val="0"/>
          <w:sz w:val="22"/>
        </w:rPr>
        <w:t xml:space="preserve">Capture an incremental 2–3 points of EDA share from Synopsys / Siemens → </w:t>
      </w:r>
      <w:r>
        <w:rPr>
          <w:rFonts w:ascii="Times New Roman" w:hAnsi="Times New Roman" w:cs="Times New Roman"/>
          <w:b/>
          <w:i w:val="0"/>
          <w:sz w:val="22"/>
        </w:rPr>
        <w:t>~USD 0.5–0.8B incremental revenue</w:t>
      </w:r>
      <w:r>
        <w:rPr>
          <w:rFonts w:ascii="Times New Roman" w:hAnsi="Times New Roman" w:cs="Times New Roman"/>
          <w:b w:val="0"/>
          <w:i w:val="0"/>
          <w:sz w:val="22"/>
        </w:rPr>
        <w:t xml:space="preserve"> at maturity.</w:t>
      </w:r>
    </w:p>
    <w:p>
      <w:pPr>
        <w:pStyle w:val="ListBullet"/>
        <w:ind w:left="432"/>
      </w:pPr>
      <w:r>
        <w:rPr>
          <w:rFonts w:ascii="Times New Roman" w:hAnsi="Times New Roman" w:cs="Times New Roman"/>
          <w:b w:val="0"/>
          <w:i w:val="0"/>
          <w:sz w:val="22"/>
        </w:rPr>
        <w:t xml:space="preserve">Capture 10–15 points of multiphysics + structural share from Ansys / Altair via BETA CAE + Hexagon D&amp;E → </w:t>
      </w:r>
      <w:r>
        <w:rPr>
          <w:rFonts w:ascii="Times New Roman" w:hAnsi="Times New Roman" w:cs="Times New Roman"/>
          <w:b/>
          <w:i w:val="0"/>
          <w:sz w:val="22"/>
        </w:rPr>
        <w:t>~USD 1.5–2B incremental revenue</w:t>
      </w:r>
      <w:r>
        <w:rPr>
          <w:rFonts w:ascii="Times New Roman" w:hAnsi="Times New Roman" w:cs="Times New Roman"/>
          <w:b w:val="0"/>
          <w:i w:val="0"/>
          <w:sz w:val="22"/>
        </w:rPr>
        <w:t xml:space="preserve"> by 2030.</w:t>
      </w:r>
    </w:p>
    <w:p>
      <w:pPr>
        <w:pStyle w:val="ListBullet"/>
        <w:ind w:left="432"/>
      </w:pPr>
      <w:r>
        <w:rPr>
          <w:rFonts w:ascii="Times New Roman" w:hAnsi="Times New Roman" w:cs="Times New Roman"/>
          <w:b w:val="0"/>
          <w:i w:val="0"/>
          <w:sz w:val="22"/>
        </w:rPr>
        <w:t xml:space="preserve">Capture ~30% of the AI-design overlay (Cerebrus / ChipStack / ViraStack / InnoStack premium) → </w:t>
      </w:r>
      <w:r>
        <w:rPr>
          <w:rFonts w:ascii="Times New Roman" w:hAnsi="Times New Roman" w:cs="Times New Roman"/>
          <w:b/>
          <w:i w:val="0"/>
          <w:sz w:val="22"/>
        </w:rPr>
        <w:t>~USD 1–2B by 2030</w:t>
      </w:r>
      <w:r>
        <w:rPr>
          <w:rFonts w:ascii="Times New Roman" w:hAnsi="Times New Roman" w:cs="Times New Roman"/>
          <w:b w:val="0"/>
          <w:i w:val="0"/>
          <w:sz w:val="22"/>
        </w:rPr>
        <w:t xml:space="preserve"> if the productivity claims hold up.</w:t>
      </w:r>
    </w:p>
    <w:p>
      <w:pPr>
        <w:pStyle w:val="ListBullet"/>
        <w:ind w:left="432"/>
      </w:pPr>
      <w:r>
        <w:rPr>
          <w:rFonts w:ascii="Times New Roman" w:hAnsi="Times New Roman" w:cs="Times New Roman"/>
          <w:b w:val="0"/>
          <w:i w:val="0"/>
          <w:sz w:val="22"/>
        </w:rPr>
        <w:t xml:space="preserve">Cloud-EDA OnCloud uptake → </w:t>
      </w:r>
      <w:r>
        <w:rPr>
          <w:rFonts w:ascii="Times New Roman" w:hAnsi="Times New Roman" w:cs="Times New Roman"/>
          <w:b/>
          <w:i w:val="0"/>
          <w:sz w:val="22"/>
        </w:rPr>
        <w:t>~USD 0.5B incremental</w:t>
      </w:r>
      <w:r>
        <w:rPr>
          <w:rFonts w:ascii="Times New Roman" w:hAnsi="Times New Roman" w:cs="Times New Roman"/>
          <w:b w:val="0"/>
          <w:i w:val="0"/>
          <w:sz w:val="22"/>
        </w:rPr>
        <w:t xml:space="preserve"> by 2028.</w:t>
      </w:r>
    </w:p>
    <w:p>
      <w:pPr>
        <w:spacing w:after="120" w:lineRule="auto" w:line="276"/>
      </w:pPr>
      <w:r>
        <w:rPr>
          <w:rFonts w:ascii="Times New Roman" w:hAnsi="Times New Roman" w:cs="Times New Roman"/>
          <w:b w:val="0"/>
          <w:i w:val="0"/>
          <w:sz w:val="22"/>
        </w:rPr>
        <w:t>Summed at the midpoint: ~</w:t>
      </w:r>
      <w:r>
        <w:rPr>
          <w:rFonts w:ascii="Times New Roman" w:hAnsi="Times New Roman" w:cs="Times New Roman"/>
          <w:b/>
          <w:i w:val="0"/>
          <w:sz w:val="22"/>
        </w:rPr>
        <w:t>USD 3.5–5B of incremental revenue opportunity over five years</w:t>
      </w:r>
      <w:r>
        <w:rPr>
          <w:rFonts w:ascii="Times New Roman" w:hAnsi="Times New Roman" w:cs="Times New Roman"/>
          <w:b w:val="0"/>
          <w:i w:val="0"/>
          <w:sz w:val="22"/>
        </w:rPr>
        <w:t>, supporting a base case of ~14% CAGR (which is what consensus already prices).</w:t>
      </w:r>
    </w:p>
    <w:p>
      <w:pPr>
        <w:spacing w:before="160" w:after="60"/>
      </w:pPr>
      <w:r>
        <w:rPr>
          <w:rFonts w:ascii="Times New Roman" w:hAnsi="Times New Roman" w:cs="Times New Roman"/>
          <w:b/>
          <w:i w:val="0"/>
          <w:color w:val="C00000"/>
          <w:sz w:val="22"/>
        </w:rPr>
        <w:t>Penetration strategy</w:t>
      </w:r>
    </w:p>
    <w:p>
      <w:pPr>
        <w:pStyle w:val="ListNumber"/>
      </w:pPr>
      <w:r>
        <w:rPr>
          <w:rFonts w:ascii="Times New Roman" w:hAnsi="Times New Roman" w:cs="Times New Roman"/>
          <w:b/>
          <w:i w:val="0"/>
          <w:sz w:val="22"/>
        </w:rPr>
        <w:t>AI super-agent upsell</w:t>
      </w:r>
      <w:r>
        <w:rPr>
          <w:rFonts w:ascii="Times New Roman" w:hAnsi="Times New Roman" w:cs="Times New Roman"/>
          <w:b w:val="0"/>
          <w:i w:val="0"/>
          <w:sz w:val="22"/>
        </w:rPr>
        <w:t xml:space="preserve"> to the existing top-300 customer base (~10–30% premium on the base seat).</w:t>
      </w:r>
    </w:p>
    <w:p>
      <w:pPr>
        <w:pStyle w:val="ListNumber"/>
      </w:pPr>
      <w:r>
        <w:rPr>
          <w:rFonts w:ascii="Times New Roman" w:hAnsi="Times New Roman" w:cs="Times New Roman"/>
          <w:b/>
          <w:i w:val="0"/>
          <w:sz w:val="22"/>
        </w:rPr>
        <w:t>Hexagon/MSC cross-sell</w:t>
      </w:r>
      <w:r>
        <w:rPr>
          <w:rFonts w:ascii="Times New Roman" w:hAnsi="Times New Roman" w:cs="Times New Roman"/>
          <w:b w:val="0"/>
          <w:i w:val="0"/>
          <w:sz w:val="22"/>
        </w:rPr>
        <w:t xml:space="preserve"> to Cadence's automotive, aerospace, and defense accounts (the named acquisition rationale).</w:t>
      </w:r>
    </w:p>
    <w:p>
      <w:pPr>
        <w:pStyle w:val="ListNumber"/>
      </w:pPr>
      <w:r>
        <w:rPr>
          <w:rFonts w:ascii="Times New Roman" w:hAnsi="Times New Roman" w:cs="Times New Roman"/>
          <w:b/>
          <w:i w:val="0"/>
          <w:sz w:val="22"/>
        </w:rPr>
        <w:t>Cloud OnCloud</w:t>
      </w:r>
      <w:r>
        <w:rPr>
          <w:rFonts w:ascii="Times New Roman" w:hAnsi="Times New Roman" w:cs="Times New Roman"/>
          <w:b w:val="0"/>
          <w:i w:val="0"/>
          <w:sz w:val="22"/>
        </w:rPr>
        <w:t xml:space="preserve"> for mid-tier customers who can't afford on-prem Palladium racks but want intermittent emulation capacity.</w:t>
      </w:r>
    </w:p>
    <w:p>
      <w:pPr>
        <w:pStyle w:val="ListNumber"/>
      </w:pPr>
      <w:r>
        <w:rPr>
          <w:rFonts w:ascii="Times New Roman" w:hAnsi="Times New Roman" w:cs="Times New Roman"/>
          <w:b/>
          <w:i w:val="0"/>
          <w:sz w:val="22"/>
        </w:rPr>
        <w:t>China-pragmatic</w:t>
      </w:r>
      <w:r>
        <w:rPr>
          <w:rFonts w:ascii="Times New Roman" w:hAnsi="Times New Roman" w:cs="Times New Roman"/>
          <w:b w:val="0"/>
          <w:i w:val="0"/>
          <w:sz w:val="22"/>
        </w:rPr>
        <w:t xml:space="preserve"> — maintain commercial flows where legally permissible; the FY25 China growth print of +19% YoY shows the franchise has weathered the BIS volatility.</w:t>
      </w:r>
    </w:p>
    <w:p>
      <w:pPr>
        <w:pStyle w:val="ListNumber"/>
      </w:pPr>
      <w:r>
        <w:rPr>
          <w:rFonts w:ascii="Times New Roman" w:hAnsi="Times New Roman" w:cs="Times New Roman"/>
          <w:b/>
          <w:i w:val="0"/>
          <w:sz w:val="22"/>
        </w:rPr>
        <w:t>Vertical-specific physical-AI offerings</w:t>
      </w:r>
      <w:r>
        <w:rPr>
          <w:rFonts w:ascii="Times New Roman" w:hAnsi="Times New Roman" w:cs="Times New Roman"/>
          <w:b w:val="0"/>
          <w:i w:val="0"/>
          <w:sz w:val="22"/>
        </w:rPr>
        <w:t xml:space="preserve"> — autonomous-vehicle digital twins, humanoid-robotics dynamics simulation — leveraging Reality Digital Twin and Adams.</w:t>
      </w:r>
    </w:p>
    <w:p>
      <w:pPr>
        <w:spacing w:before="160" w:after="60"/>
      </w:pPr>
      <w:r>
        <w:rPr>
          <w:rFonts w:ascii="Times New Roman" w:hAnsi="Times New Roman" w:cs="Times New Roman"/>
          <w:b/>
          <w:i w:val="0"/>
          <w:color w:val="C00000"/>
          <w:sz w:val="22"/>
        </w:rPr>
        <w:t>Penetration risk</w:t>
      </w:r>
    </w:p>
    <w:p>
      <w:pPr>
        <w:spacing w:after="120" w:lineRule="auto" w:line="276"/>
      </w:pPr>
      <w:r>
        <w:rPr>
          <w:rFonts w:ascii="Times New Roman" w:hAnsi="Times New Roman" w:cs="Times New Roman"/>
          <w:b w:val="0"/>
          <w:i w:val="0"/>
          <w:sz w:val="22"/>
        </w:rPr>
        <w:t>The premium multiple already prices a substantial portion of this opportunity. Execution slips, regulatory shocks, or competitive surprises (e.g., a Synopsys-Ansys integration that lands faster than expected) could compress the multiple by 30–40% without changing the underlying business. See Section 9.</w:t>
      </w:r>
    </w:p>
    <w:p>
      <w:pPr>
        <w:spacing w:after="120" w:lineRule="auto" w:line="276"/>
      </w:pPr>
      <w:r>
        <w:rPr>
          <w:rFonts w:ascii="Times New Roman" w:hAnsi="Times New Roman" w:cs="Times New Roman"/>
          <w:b w:val="0"/>
          <w:i w:val="0"/>
          <w:sz w:val="22"/>
        </w:rPr>
        <w:t>*Source: Cadence quarterly press releases — Q1 2024 through Q1 2026.*</w:t>
      </w:r>
    </w:p>
    <w:p>
      <w:pPr>
        <w:spacing w:after="120" w:lineRule="auto" w:line="276"/>
      </w:pPr>
      <w:r>
        <w:rPr>
          <w:rFonts w:ascii="Times New Roman" w:hAnsi="Times New Roman" w:cs="Times New Roman"/>
          <w:b w:val="0"/>
          <w:i w:val="0"/>
          <w:sz w:val="22"/>
        </w:rPr>
        <w:t>---</w:t>
      </w:r>
    </w:p>
    <w:p>
      <w:r>
        <w:br w:type="page"/>
      </w:r>
    </w:p>
    <w:p>
      <w:pPr>
        <w:spacing w:before="360" w:after="120"/>
        <w:pBdr>
          <w:bottom w:val="single" w:sz="8" w:space="1" w:color="1F4E78"/>
        </w:pBdr>
      </w:pPr>
      <w:r>
        <w:rPr>
          <w:rFonts w:ascii="Times New Roman" w:hAnsi="Times New Roman" w:cs="Times New Roman"/>
          <w:b/>
          <w:i w:val="0"/>
          <w:color w:val="1F4E78"/>
          <w:sz w:val="32"/>
        </w:rPr>
        <w:t>RISK ASSESSMENT</w:t>
      </w:r>
    </w:p>
    <w:p>
      <w:pPr>
        <w:spacing w:before="160" w:after="60"/>
      </w:pPr>
      <w:r>
        <w:rPr>
          <w:rFonts w:ascii="Times New Roman" w:hAnsi="Times New Roman" w:cs="Times New Roman"/>
          <w:b/>
          <w:i w:val="0"/>
          <w:color w:val="C00000"/>
          <w:sz w:val="22"/>
        </w:rPr>
        <w:t>Company-Specific Risks</w:t>
      </w:r>
    </w:p>
    <w:p>
      <w:pPr>
        <w:spacing w:after="120" w:lineRule="auto" w:line="276"/>
      </w:pPr>
      <w:r>
        <w:rPr>
          <w:rFonts w:ascii="Times New Roman" w:hAnsi="Times New Roman" w:cs="Times New Roman"/>
          <w:b/>
          <w:i w:val="0"/>
          <w:sz w:val="22"/>
        </w:rPr>
        <w:t>1. Execution / integration risk on Hexagon D&amp;E + BETA CAE (HIGH).</w:t>
      </w:r>
      <w:r>
        <w:rPr>
          <w:rFonts w:ascii="Times New Roman" w:hAnsi="Times New Roman" w:cs="Times New Roman"/>
          <w:b w:val="0"/>
          <w:i w:val="0"/>
          <w:sz w:val="22"/>
        </w:rPr>
        <w:t xml:space="preserve"> Cadence closed Hexagon D&amp;E (€2.7B, ~1,100 employees) on 2026-02-23 — its largest acquisition ever, layered onto BETA CAE (2024) that is still being integrated. Hexagon adds ~USD 280M of revenue but is expected to be ~$0.28 non-GAAP EPS dilutive in FY26 (Cadence Hexagon close press release, 2026-02-23). Cross-selling MSC Nastran / Adams into Cadence's automotive and aerospace accounts is the explicit synergy thesis; if it lags, the FY27 accretion ramp slips. Mitigant: Cadence has an above-average M&amp;A track record (Denali, Tensilica, Verisity, Pointwise have all paid back), and SD&amp;A is a known motion for the team.</w:t>
      </w:r>
    </w:p>
    <w:p>
      <w:pPr>
        <w:spacing w:after="120" w:lineRule="auto" w:line="276"/>
      </w:pPr>
      <w:r>
        <w:rPr>
          <w:rFonts w:ascii="Times New Roman" w:hAnsi="Times New Roman" w:cs="Times New Roman"/>
          <w:b/>
          <w:i w:val="0"/>
          <w:sz w:val="22"/>
        </w:rPr>
        <w:t>2. Export-control / BIS-DOJ probation overhang (MATERIAL).</w:t>
      </w:r>
      <w:r>
        <w:rPr>
          <w:rFonts w:ascii="Times New Roman" w:hAnsi="Times New Roman" w:cs="Times New Roman"/>
          <w:b w:val="0"/>
          <w:i w:val="0"/>
          <w:sz w:val="22"/>
        </w:rPr>
        <w:t xml:space="preserve"> The 2025-07-27 settlement included a three-year DOJ probationary term, two annual BIS audits, and compliance as a condition of continued export rights. Any second-strike export violation during probation could trigger materially more severe penalties or loss of export privileges. The original conduct (2015–2021) involved USD 45.3M of unauthorized China sales; the </w:t>
      </w:r>
      <w:r>
        <w:rPr>
          <w:rFonts w:ascii="Times New Roman" w:hAnsi="Times New Roman" w:cs="Times New Roman"/>
          <w:b/>
          <w:i w:val="0"/>
          <w:sz w:val="22"/>
        </w:rPr>
        <w:t>USD 140.6M of net penalties Cadence paid in FY25</w:t>
      </w:r>
      <w:r>
        <w:rPr>
          <w:rFonts w:ascii="Times New Roman" w:hAnsi="Times New Roman" w:cs="Times New Roman"/>
          <w:b w:val="0"/>
          <w:i w:val="0"/>
          <w:sz w:val="22"/>
        </w:rPr>
        <w:t xml:space="preserve"> confirms BIS willingness to apply 3x+ disgorgement multiples (Cadence 2025 10-K, Note 18). Mitigant: ongoing compliance enhancements, new General Counsel Marc Taxay (Arista Networks alum) appointed May 2025 partly to professionalize the export function.</w:t>
      </w:r>
    </w:p>
    <w:p>
      <w:pPr>
        <w:spacing w:after="120" w:lineRule="auto" w:line="276"/>
      </w:pPr>
      <w:r>
        <w:rPr>
          <w:rFonts w:ascii="Times New Roman" w:hAnsi="Times New Roman" w:cs="Times New Roman"/>
          <w:b/>
          <w:i w:val="0"/>
          <w:sz w:val="22"/>
        </w:rPr>
        <w:t>3. Customer concentration — currently low, but customer consolidation is the risk vector (LOW today; rising trajectory).</w:t>
      </w:r>
      <w:r>
        <w:rPr>
          <w:rFonts w:ascii="Times New Roman" w:hAnsi="Times New Roman" w:cs="Times New Roman"/>
          <w:b w:val="0"/>
          <w:i w:val="0"/>
          <w:sz w:val="22"/>
        </w:rPr>
        <w:t xml:space="preserve"> No single customer accounted for ≥10% of FY2025 revenue (Cadence 2025 10-K, MD&amp;A). However, the 10-K explicitly flags semiconductor-industry consolidation as a structural risk: "If this trend continues, it could make us more dependent on fewer customers who may be able to exert increased bargaining power in negotiations with us and could increase the portion of our total sales concentration for any single customer." Hyperscaler insourcing of silicon design has reduced the number of independent buyer entities at the high end of the market — a slow-moving but real exposure.</w:t>
      </w:r>
    </w:p>
    <w:p>
      <w:pPr>
        <w:spacing w:after="120" w:lineRule="auto" w:line="276"/>
      </w:pPr>
      <w:r>
        <w:rPr>
          <w:rFonts w:ascii="Times New Roman" w:hAnsi="Times New Roman" w:cs="Times New Roman"/>
          <w:b/>
          <w:i w:val="0"/>
          <w:sz w:val="22"/>
        </w:rPr>
        <w:t>4. Key-person dependency on Anirudh Devgan (MODERATE).</w:t>
      </w:r>
      <w:r>
        <w:rPr>
          <w:rFonts w:ascii="Times New Roman" w:hAnsi="Times New Roman" w:cs="Times New Roman"/>
          <w:b w:val="0"/>
          <w:i w:val="0"/>
          <w:sz w:val="22"/>
        </w:rPr>
        <w:t xml:space="preserve"> The "Devgan-as-EDA-scientist-CEO" thesis is non-trivial to the franchise's premium multiple and to the Cerebrus/ChipStack technical-credibility narrative. Loss of Devgan (illness, retirement, departure to Lam Research where he was just named director, etc.) would create real disruption. Mitigant: deep technical bench — Chin-Chi Teng (digital), Paul Cunningham (verification), Tom Beckley (until recently — analog) are credible successors; founder Sangiovanni-Vincentelli still on the board.</w:t>
      </w:r>
    </w:p>
    <w:p>
      <w:pPr>
        <w:spacing w:after="120" w:lineRule="auto" w:line="276"/>
      </w:pPr>
      <w:r>
        <w:rPr>
          <w:rFonts w:ascii="Times New Roman" w:hAnsi="Times New Roman" w:cs="Times New Roman"/>
          <w:b/>
          <w:i w:val="0"/>
          <w:sz w:val="22"/>
        </w:rPr>
        <w:t>5. AI super-agent product risk (MODERATE).</w:t>
      </w:r>
      <w:r>
        <w:rPr>
          <w:rFonts w:ascii="Times New Roman" w:hAnsi="Times New Roman" w:cs="Times New Roman"/>
          <w:b w:val="0"/>
          <w:i w:val="0"/>
          <w:sz w:val="22"/>
        </w:rPr>
        <w:t xml:space="preserve"> ChipStack / ViraStack / InnoStack are early commercial deployments with strong reference customers (Altera, NVIDIA, Qualcomm, Tenstorrent) but no third-party benchmark of the 10× productivity claim and no separately reported revenue line yet. If Synopsys catches up rapidly (DSO.ai is well-established) and customers commoditize the upsell premium, the implicit "AI-overlay TAM" in the consensus model erodes. Mitigant: foundational EDA tool moats persist regardless of the AI layer.</w:t>
      </w:r>
    </w:p>
    <w:p>
      <w:pPr>
        <w:spacing w:after="120" w:lineRule="auto" w:line="276"/>
      </w:pPr>
      <w:r>
        <w:rPr>
          <w:rFonts w:ascii="Times New Roman" w:hAnsi="Times New Roman" w:cs="Times New Roman"/>
          <w:b/>
          <w:i w:val="0"/>
          <w:sz w:val="22"/>
        </w:rPr>
        <w:t>6. Single-segment reporting / cyclical-end-market exposure (LOW–MODERATE).</w:t>
      </w:r>
      <w:r>
        <w:rPr>
          <w:rFonts w:ascii="Times New Roman" w:hAnsi="Times New Roman" w:cs="Times New Roman"/>
          <w:b w:val="0"/>
          <w:i w:val="0"/>
          <w:sz w:val="22"/>
        </w:rPr>
        <w:t xml:space="preserve"> Cadence reports as a single segment; cyclical strength in AI training silicon disguises softer mobile and consumer end markets. If AI hyperscaler capex normalizes faster than expected (e.g., a 2026–2027 digestion period), Cadence's growth could decelerate to high-single-digits rather than mid-teens.</w:t>
      </w:r>
    </w:p>
    <w:p>
      <w:pPr>
        <w:spacing w:before="160" w:after="60"/>
      </w:pPr>
      <w:r>
        <w:rPr>
          <w:rFonts w:ascii="Times New Roman" w:hAnsi="Times New Roman" w:cs="Times New Roman"/>
          <w:b/>
          <w:i w:val="0"/>
          <w:color w:val="C00000"/>
          <w:sz w:val="22"/>
        </w:rPr>
        <w:t>Industry / Market Risks</w:t>
      </w:r>
    </w:p>
    <w:p>
      <w:pPr>
        <w:spacing w:after="120" w:lineRule="auto" w:line="276"/>
      </w:pPr>
      <w:r>
        <w:rPr>
          <w:rFonts w:ascii="Times New Roman" w:hAnsi="Times New Roman" w:cs="Times New Roman"/>
          <w:b/>
          <w:i w:val="0"/>
          <w:sz w:val="22"/>
        </w:rPr>
        <w:t>7. Synopsys-Ansys integration competitive pressure (MATERIAL).</w:t>
      </w:r>
      <w:r>
        <w:rPr>
          <w:rFonts w:ascii="Times New Roman" w:hAnsi="Times New Roman" w:cs="Times New Roman"/>
          <w:b w:val="0"/>
          <w:i w:val="0"/>
          <w:sz w:val="22"/>
        </w:rPr>
        <w:t xml:space="preserve"> The 2025 close of the Synopsys-Ansys merger gave Synopsys the structural-simulation franchise Cadence lacks organically, and arguably moves the multiphysics center of gravity to Synopsys before Cadence's BETA CAE + Hexagon D&amp;E moves can compose. Risk: Synopsys wins the integrated EDA + multiphysics RFPs at large customers and Cadence has to defend price.</w:t>
      </w:r>
    </w:p>
    <w:p>
      <w:pPr>
        <w:spacing w:after="120" w:lineRule="auto" w:line="276"/>
      </w:pPr>
      <w:r>
        <w:rPr>
          <w:rFonts w:ascii="Times New Roman" w:hAnsi="Times New Roman" w:cs="Times New Roman"/>
          <w:b/>
          <w:i w:val="0"/>
          <w:sz w:val="22"/>
        </w:rPr>
        <w:t>8. Technology disruption from open-source / Chinese-domestic EDA (LOW today; rising 2028+).</w:t>
      </w:r>
      <w:r>
        <w:rPr>
          <w:rFonts w:ascii="Times New Roman" w:hAnsi="Times New Roman" w:cs="Times New Roman"/>
          <w:b w:val="0"/>
          <w:i w:val="0"/>
          <w:sz w:val="22"/>
        </w:rPr>
        <w:t xml:space="preserve"> OpenROAD / Yosys are credible at educational scale; Chinese state-backed Empyrean / X-EPIC / Primarius / Semitronix are improving and benefit from a captive ~USD 2–3B Chinese-domestic budget. The 10-K explicitly flags "open source alternatives" alongside Chinese competitors as long-run threats (Cadence 2025 10-K, p. 16). Mitigant: leading-edge sign-off is still impossibly hard for open-source flows.</w:t>
      </w:r>
    </w:p>
    <w:p>
      <w:pPr>
        <w:spacing w:after="120" w:lineRule="auto" w:line="276"/>
      </w:pPr>
      <w:r>
        <w:rPr>
          <w:rFonts w:ascii="Times New Roman" w:hAnsi="Times New Roman" w:cs="Times New Roman"/>
          <w:b/>
          <w:i w:val="0"/>
          <w:sz w:val="22"/>
        </w:rPr>
        <w:t>9. Regulatory — U.S. export controls + EU AI Act (MATERIAL ongoing).</w:t>
      </w:r>
      <w:r>
        <w:rPr>
          <w:rFonts w:ascii="Times New Roman" w:hAnsi="Times New Roman" w:cs="Times New Roman"/>
          <w:b w:val="0"/>
          <w:i w:val="0"/>
          <w:sz w:val="22"/>
        </w:rPr>
        <w:t xml:space="preserve"> The 2025-05-23 → 2025-07-02 BIS license requirement briefly halted EDA-to-China; further volatility is highly likely as US–China tech competition continues. Plus the EU AI Act becomes operative on 2026-08-02 with up to 7% of worldwide turnover in fines for breach (Cadence 2025 10-K, p. 7).</w:t>
      </w:r>
    </w:p>
    <w:p>
      <w:pPr>
        <w:spacing w:after="120" w:lineRule="auto" w:line="276"/>
      </w:pPr>
      <w:r>
        <w:rPr>
          <w:rFonts w:ascii="Times New Roman" w:hAnsi="Times New Roman" w:cs="Times New Roman"/>
          <w:b/>
          <w:i w:val="0"/>
          <w:sz w:val="22"/>
        </w:rPr>
        <w:t>10. Market saturation at the leading edge / customer in-sourcing (LOW–MODERATE).</w:t>
      </w:r>
      <w:r>
        <w:rPr>
          <w:rFonts w:ascii="Times New Roman" w:hAnsi="Times New Roman" w:cs="Times New Roman"/>
          <w:b w:val="0"/>
          <w:i w:val="0"/>
          <w:sz w:val="22"/>
        </w:rPr>
        <w:t xml:space="preserve"> Apple has shown that the largest customers can in-source meaningful chunks of methodology and tool work; Google and Amazon have built internal stacks alongside commercial EDA. Risk: incremental in-sourcing as hyperscaler ASIC programs mature. Mitigant: the foundry-PDK-certification moat keeps in-sourcing economically unattractive at the leading edge.</w:t>
      </w:r>
    </w:p>
    <w:p>
      <w:pPr>
        <w:spacing w:before="160" w:after="60"/>
      </w:pPr>
      <w:r>
        <w:rPr>
          <w:rFonts w:ascii="Times New Roman" w:hAnsi="Times New Roman" w:cs="Times New Roman"/>
          <w:b/>
          <w:i w:val="0"/>
          <w:color w:val="C00000"/>
          <w:sz w:val="22"/>
        </w:rPr>
        <w:t>Financial Risks</w:t>
      </w:r>
    </w:p>
    <w:p>
      <w:pPr>
        <w:spacing w:after="120" w:lineRule="auto" w:line="276"/>
      </w:pPr>
      <w:r>
        <w:rPr>
          <w:rFonts w:ascii="Times New Roman" w:hAnsi="Times New Roman" w:cs="Times New Roman"/>
          <w:b/>
          <w:i w:val="0"/>
          <w:sz w:val="22"/>
        </w:rPr>
        <w:t>11. Valuation / multiple compression (MATERIAL).</w:t>
      </w:r>
      <w:r>
        <w:rPr>
          <w:rFonts w:ascii="Times New Roman" w:hAnsi="Times New Roman" w:cs="Times New Roman"/>
          <w:b w:val="0"/>
          <w:i w:val="0"/>
          <w:sz w:val="22"/>
        </w:rPr>
        <w:t xml:space="preserve"> Cadence trades at </w:t>
      </w:r>
      <w:r>
        <w:rPr>
          <w:rFonts w:ascii="Times New Roman" w:hAnsi="Times New Roman" w:cs="Times New Roman"/>
          <w:b/>
          <w:i w:val="0"/>
          <w:sz w:val="22"/>
        </w:rPr>
        <w:t>~81x TTM GAAP P/E and ~17.6x TTM P/S</w:t>
      </w:r>
      <w:r>
        <w:rPr>
          <w:rFonts w:ascii="Times New Roman" w:hAnsi="Times New Roman" w:cs="Times New Roman"/>
          <w:b w:val="0"/>
          <w:i w:val="0"/>
          <w:sz w:val="22"/>
        </w:rPr>
        <w:t xml:space="preserve">, both </w:t>
      </w:r>
      <w:r>
        <w:rPr>
          <w:rFonts w:ascii="Times New Roman" w:hAnsi="Times New Roman" w:cs="Times New Roman"/>
          <w:b/>
          <w:i w:val="0"/>
          <w:sz w:val="22"/>
        </w:rPr>
        <w:t>&gt;2× the software sector medians (~32x P/E, ~6.5x P/S)</w:t>
      </w:r>
      <w:r>
        <w:rPr>
          <w:rFonts w:ascii="Times New Roman" w:hAnsi="Times New Roman" w:cs="Times New Roman"/>
          <w:b w:val="0"/>
          <w:i w:val="0"/>
          <w:sz w:val="22"/>
        </w:rPr>
        <w:t xml:space="preserve"> (NYU Stern Damodaran, Jan 2026). Per the risk-taxonomy threshold (P/E &gt; 50× TTM, P/S &gt; 15× = include), this risk is required. A de-rate from 81x to a still-rich 60x equates to ~26% downside before any earnings change. De-rating triggers: an AI-capex pause, growth deceleration to high-single-digits, a Synopsys-Ansys integration win at a marquee customer, another BIS shock, a generic risk-off rotation away from "AI-adjacent" multiples. The stock has shown it can correct sharply on regulatory headlines (March 2025 export-control sell-off).</w:t>
      </w:r>
    </w:p>
    <w:p>
      <w:pPr>
        <w:spacing w:after="120" w:lineRule="auto" w:line="276"/>
      </w:pPr>
      <w:r>
        <w:rPr>
          <w:rFonts w:ascii="Times New Roman" w:hAnsi="Times New Roman" w:cs="Times New Roman"/>
          <w:b/>
          <w:i w:val="0"/>
          <w:sz w:val="22"/>
        </w:rPr>
        <w:t>12. Debt and goodwill load (LOW–MODERATE).</w:t>
      </w:r>
      <w:r>
        <w:rPr>
          <w:rFonts w:ascii="Times New Roman" w:hAnsi="Times New Roman" w:cs="Times New Roman"/>
          <w:b w:val="0"/>
          <w:i w:val="0"/>
          <w:sz w:val="22"/>
        </w:rPr>
        <w:t xml:space="preserve"> Long-term debt rose to </w:t>
      </w:r>
      <w:r>
        <w:rPr>
          <w:rFonts w:ascii="Times New Roman" w:hAnsi="Times New Roman" w:cs="Times New Roman"/>
          <w:b/>
          <w:i w:val="0"/>
          <w:sz w:val="22"/>
        </w:rPr>
        <w:t>USD 2.48B at FY25 year-end</w:t>
      </w:r>
      <w:r>
        <w:rPr>
          <w:rFonts w:ascii="Times New Roman" w:hAnsi="Times New Roman" w:cs="Times New Roman"/>
          <w:b w:val="0"/>
          <w:i w:val="0"/>
          <w:sz w:val="22"/>
        </w:rPr>
        <w:t xml:space="preserve"> (from USD 350M at FY22 year-end) to fund BETA CAE and ongoing buybacks; total goodwill is </w:t>
      </w:r>
      <w:r>
        <w:rPr>
          <w:rFonts w:ascii="Times New Roman" w:hAnsi="Times New Roman" w:cs="Times New Roman"/>
          <w:b/>
          <w:i w:val="0"/>
          <w:sz w:val="22"/>
        </w:rPr>
        <w:t>USD 2.75B</w:t>
      </w:r>
      <w:r>
        <w:rPr>
          <w:rFonts w:ascii="Times New Roman" w:hAnsi="Times New Roman" w:cs="Times New Roman"/>
          <w:b w:val="0"/>
          <w:i w:val="0"/>
          <w:sz w:val="22"/>
        </w:rPr>
        <w:t xml:space="preserve"> (Cadence 2025 10-K, Consolidated Balance Sheets). Net-debt/EBITDA still well below 1.5x and free cash flow easily services interest, but capacity for further large deals is more constrained.</w:t>
      </w:r>
    </w:p>
    <w:p>
      <w:pPr>
        <w:spacing w:after="120" w:lineRule="auto" w:line="276"/>
      </w:pPr>
      <w:r>
        <w:rPr>
          <w:rFonts w:ascii="Times New Roman" w:hAnsi="Times New Roman" w:cs="Times New Roman"/>
          <w:b/>
          <w:i w:val="0"/>
          <w:sz w:val="22"/>
        </w:rPr>
        <w:t>13. Stock-based compensation as a share of earnings (LOW–MODERATE).</w:t>
      </w:r>
      <w:r>
        <w:rPr>
          <w:rFonts w:ascii="Times New Roman" w:hAnsi="Times New Roman" w:cs="Times New Roman"/>
          <w:b w:val="0"/>
          <w:i w:val="0"/>
          <w:sz w:val="22"/>
        </w:rPr>
        <w:t xml:space="preserve"> SBC was </w:t>
      </w:r>
      <w:r>
        <w:rPr>
          <w:rFonts w:ascii="Times New Roman" w:hAnsi="Times New Roman" w:cs="Times New Roman"/>
          <w:b/>
          <w:i w:val="0"/>
          <w:sz w:val="22"/>
        </w:rPr>
        <w:t>USD 455M in FY25</w:t>
      </w:r>
      <w:r>
        <w:rPr>
          <w:rFonts w:ascii="Times New Roman" w:hAnsi="Times New Roman" w:cs="Times New Roman"/>
          <w:b w:val="0"/>
          <w:i w:val="0"/>
          <w:sz w:val="22"/>
        </w:rPr>
        <w:t>, or ~41% of GAAP net income — typical for large-cap US software but worth watching for shareholders focused on GAAP vs. non-GAAP convergence (Cadence 2025 10-K, Consolidated Statements of Cash Flows).</w:t>
      </w:r>
    </w:p>
    <w:p>
      <w:pPr>
        <w:spacing w:before="160" w:after="60"/>
      </w:pPr>
      <w:r>
        <w:rPr>
          <w:rFonts w:ascii="Times New Roman" w:hAnsi="Times New Roman" w:cs="Times New Roman"/>
          <w:b/>
          <w:i w:val="0"/>
          <w:color w:val="C00000"/>
          <w:sz w:val="22"/>
        </w:rPr>
        <w:t>Macroeconomic Risks</w:t>
      </w:r>
    </w:p>
    <w:p>
      <w:pPr>
        <w:spacing w:after="120" w:lineRule="auto" w:line="276"/>
      </w:pPr>
      <w:r>
        <w:rPr>
          <w:rFonts w:ascii="Times New Roman" w:hAnsi="Times New Roman" w:cs="Times New Roman"/>
          <w:b/>
          <w:i w:val="0"/>
          <w:sz w:val="22"/>
        </w:rPr>
        <w:t>14. China revenue exposure + geopolitical decoupling (MATERIAL).</w:t>
      </w:r>
      <w:r>
        <w:rPr>
          <w:rFonts w:ascii="Times New Roman" w:hAnsi="Times New Roman" w:cs="Times New Roman"/>
          <w:b w:val="0"/>
          <w:i w:val="0"/>
          <w:sz w:val="22"/>
        </w:rPr>
        <w:t xml:space="preserve"> China was </w:t>
      </w:r>
      <w:r>
        <w:rPr>
          <w:rFonts w:ascii="Times New Roman" w:hAnsi="Times New Roman" w:cs="Times New Roman"/>
          <w:b/>
          <w:i w:val="0"/>
          <w:sz w:val="22"/>
        </w:rPr>
        <w:t>13% of FY25 revenue</w:t>
      </w:r>
      <w:r>
        <w:rPr>
          <w:rFonts w:ascii="Times New Roman" w:hAnsi="Times New Roman" w:cs="Times New Roman"/>
          <w:b w:val="0"/>
          <w:i w:val="0"/>
          <w:sz w:val="22"/>
        </w:rPr>
        <w:t xml:space="preserve"> and grew 19% YoY despite the BIS license-requirement interruption (Cadence 2025 10-K, Note 17). A full decoupling scenario — sustained EDA license requirement, expanded Entity List, or Chinese r</w:t>
      </w:r>
    </w:p>
    <w:p>
      <w:pPr>
        <w:spacing w:before="120" w:after="40"/>
        <w:jc w:val="center"/>
      </w:pPr>
      <w:r>
        <w:drawing>
          <wp:inline xmlns:a="http://schemas.openxmlformats.org/drawingml/2006/main" xmlns:pic="http://schemas.openxmlformats.org/drawingml/2006/picture">
            <wp:extent cx="5943600" cy="4071660"/>
            <wp:docPr id="17" name="Picture 17"/>
            <wp:cNvGraphicFramePr>
              <a:graphicFrameLocks noChangeAspect="1"/>
            </wp:cNvGraphicFramePr>
            <a:graphic>
              <a:graphicData uri="http://schemas.openxmlformats.org/drawingml/2006/picture">
                <pic:pic>
                  <pic:nvPicPr>
                    <pic:cNvPr id="0" name="chart_35_risk_return.png"/>
                    <pic:cNvPicPr/>
                  </pic:nvPicPr>
                  <pic:blipFill>
                    <a:blip r:embed="rId25"/>
                    <a:stretch>
                      <a:fillRect/>
                    </a:stretch>
                  </pic:blipFill>
                  <pic:spPr>
                    <a:xfrm>
                      <a:off x="0" y="0"/>
                      <a:ext cx="5943600" cy="4071660"/>
                    </a:xfrm>
                    <a:prstGeom prst="rect"/>
                  </pic:spPr>
                </pic:pic>
              </a:graphicData>
            </a:graphic>
          </wp:inline>
        </w:drawing>
      </w:r>
    </w:p>
    <w:p>
      <w:pPr>
        <w:spacing w:after="160"/>
        <w:jc w:val="center"/>
      </w:pPr>
      <w:r>
        <w:rPr>
          <w:rFonts w:ascii="Times New Roman" w:hAnsi="Times New Roman" w:cs="Times New Roman"/>
          <w:b w:val="0"/>
          <w:i/>
          <w:color w:val="595959"/>
          <w:sz w:val="18"/>
        </w:rPr>
        <w:t>Risk / Return profile</w:t>
      </w:r>
    </w:p>
    <w:p>
      <w:pPr>
        <w:spacing w:before="120" w:after="40"/>
        <w:jc w:val="center"/>
      </w:pPr>
      <w:r>
        <w:drawing>
          <wp:inline xmlns:a="http://schemas.openxmlformats.org/drawingml/2006/main" xmlns:pic="http://schemas.openxmlformats.org/drawingml/2006/picture">
            <wp:extent cx="5943600" cy="2906568"/>
            <wp:docPr id="18" name="Picture 18"/>
            <wp:cNvGraphicFramePr>
              <a:graphicFrameLocks noChangeAspect="1"/>
            </wp:cNvGraphicFramePr>
            <a:graphic>
              <a:graphicData uri="http://schemas.openxmlformats.org/drawingml/2006/picture">
                <pic:pic>
                  <pic:nvPicPr>
                    <pic:cNvPr id="0" name="chart_25_debt_trajectory.png"/>
                    <pic:cNvPicPr/>
                  </pic:nvPicPr>
                  <pic:blipFill>
                    <a:blip r:embed="rId26"/>
                    <a:stretch>
                      <a:fillRect/>
                    </a:stretch>
                  </pic:blipFill>
                  <pic:spPr>
                    <a:xfrm>
                      <a:off x="0" y="0"/>
                      <a:ext cx="5943600" cy="2906568"/>
                    </a:xfrm>
                    <a:prstGeom prst="rect"/>
                  </pic:spPr>
                </pic:pic>
              </a:graphicData>
            </a:graphic>
          </wp:inline>
        </w:drawing>
      </w:r>
    </w:p>
    <w:p>
      <w:pPr>
        <w:spacing w:after="160"/>
        <w:jc w:val="center"/>
      </w:pPr>
      <w:r>
        <w:rPr>
          <w:rFonts w:ascii="Times New Roman" w:hAnsi="Times New Roman" w:cs="Times New Roman"/>
          <w:b w:val="0"/>
          <w:i/>
          <w:color w:val="595959"/>
          <w:sz w:val="18"/>
        </w:rPr>
        <w:t>Debt &amp; cash position 10-year</w:t>
      </w:r>
    </w:p>
    <w:p>
      <w:r>
        <w:br w:type="page"/>
      </w:r>
    </w:p>
    <w:p>
      <w:pPr>
        <w:spacing w:before="360" w:after="120"/>
        <w:pBdr>
          <w:bottom w:val="single" w:sz="8" w:space="1" w:color="1F4E78"/>
        </w:pBdr>
      </w:pPr>
      <w:r>
        <w:rPr>
          <w:rFonts w:ascii="Times New Roman" w:hAnsi="Times New Roman" w:cs="Times New Roman"/>
          <w:b/>
          <w:i w:val="0"/>
          <w:color w:val="1F4E78"/>
          <w:sz w:val="32"/>
        </w:rPr>
        <w:t>Financial Performance Analysis</w:t>
      </w:r>
    </w:p>
    <w:p>
      <w:pPr>
        <w:spacing w:before="240" w:after="80"/>
      </w:pPr>
      <w:r>
        <w:rPr>
          <w:rFonts w:ascii="Times New Roman" w:hAnsi="Times New Roman" w:cs="Times New Roman"/>
          <w:b/>
          <w:i w:val="0"/>
          <w:color w:val="1F4E78"/>
          <w:sz w:val="26"/>
        </w:rPr>
        <w:t>Historical Financial Performance (FY2021–FY2025)</w:t>
      </w:r>
    </w:p>
    <w:p>
      <w:pPr>
        <w:spacing w:after="120" w:lineRule="auto" w:line="276"/>
      </w:pPr>
      <w:r>
        <w:rPr>
          <w:rFonts w:ascii="Times New Roman" w:hAnsi="Times New Roman" w:cs="Times New Roman"/>
          <w:b w:val="0"/>
          <w:i w:val="0"/>
          <w:sz w:val="22"/>
        </w:rPr>
        <w:t>Cadence has delivered consistent revenue growth and margin expansion over the past five fiscal years, reflecting both secular demand for design-software / multi-physics tools and the company's pricing power as part of an industry duopoly+ structure.</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 unless noted)</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FY2021</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FY2022</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FY2023</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FY2024</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FY2025</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5y CAGR</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revenue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2,988,244</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3,561,718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4,089,986</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4,641,264</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5,296,759</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15.4%</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income (GAAP)</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779,089</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1,073,686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1,251,225</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1,350,763</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1,492,042</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17.6%</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695,955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848,952</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1,041,144</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1,055,484</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1,108,888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12.4%</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Diluted EPS</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$3.09</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$3.82</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$3.85</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bl>
    <w:p/>
    <w:p>
      <w:pPr>
        <w:spacing w:after="120" w:lineRule="auto" w:line="276"/>
      </w:pPr>
      <w:r>
        <w:rPr>
          <w:rFonts w:ascii="Times New Roman" w:hAnsi="Times New Roman" w:cs="Times New Roman"/>
          <w:b w:val="0"/>
          <w:i w:val="0"/>
          <w:sz w:val="22"/>
        </w:rPr>
        <w:t>Revenue compounded at a healthy 15.4% 5-year CAGR. Operating income compounded faster (17.6%) reflecting operating leverage. EPS growth lagged net income owing to a combination of buyback timing and share dilution from equity compensation.</w:t>
      </w:r>
    </w:p>
    <w:p>
      <w:pPr>
        <w:spacing w:before="120" w:after="40"/>
        <w:jc w:val="center"/>
      </w:pPr>
      <w:r>
        <w:drawing>
          <wp:inline xmlns:a="http://schemas.openxmlformats.org/drawingml/2006/main" xmlns:pic="http://schemas.openxmlformats.org/drawingml/2006/picture">
            <wp:extent cx="5943600" cy="3190108"/>
            <wp:docPr id="19" name="Picture 19"/>
            <wp:cNvGraphicFramePr>
              <a:graphicFrameLocks noChangeAspect="1"/>
            </wp:cNvGraphicFramePr>
            <a:graphic>
              <a:graphicData uri="http://schemas.openxmlformats.org/drawingml/2006/picture">
                <pic:pic>
                  <pic:nvPicPr>
                    <pic:cNvPr id="0" name="chart_06_revenue_history.png"/>
                    <pic:cNvPicPr/>
                  </pic:nvPicPr>
                  <pic:blipFill>
                    <a:blip r:embed="rId11"/>
                    <a:stretch>
                      <a:fillRect/>
                    </a:stretch>
                  </pic:blipFill>
                  <pic:spPr>
                    <a:xfrm>
                      <a:off x="0" y="0"/>
                      <a:ext cx="5943600" cy="3190108"/>
                    </a:xfrm>
                    <a:prstGeom prst="rect"/>
                  </pic:spPr>
                </pic:pic>
              </a:graphicData>
            </a:graphic>
          </wp:inline>
        </w:drawing>
      </w:r>
    </w:p>
    <w:p>
      <w:pPr>
        <w:spacing w:after="160"/>
        <w:jc w:val="center"/>
      </w:pPr>
      <w:r>
        <w:rPr>
          <w:rFonts w:ascii="Times New Roman" w:hAnsi="Times New Roman" w:cs="Times New Roman"/>
          <w:b w:val="0"/>
          <w:i/>
          <w:color w:val="595959"/>
          <w:sz w:val="18"/>
        </w:rPr>
        <w:t>NASDAQ: CDNS — Revenue Trajectory</w:t>
      </w:r>
    </w:p>
    <w:p>
      <w:pPr>
        <w:spacing w:before="120" w:after="40"/>
        <w:jc w:val="center"/>
      </w:pPr>
      <w:r>
        <w:drawing>
          <wp:inline xmlns:a="http://schemas.openxmlformats.org/drawingml/2006/main" xmlns:pic="http://schemas.openxmlformats.org/drawingml/2006/picture">
            <wp:extent cx="5943600" cy="3483446"/>
            <wp:docPr id="20" name="Picture 20"/>
            <wp:cNvGraphicFramePr>
              <a:graphicFrameLocks noChangeAspect="1"/>
            </wp:cNvGraphicFramePr>
            <a:graphic>
              <a:graphicData uri="http://schemas.openxmlformats.org/drawingml/2006/picture">
                <pic:pic>
                  <pic:nvPicPr>
                    <pic:cNvPr id="0" name="chart_10_margin_trends.png"/>
                    <pic:cNvPicPr/>
                  </pic:nvPicPr>
                  <pic:blipFill>
                    <a:blip r:embed="rId27"/>
                    <a:stretch>
                      <a:fillRect/>
                    </a:stretch>
                  </pic:blipFill>
                  <pic:spPr>
                    <a:xfrm>
                      <a:off x="0" y="0"/>
                      <a:ext cx="5943600" cy="3483446"/>
                    </a:xfrm>
                    <a:prstGeom prst="rect"/>
                  </pic:spPr>
                </pic:pic>
              </a:graphicData>
            </a:graphic>
          </wp:inline>
        </w:drawing>
      </w:r>
    </w:p>
    <w:p>
      <w:pPr>
        <w:spacing w:after="160"/>
        <w:jc w:val="center"/>
      </w:pPr>
      <w:r>
        <w:rPr>
          <w:rFonts w:ascii="Times New Roman" w:hAnsi="Times New Roman" w:cs="Times New Roman"/>
          <w:b w:val="0"/>
          <w:i/>
          <w:color w:val="595959"/>
          <w:sz w:val="18"/>
        </w:rPr>
        <w:t>NASDAQ: CDNS — Margin Trends (Gross, Operating, Net, FCF)</w:t>
      </w:r>
    </w:p>
    <w:p>
      <w:pPr>
        <w:spacing w:before="240" w:after="80"/>
      </w:pPr>
      <w:r>
        <w:rPr>
          <w:rFonts w:ascii="Times New Roman" w:hAnsi="Times New Roman" w:cs="Times New Roman"/>
          <w:b/>
          <w:i w:val="0"/>
          <w:color w:val="1F4E78"/>
          <w:sz w:val="26"/>
        </w:rPr>
        <w:t>Cash Flow Generation</w:t>
      </w:r>
    </w:p>
    <w:p>
      <w:pPr>
        <w:spacing w:after="120" w:lineRule="auto" w:line="276"/>
      </w:pPr>
      <w:r>
        <w:rPr>
          <w:rFonts w:ascii="Times New Roman" w:hAnsi="Times New Roman" w:cs="Times New Roman"/>
          <w:b w:val="0"/>
          <w:i w:val="0"/>
          <w:sz w:val="22"/>
        </w:rPr>
        <w:t>Cadence converts a high share of revenue into free cash flow given its asset-light business model — software companies have minimal inventory or capex requirements. Working capital is the primary swing factor in any given year.</w:t>
      </w:r>
    </w:p>
    <w:p>
      <w:pPr>
        <w:spacing w:before="120" w:after="40"/>
        <w:jc w:val="center"/>
      </w:pPr>
      <w:r>
        <w:drawing>
          <wp:inline xmlns:a="http://schemas.openxmlformats.org/drawingml/2006/main" xmlns:pic="http://schemas.openxmlformats.org/drawingml/2006/picture">
            <wp:extent cx="5943600" cy="3357940"/>
            <wp:docPr id="21" name="Picture 21"/>
            <wp:cNvGraphicFramePr>
              <a:graphicFrameLocks noChangeAspect="1"/>
            </wp:cNvGraphicFramePr>
            <a:graphic>
              <a:graphicData uri="http://schemas.openxmlformats.org/drawingml/2006/picture">
                <pic:pic>
                  <pic:nvPicPr>
                    <pic:cNvPr id="0" name="chart_12_cash_flow.png"/>
                    <pic:cNvPicPr/>
                  </pic:nvPicPr>
                  <pic:blipFill>
                    <a:blip r:embed="rId28"/>
                    <a:stretch>
                      <a:fillRect/>
                    </a:stretch>
                  </pic:blipFill>
                  <pic:spPr>
                    <a:xfrm>
                      <a:off x="0" y="0"/>
                      <a:ext cx="5943600" cy="3357940"/>
                    </a:xfrm>
                    <a:prstGeom prst="rect"/>
                  </pic:spPr>
                </pic:pic>
              </a:graphicData>
            </a:graphic>
          </wp:inline>
        </w:drawing>
      </w:r>
    </w:p>
    <w:p>
      <w:pPr>
        <w:spacing w:after="160"/>
        <w:jc w:val="center"/>
      </w:pPr>
      <w:r>
        <w:rPr>
          <w:rFonts w:ascii="Times New Roman" w:hAnsi="Times New Roman" w:cs="Times New Roman"/>
          <w:b w:val="0"/>
          <w:i/>
          <w:color w:val="595959"/>
          <w:sz w:val="18"/>
        </w:rPr>
        <w:t>NASDAQ: CDNS — Operating Cash Flow vs Free Cash Flow ($B)</w:t>
      </w:r>
    </w:p>
    <w:p>
      <w:pPr>
        <w:spacing w:before="240" w:after="80"/>
      </w:pPr>
      <w:r>
        <w:rPr>
          <w:rFonts w:ascii="Times New Roman" w:hAnsi="Times New Roman" w:cs="Times New Roman"/>
          <w:b/>
          <w:i w:val="0"/>
          <w:color w:val="1F4E78"/>
          <w:sz w:val="26"/>
        </w:rPr>
        <w:t>Capital Allocation</w:t>
      </w:r>
    </w:p>
    <w:p>
      <w:pPr>
        <w:spacing w:after="120" w:lineRule="auto" w:line="276"/>
      </w:pPr>
      <w:r>
        <w:rPr>
          <w:rFonts w:ascii="Times New Roman" w:hAnsi="Times New Roman" w:cs="Times New Roman"/>
          <w:b w:val="0"/>
          <w:i w:val="0"/>
          <w:sz w:val="22"/>
        </w:rPr>
        <w:t>Capital allocation priorities follow a hierarchy of: (1) R&amp;D reinvestment to maintain technology leadership in EDA's compute-intensive flows; (2) targeted M&amp;A to fill product gaps and acquire strategic IP/multi-physics capabilities; (3) opportunistic share repurchase. Dividends are not part of the capital-return mix.</w:t>
      </w:r>
    </w:p>
    <w:p>
      <w:pPr>
        <w:spacing w:before="120" w:after="40"/>
        <w:jc w:val="center"/>
      </w:pPr>
      <w:r>
        <w:drawing>
          <wp:inline xmlns:a="http://schemas.openxmlformats.org/drawingml/2006/main" xmlns:pic="http://schemas.openxmlformats.org/drawingml/2006/picture">
            <wp:extent cx="5943600" cy="2856207"/>
            <wp:docPr id="22" name="Picture 22"/>
            <wp:cNvGraphicFramePr>
              <a:graphicFrameLocks noChangeAspect="1"/>
            </wp:cNvGraphicFramePr>
            <a:graphic>
              <a:graphicData uri="http://schemas.openxmlformats.org/drawingml/2006/picture">
                <pic:pic>
                  <pic:nvPicPr>
                    <pic:cNvPr id="0" name="chart_19_rd_intensity.png"/>
                    <pic:cNvPicPr/>
                  </pic:nvPicPr>
                  <pic:blipFill>
                    <a:blip r:embed="rId14"/>
                    <a:stretch>
                      <a:fillRect/>
                    </a:stretch>
                  </pic:blipFill>
                  <pic:spPr>
                    <a:xfrm>
                      <a:off x="0" y="0"/>
                      <a:ext cx="5943600" cy="2856207"/>
                    </a:xfrm>
                    <a:prstGeom prst="rect"/>
                  </pic:spPr>
                </pic:pic>
              </a:graphicData>
            </a:graphic>
          </wp:inline>
        </w:drawing>
      </w:r>
    </w:p>
    <w:p>
      <w:pPr>
        <w:spacing w:after="160"/>
        <w:jc w:val="center"/>
      </w:pPr>
      <w:r>
        <w:rPr>
          <w:rFonts w:ascii="Times New Roman" w:hAnsi="Times New Roman" w:cs="Times New Roman"/>
          <w:b w:val="0"/>
          <w:i/>
          <w:color w:val="595959"/>
          <w:sz w:val="18"/>
        </w:rPr>
        <w:t>NASDAQ: CDNS — R&amp;D Investment Trajectory</w:t>
      </w:r>
    </w:p>
    <w:p>
      <w:pPr>
        <w:spacing w:before="120" w:after="40"/>
        <w:jc w:val="center"/>
      </w:pPr>
      <w:r>
        <w:drawing>
          <wp:inline xmlns:a="http://schemas.openxmlformats.org/drawingml/2006/main" xmlns:pic="http://schemas.openxmlformats.org/drawingml/2006/picture">
            <wp:extent cx="5943600" cy="3379964"/>
            <wp:docPr id="23" name="Picture 23"/>
            <wp:cNvGraphicFramePr>
              <a:graphicFrameLocks noChangeAspect="1"/>
            </wp:cNvGraphicFramePr>
            <a:graphic>
              <a:graphicData uri="http://schemas.openxmlformats.org/drawingml/2006/picture">
                <pic:pic>
                  <pic:nvPicPr>
                    <pic:cNvPr id="0" name="chart_22_capital_allocation.png"/>
                    <pic:cNvPicPr/>
                  </pic:nvPicPr>
                  <pic:blipFill>
                    <a:blip r:embed="rId29"/>
                    <a:stretch>
                      <a:fillRect/>
                    </a:stretch>
                  </pic:blipFill>
                  <pic:spPr>
                    <a:xfrm>
                      <a:off x="0" y="0"/>
                      <a:ext cx="5943600" cy="3379964"/>
                    </a:xfrm>
                    <a:prstGeom prst="rect"/>
                  </pic:spPr>
                </pic:pic>
              </a:graphicData>
            </a:graphic>
          </wp:inline>
        </w:drawing>
      </w:r>
    </w:p>
    <w:p>
      <w:pPr>
        <w:spacing w:after="160"/>
        <w:jc w:val="center"/>
      </w:pPr>
      <w:r>
        <w:rPr>
          <w:rFonts w:ascii="Times New Roman" w:hAnsi="Times New Roman" w:cs="Times New Roman"/>
          <w:b w:val="0"/>
          <w:i/>
          <w:color w:val="595959"/>
          <w:sz w:val="18"/>
        </w:rPr>
        <w:t>NASDAQ: CDNS — FY2025 Capital Allocation</w:t>
      </w:r>
    </w:p>
    <w:p>
      <w:pPr>
        <w:spacing w:before="240" w:after="80"/>
      </w:pPr>
      <w:r>
        <w:rPr>
          <w:rFonts w:ascii="Times New Roman" w:hAnsi="Times New Roman" w:cs="Times New Roman"/>
          <w:b/>
          <w:i w:val="0"/>
          <w:color w:val="1F4E78"/>
          <w:sz w:val="26"/>
        </w:rPr>
        <w:t>Balance Sheet &amp; Liquidity</w:t>
      </w:r>
    </w:p>
    <w:p>
      <w:pPr>
        <w:spacing w:before="120" w:after="40"/>
        <w:jc w:val="center"/>
      </w:pPr>
      <w:r>
        <w:drawing>
          <wp:inline xmlns:a="http://schemas.openxmlformats.org/drawingml/2006/main" xmlns:pic="http://schemas.openxmlformats.org/drawingml/2006/picture">
            <wp:extent cx="5943600" cy="2906568"/>
            <wp:docPr id="24" name="Picture 24"/>
            <wp:cNvGraphicFramePr>
              <a:graphicFrameLocks noChangeAspect="1"/>
            </wp:cNvGraphicFramePr>
            <a:graphic>
              <a:graphicData uri="http://schemas.openxmlformats.org/drawingml/2006/picture">
                <pic:pic>
                  <pic:nvPicPr>
                    <pic:cNvPr id="0" name="chart_25_debt_trajectory.png"/>
                    <pic:cNvPicPr/>
                  </pic:nvPicPr>
                  <pic:blipFill>
                    <a:blip r:embed="rId26"/>
                    <a:stretch>
                      <a:fillRect/>
                    </a:stretch>
                  </pic:blipFill>
                  <pic:spPr>
                    <a:xfrm>
                      <a:off x="0" y="0"/>
                      <a:ext cx="5943600" cy="2906568"/>
                    </a:xfrm>
                    <a:prstGeom prst="rect"/>
                  </pic:spPr>
                </pic:pic>
              </a:graphicData>
            </a:graphic>
          </wp:inline>
        </w:drawing>
      </w:r>
    </w:p>
    <w:p>
      <w:pPr>
        <w:spacing w:after="160"/>
        <w:jc w:val="center"/>
      </w:pPr>
      <w:r>
        <w:rPr>
          <w:rFonts w:ascii="Times New Roman" w:hAnsi="Times New Roman" w:cs="Times New Roman"/>
          <w:b w:val="0"/>
          <w:i/>
          <w:color w:val="595959"/>
          <w:sz w:val="18"/>
        </w:rPr>
        <w:t>NASDAQ: CDNS — Debt &amp; Cash Position (10-year)</w:t>
      </w:r>
    </w:p>
    <w:p>
      <w:r>
        <w:br w:type="page"/>
      </w:r>
    </w:p>
    <w:p>
      <w:pPr>
        <w:spacing w:before="360" w:after="120"/>
        <w:pBdr>
          <w:bottom w:val="single" w:sz="8" w:space="1" w:color="1F4E78"/>
        </w:pBdr>
      </w:pPr>
      <w:r>
        <w:rPr>
          <w:rFonts w:ascii="Times New Roman" w:hAnsi="Times New Roman" w:cs="Times New Roman"/>
          <w:b/>
          <w:i w:val="0"/>
          <w:color w:val="1F4E78"/>
          <w:sz w:val="32"/>
        </w:rPr>
        <w:t>Financial Projections (FY2026E–FY2030E)</w:t>
      </w:r>
    </w:p>
    <w:p>
      <w:pPr>
        <w:spacing w:after="120" w:lineRule="auto" w:line="276"/>
      </w:pPr>
      <w:r>
        <w:rPr>
          <w:rFonts w:ascii="Times New Roman" w:hAnsi="Times New Roman" w:cs="Times New Roman"/>
          <w:b w:val="0"/>
          <w:i w:val="0"/>
          <w:sz w:val="22"/>
        </w:rPr>
        <w:t>We model 5-year projections grounded in management guidance (Cadence FY2026 mid-point $6,175M revenue), Q1 FY2026 actuals, segment-level revenue mix trends, and operating-margin trajectories observed in the most recent 10-K. Detailed assumptions and sensitivity tables are documented in the accompanying Financial Model Excel file.</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 unless noted)</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FY2026E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FY2027E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FY2028E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FY2029E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FY2030E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5y CAGR</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revenue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6,038,305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6,823,285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7,642,079</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8,482,708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9,330,979</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11.5%</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Operating income (GAAP)</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1,907,847</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2,226,377</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2,573,721</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2,939,062</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3,315,616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14.8%</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1,427,993</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1,669,462</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1,932,110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2,207,985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2,492,103</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14.9%</w:t>
            </w:r>
          </w:p>
        </w:tc>
      </w:tr>
    </w:tbl>
    <w:p/>
    <w:p>
      <w:pPr>
        <w:spacing w:before="240" w:after="80"/>
      </w:pPr>
      <w:r>
        <w:rPr>
          <w:rFonts w:ascii="Times New Roman" w:hAnsi="Times New Roman" w:cs="Times New Roman"/>
          <w:b/>
          <w:i w:val="0"/>
          <w:color w:val="1F4E78"/>
          <w:sz w:val="26"/>
        </w:rPr>
        <w:t>Projection Assumptions</w:t>
      </w:r>
    </w:p>
    <w:p>
      <w:pPr>
        <w:spacing w:after="120" w:lineRule="auto" w:line="276"/>
      </w:pPr>
      <w:r>
        <w:rPr>
          <w:rFonts w:ascii="Times New Roman" w:hAnsi="Times New Roman" w:cs="Times New Roman"/>
          <w:b w:val="0"/>
          <w:i w:val="0"/>
          <w:sz w:val="22"/>
        </w:rPr>
        <w:t>Key assumptions for the base case:</w:t>
      </w:r>
    </w:p>
    <w:p>
      <w:pPr>
        <w:pStyle w:val="ListBullet"/>
        <w:ind w:left="432"/>
      </w:pPr>
      <w:r>
        <w:rPr>
          <w:rFonts w:ascii="Times New Roman" w:hAnsi="Times New Roman" w:cs="Times New Roman"/>
          <w:b w:val="0"/>
          <w:i w:val="0"/>
          <w:sz w:val="22"/>
        </w:rPr>
        <w:t>Revenue growth: 14% (FY26E, in line with raised guidance) → 13% → 12% → 11% → 10%, reflecting natural deceleration as the company scales past $9B in revenue while maintaining the AI tailwind.</w:t>
      </w:r>
    </w:p>
    <w:p>
      <w:pPr>
        <w:pStyle w:val="ListBullet"/>
        <w:ind w:left="432"/>
      </w:pPr>
      <w:r>
        <w:rPr>
          <w:rFonts w:ascii="Times New Roman" w:hAnsi="Times New Roman" w:cs="Times New Roman"/>
          <w:b w:val="0"/>
          <w:i w:val="0"/>
          <w:sz w:val="22"/>
        </w:rPr>
        <w:t>Gross margin: holding at ~90%, with operating leverage on a slowly declining mix shift toward services.</w:t>
      </w:r>
    </w:p>
    <w:p>
      <w:pPr>
        <w:pStyle w:val="ListBullet"/>
        <w:ind w:left="432"/>
      </w:pPr>
      <w:r>
        <w:rPr>
          <w:rFonts w:ascii="Times New Roman" w:hAnsi="Times New Roman" w:cs="Times New Roman"/>
          <w:b w:val="0"/>
          <w:i w:val="0"/>
          <w:sz w:val="22"/>
        </w:rPr>
        <w:t>Operating expense growth: R&amp;D continues to outpace inflation (~10% YoY) to maintain leadership in advanced-node EDA, AI-driven design tools (Cerebrus, JedAI), and multi-physics integration. S&amp;M leverage of ~150bps over the 5-year period.</w:t>
      </w:r>
    </w:p>
    <w:p>
      <w:pPr>
        <w:pStyle w:val="ListBullet"/>
        <w:ind w:left="432"/>
      </w:pPr>
      <w:r>
        <w:rPr>
          <w:rFonts w:ascii="Times New Roman" w:hAnsi="Times New Roman" w:cs="Times New Roman"/>
          <w:b w:val="0"/>
          <w:i w:val="0"/>
          <w:sz w:val="22"/>
        </w:rPr>
        <w:t>GAAP operating margin: ~30% (FY26E) → ~35% (FY30E), driven by operating leverage and the non-recurrence of the FY25 $128.5M BIS settlement charge.</w:t>
      </w:r>
    </w:p>
    <w:p>
      <w:pPr>
        <w:pStyle w:val="ListBullet"/>
        <w:ind w:left="432"/>
      </w:pPr>
      <w:r>
        <w:rPr>
          <w:rFonts w:ascii="Times New Roman" w:hAnsi="Times New Roman" w:cs="Times New Roman"/>
          <w:b w:val="0"/>
          <w:i w:val="0"/>
          <w:sz w:val="22"/>
        </w:rPr>
        <w:t>Tax rate: 26.5% (FY25 actual run-rate), assumed steady.</w:t>
      </w:r>
    </w:p>
    <w:p>
      <w:pPr>
        <w:pStyle w:val="ListBullet"/>
        <w:ind w:left="432"/>
      </w:pPr>
      <w:r>
        <w:rPr>
          <w:rFonts w:ascii="Times New Roman" w:hAnsi="Times New Roman" w:cs="Times New Roman"/>
          <w:b w:val="0"/>
          <w:i w:val="0"/>
          <w:sz w:val="22"/>
        </w:rPr>
        <w:t>Capex: ~2.7% of revenue, including investment in next-gen Palladium emulation hardware.</w:t>
      </w:r>
    </w:p>
    <w:p>
      <w:pPr>
        <w:pStyle w:val="ListBullet"/>
        <w:ind w:left="432"/>
      </w:pPr>
      <w:r>
        <w:rPr>
          <w:rFonts w:ascii="Times New Roman" w:hAnsi="Times New Roman" w:cs="Times New Roman"/>
          <w:b w:val="0"/>
          <w:i w:val="0"/>
          <w:sz w:val="22"/>
        </w:rPr>
        <w:t>Shares outstanding: ~273M FY26E declining modestly to ~270M by FY30E via $1.2B-$1.6B/year buyback authorization.</w:t>
      </w:r>
    </w:p>
    <w:p>
      <w:pPr>
        <w:spacing w:before="120" w:after="40"/>
        <w:jc w:val="center"/>
      </w:pPr>
      <w:r>
        <w:drawing>
          <wp:inline xmlns:a="http://schemas.openxmlformats.org/drawingml/2006/main" xmlns:pic="http://schemas.openxmlformats.org/drawingml/2006/picture">
            <wp:extent cx="5943600" cy="3377358"/>
            <wp:docPr id="25" name="Picture 25"/>
            <wp:cNvGraphicFramePr>
              <a:graphicFrameLocks noChangeAspect="1"/>
            </wp:cNvGraphicFramePr>
            <a:graphic>
              <a:graphicData uri="http://schemas.openxmlformats.org/drawingml/2006/picture">
                <pic:pic>
                  <pic:nvPicPr>
                    <pic:cNvPr id="0" name="chart_13_scenario_fan.png"/>
                    <pic:cNvPicPr/>
                  </pic:nvPicPr>
                  <pic:blipFill>
                    <a:blip r:embed="rId30"/>
                    <a:stretch>
                      <a:fillRect/>
                    </a:stretch>
                  </pic:blipFill>
                  <pic:spPr>
                    <a:xfrm>
                      <a:off x="0" y="0"/>
                      <a:ext cx="5943600" cy="3377358"/>
                    </a:xfrm>
                    <a:prstGeom prst="rect"/>
                  </pic:spPr>
                </pic:pic>
              </a:graphicData>
            </a:graphic>
          </wp:inline>
        </w:drawing>
      </w:r>
    </w:p>
    <w:p>
      <w:pPr>
        <w:spacing w:after="160"/>
        <w:jc w:val="center"/>
      </w:pPr>
      <w:r>
        <w:rPr>
          <w:rFonts w:ascii="Times New Roman" w:hAnsi="Times New Roman" w:cs="Times New Roman"/>
          <w:b w:val="0"/>
          <w:i/>
          <w:color w:val="595959"/>
          <w:sz w:val="18"/>
        </w:rPr>
        <w:t>NASDAQ: CDNS — Revenue Scenarios FY26E–FY30E</w:t>
      </w:r>
    </w:p>
    <w:p>
      <w:pPr>
        <w:spacing w:before="120" w:after="40"/>
        <w:jc w:val="center"/>
      </w:pPr>
      <w:r>
        <w:drawing>
          <wp:inline xmlns:a="http://schemas.openxmlformats.org/drawingml/2006/main" xmlns:pic="http://schemas.openxmlformats.org/drawingml/2006/picture">
            <wp:extent cx="5943600" cy="3460058"/>
            <wp:docPr id="26" name="Picture 26"/>
            <wp:cNvGraphicFramePr>
              <a:graphicFrameLocks noChangeAspect="1"/>
            </wp:cNvGraphicFramePr>
            <a:graphic>
              <a:graphicData uri="http://schemas.openxmlformats.org/drawingml/2006/picture">
                <pic:pic>
                  <pic:nvPicPr>
                    <pic:cNvPr id="0" name="chart_14_scenario_comparison.png"/>
                    <pic:cNvPicPr/>
                  </pic:nvPicPr>
                  <pic:blipFill>
                    <a:blip r:embed="rId31"/>
                    <a:stretch>
                      <a:fillRect/>
                    </a:stretch>
                  </pic:blipFill>
                  <pic:spPr>
                    <a:xfrm>
                      <a:off x="0" y="0"/>
                      <a:ext cx="5943600" cy="3460058"/>
                    </a:xfrm>
                    <a:prstGeom prst="rect"/>
                  </pic:spPr>
                </pic:pic>
              </a:graphicData>
            </a:graphic>
          </wp:inline>
        </w:drawing>
      </w:r>
    </w:p>
    <w:p>
      <w:pPr>
        <w:spacing w:after="160"/>
        <w:jc w:val="center"/>
      </w:pPr>
      <w:r>
        <w:rPr>
          <w:rFonts w:ascii="Times New Roman" w:hAnsi="Times New Roman" w:cs="Times New Roman"/>
          <w:b w:val="0"/>
          <w:i/>
          <w:color w:val="595959"/>
          <w:sz w:val="18"/>
        </w:rPr>
        <w:t>NASDAQ: CDNS — FY2030E Scenario Comparison</w:t>
      </w:r>
    </w:p>
    <w:p>
      <w:pPr>
        <w:spacing w:before="120" w:after="40"/>
        <w:jc w:val="center"/>
      </w:pPr>
      <w:r>
        <w:drawing>
          <wp:inline xmlns:a="http://schemas.openxmlformats.org/drawingml/2006/main" xmlns:pic="http://schemas.openxmlformats.org/drawingml/2006/picture">
            <wp:extent cx="5943600" cy="3752517"/>
            <wp:docPr id="27" name="Picture 27"/>
            <wp:cNvGraphicFramePr>
              <a:graphicFrameLocks noChangeAspect="1"/>
            </wp:cNvGraphicFramePr>
            <a:graphic>
              <a:graphicData uri="http://schemas.openxmlformats.org/drawingml/2006/picture">
                <pic:pic>
                  <pic:nvPicPr>
                    <pic:cNvPr id="0" name="chart_26_revenue_mix_evolution.png"/>
                    <pic:cNvPicPr/>
                  </pic:nvPicPr>
                  <pic:blipFill>
                    <a:blip r:embed="rId17"/>
                    <a:stretch>
                      <a:fillRect/>
                    </a:stretch>
                  </pic:blipFill>
                  <pic:spPr>
                    <a:xfrm>
                      <a:off x="0" y="0"/>
                      <a:ext cx="5943600" cy="3752517"/>
                    </a:xfrm>
                    <a:prstGeom prst="rect"/>
                  </pic:spPr>
                </pic:pic>
              </a:graphicData>
            </a:graphic>
          </wp:inline>
        </w:drawing>
      </w:r>
    </w:p>
    <w:p>
      <w:pPr>
        <w:spacing w:after="160"/>
        <w:jc w:val="center"/>
      </w:pPr>
      <w:r>
        <w:rPr>
          <w:rFonts w:ascii="Times New Roman" w:hAnsi="Times New Roman" w:cs="Times New Roman"/>
          <w:b w:val="0"/>
          <w:i/>
          <w:color w:val="595959"/>
          <w:sz w:val="18"/>
        </w:rPr>
        <w:t>NASDAQ: CDNS — Revenue Mix Evolution FY25 vs FY30E</w:t>
      </w:r>
    </w:p>
    <w:p>
      <w:pPr>
        <w:spacing w:before="120" w:after="40"/>
        <w:jc w:val="center"/>
      </w:pPr>
      <w:r>
        <w:drawing>
          <wp:inline xmlns:a="http://schemas.openxmlformats.org/drawingml/2006/main" xmlns:pic="http://schemas.openxmlformats.org/drawingml/2006/picture">
            <wp:extent cx="5943600" cy="3156449"/>
            <wp:docPr id="28" name="Picture 28"/>
            <wp:cNvGraphicFramePr>
              <a:graphicFrameLocks noChangeAspect="1"/>
            </wp:cNvGraphicFramePr>
            <a:graphic>
              <a:graphicData uri="http://schemas.openxmlformats.org/drawingml/2006/picture">
                <pic:pic>
                  <pic:nvPicPr>
                    <pic:cNvPr id="0" name="chart_27_roic.png"/>
                    <pic:cNvPicPr/>
                  </pic:nvPicPr>
                  <pic:blipFill>
                    <a:blip r:embed="rId32"/>
                    <a:stretch>
                      <a:fillRect/>
                    </a:stretch>
                  </pic:blipFill>
                  <pic:spPr>
                    <a:xfrm>
                      <a:off x="0" y="0"/>
                      <a:ext cx="5943600" cy="3156449"/>
                    </a:xfrm>
                    <a:prstGeom prst="rect"/>
                  </pic:spPr>
                </pic:pic>
              </a:graphicData>
            </a:graphic>
          </wp:inline>
        </w:drawing>
      </w:r>
    </w:p>
    <w:p>
      <w:pPr>
        <w:spacing w:after="160"/>
        <w:jc w:val="center"/>
      </w:pPr>
      <w:r>
        <w:rPr>
          <w:rFonts w:ascii="Times New Roman" w:hAnsi="Times New Roman" w:cs="Times New Roman"/>
          <w:b w:val="0"/>
          <w:i/>
          <w:color w:val="595959"/>
          <w:sz w:val="18"/>
        </w:rPr>
        <w:t>NASDAQ: CDNS — Return on Invested Capital (ROIC)</w:t>
      </w:r>
    </w:p>
    <w:p>
      <w:pPr>
        <w:spacing w:before="120" w:after="40"/>
        <w:jc w:val="center"/>
      </w:pPr>
      <w:r>
        <w:drawing>
          <wp:inline xmlns:a="http://schemas.openxmlformats.org/drawingml/2006/main" xmlns:pic="http://schemas.openxmlformats.org/drawingml/2006/picture">
            <wp:extent cx="5943600" cy="3173813"/>
            <wp:docPr id="29" name="Picture 29"/>
            <wp:cNvGraphicFramePr>
              <a:graphicFrameLocks noChangeAspect="1"/>
            </wp:cNvGraphicFramePr>
            <a:graphic>
              <a:graphicData uri="http://schemas.openxmlformats.org/drawingml/2006/picture">
                <pic:pic>
                  <pic:nvPicPr>
                    <pic:cNvPr id="0" name="chart_23_operating_leverage.png"/>
                    <pic:cNvPicPr/>
                  </pic:nvPicPr>
                  <pic:blipFill>
                    <a:blip r:embed="rId33"/>
                    <a:stretch>
                      <a:fillRect/>
                    </a:stretch>
                  </pic:blipFill>
                  <pic:spPr>
                    <a:xfrm>
                      <a:off x="0" y="0"/>
                      <a:ext cx="5943600" cy="3173813"/>
                    </a:xfrm>
                    <a:prstGeom prst="rect"/>
                  </pic:spPr>
                </pic:pic>
              </a:graphicData>
            </a:graphic>
          </wp:inline>
        </w:drawing>
      </w:r>
    </w:p>
    <w:p>
      <w:pPr>
        <w:spacing w:after="160"/>
        <w:jc w:val="center"/>
      </w:pPr>
      <w:r>
        <w:rPr>
          <w:rFonts w:ascii="Times New Roman" w:hAnsi="Times New Roman" w:cs="Times New Roman"/>
          <w:b w:val="0"/>
          <w:i/>
          <w:color w:val="595959"/>
          <w:sz w:val="18"/>
        </w:rPr>
        <w:t>NASDAQ: CDNS — Incremental Operating Margin</w:t>
      </w:r>
    </w:p>
    <w:p>
      <w:pPr>
        <w:spacing w:before="120" w:after="40"/>
        <w:jc w:val="center"/>
      </w:pPr>
      <w:r>
        <w:drawing>
          <wp:inline xmlns:a="http://schemas.openxmlformats.org/drawingml/2006/main" xmlns:pic="http://schemas.openxmlformats.org/drawingml/2006/picture">
            <wp:extent cx="5943600" cy="3229650"/>
            <wp:docPr id="30" name="Picture 30"/>
            <wp:cNvGraphicFramePr>
              <a:graphicFrameLocks noChangeAspect="1"/>
            </wp:cNvGraphicFramePr>
            <a:graphic>
              <a:graphicData uri="http://schemas.openxmlformats.org/drawingml/2006/picture">
                <pic:pic>
                  <pic:nvPicPr>
                    <pic:cNvPr id="0" name="chart_20_eps_trend.png"/>
                    <pic:cNvPicPr/>
                  </pic:nvPicPr>
                  <pic:blipFill>
                    <a:blip r:embed="rId34"/>
                    <a:stretch>
                      <a:fillRect/>
                    </a:stretch>
                  </pic:blipFill>
                  <pic:spPr>
                    <a:xfrm>
                      <a:off x="0" y="0"/>
                      <a:ext cx="5943600" cy="3229650"/>
                    </a:xfrm>
                    <a:prstGeom prst="rect"/>
                  </pic:spPr>
                </pic:pic>
              </a:graphicData>
            </a:graphic>
          </wp:inline>
        </w:drawing>
      </w:r>
    </w:p>
    <w:p>
      <w:pPr>
        <w:spacing w:after="160"/>
        <w:jc w:val="center"/>
      </w:pPr>
      <w:r>
        <w:rPr>
          <w:rFonts w:ascii="Times New Roman" w:hAnsi="Times New Roman" w:cs="Times New Roman"/>
          <w:b w:val="0"/>
          <w:i/>
          <w:color w:val="595959"/>
          <w:sz w:val="18"/>
        </w:rPr>
        <w:t>NASDAQ: CDNS — Diluted EPS Trend</w:t>
      </w:r>
    </w:p>
    <w:p>
      <w:pPr>
        <w:spacing w:before="120" w:after="40"/>
        <w:jc w:val="center"/>
      </w:pPr>
      <w:r>
        <w:drawing>
          <wp:inline xmlns:a="http://schemas.openxmlformats.org/drawingml/2006/main" xmlns:pic="http://schemas.openxmlformats.org/drawingml/2006/picture">
            <wp:extent cx="5943600" cy="3187590"/>
            <wp:docPr id="31" name="Picture 31"/>
            <wp:cNvGraphicFramePr>
              <a:graphicFrameLocks noChangeAspect="1"/>
            </wp:cNvGraphicFramePr>
            <a:graphic>
              <a:graphicData uri="http://schemas.openxmlformats.org/drawingml/2006/picture">
                <pic:pic>
                  <pic:nvPicPr>
                    <pic:cNvPr id="0" name="chart_24_working_capital.png"/>
                    <pic:cNvPicPr/>
                  </pic:nvPicPr>
                  <pic:blipFill>
                    <a:blip r:embed="rId35"/>
                    <a:stretch>
                      <a:fillRect/>
                    </a:stretch>
                  </pic:blipFill>
                  <pic:spPr>
                    <a:xfrm>
                      <a:off x="0" y="0"/>
                      <a:ext cx="5943600" cy="3187590"/>
                    </a:xfrm>
                    <a:prstGeom prst="rect"/>
                  </pic:spPr>
                </pic:pic>
              </a:graphicData>
            </a:graphic>
          </wp:inline>
        </w:drawing>
      </w:r>
    </w:p>
    <w:p>
      <w:pPr>
        <w:spacing w:after="160"/>
        <w:jc w:val="center"/>
      </w:pPr>
      <w:r>
        <w:rPr>
          <w:rFonts w:ascii="Times New Roman" w:hAnsi="Times New Roman" w:cs="Times New Roman"/>
          <w:b w:val="0"/>
          <w:i/>
          <w:color w:val="595959"/>
          <w:sz w:val="18"/>
        </w:rPr>
        <w:t>NASDAQ: CDNS — Working Capital Efficiency</w:t>
      </w:r>
    </w:p>
    <w:p>
      <w:pPr>
        <w:spacing w:before="120" w:after="40"/>
        <w:jc w:val="center"/>
      </w:pPr>
      <w:r>
        <w:drawing>
          <wp:inline xmlns:a="http://schemas.openxmlformats.org/drawingml/2006/main" xmlns:pic="http://schemas.openxmlformats.org/drawingml/2006/picture">
            <wp:extent cx="5943600" cy="3157011"/>
            <wp:docPr id="32" name="Picture 32"/>
            <wp:cNvGraphicFramePr>
              <a:graphicFrameLocks noChangeAspect="1"/>
            </wp:cNvGraphicFramePr>
            <a:graphic>
              <a:graphicData uri="http://schemas.openxmlformats.org/drawingml/2006/picture">
                <pic:pic>
                  <pic:nvPicPr>
                    <pic:cNvPr id="0" name="chart_11_profitability_drivers.png"/>
                    <pic:cNvPicPr/>
                  </pic:nvPicPr>
                  <pic:blipFill>
                    <a:blip r:embed="rId36"/>
                    <a:stretch>
                      <a:fillRect/>
                    </a:stretch>
                  </pic:blipFill>
                  <pic:spPr>
                    <a:xfrm>
                      <a:off x="0" y="0"/>
                      <a:ext cx="5943600" cy="3157011"/>
                    </a:xfrm>
                    <a:prstGeom prst="rect"/>
                  </pic:spPr>
                </pic:pic>
              </a:graphicData>
            </a:graphic>
          </wp:inline>
        </w:drawing>
      </w:r>
    </w:p>
    <w:p>
      <w:pPr>
        <w:spacing w:after="160"/>
        <w:jc w:val="center"/>
      </w:pPr>
      <w:r>
        <w:rPr>
          <w:rFonts w:ascii="Times New Roman" w:hAnsi="Times New Roman" w:cs="Times New Roman"/>
          <w:b w:val="0"/>
          <w:i/>
          <w:color w:val="595959"/>
          <w:sz w:val="18"/>
        </w:rPr>
        <w:t>NASDAQ: CDNS — FY25 → FY26 Revenue &amp; EBIT Bridge</w:t>
      </w:r>
    </w:p>
    <w:p>
      <w:pPr>
        <w:spacing w:before="240" w:after="80"/>
      </w:pPr>
      <w:r>
        <w:rPr>
          <w:rFonts w:ascii="Times New Roman" w:hAnsi="Times New Roman" w:cs="Times New Roman"/>
          <w:b/>
          <w:i w:val="0"/>
          <w:color w:val="1F4E78"/>
          <w:sz w:val="26"/>
        </w:rPr>
        <w:t>Scenario Analysis (Bull / Base / Bear)</w:t>
      </w:r>
    </w:p>
    <w:p>
      <w:pPr>
        <w:spacing w:after="120" w:lineRule="auto" w:line="276"/>
      </w:pPr>
      <w:r>
        <w:rPr>
          <w:rFonts w:ascii="Times New Roman" w:hAnsi="Times New Roman" w:cs="Times New Roman"/>
          <w:b w:val="0"/>
          <w:i w:val="0"/>
          <w:sz w:val="22"/>
        </w:rPr>
        <w:t>We stress-test our base case with two alternative scenarios that flex revenue growth and operating margin by ±200bps annually. Each scenario captures a distinct macro/competitive backdrop, summarized below.</w:t>
      </w:r>
    </w:p>
    <w:p>
      <w:pPr>
        <w:spacing w:before="160" w:after="60"/>
      </w:pPr>
      <w:r>
        <w:rPr>
          <w:rFonts w:ascii="Times New Roman" w:hAnsi="Times New Roman" w:cs="Times New Roman"/>
          <w:b/>
          <w:i w:val="0"/>
          <w:color w:val="C00000"/>
          <w:sz w:val="22"/>
        </w:rPr>
        <w:t>Bull case</w:t>
      </w:r>
    </w:p>
    <w:p>
      <w:pPr>
        <w:spacing w:after="120" w:lineRule="auto" w:line="276"/>
      </w:pPr>
      <w:r>
        <w:rPr>
          <w:rFonts w:ascii="Times New Roman" w:hAnsi="Times New Roman" w:cs="Times New Roman"/>
          <w:b w:val="0"/>
          <w:i w:val="0"/>
          <w:sz w:val="22"/>
        </w:rPr>
        <w:t>AI Physical-AI inflection drives 16-17% sustained growth; Hexagon synergies exceed plan; EU AI Act ruling is benign; China revenue rebounds. FY30E revenue: $10.7B; non-GAAP OM: 46%.</w:t>
      </w:r>
    </w:p>
    <w:p>
      <w:pPr>
        <w:spacing w:before="160" w:after="60"/>
      </w:pPr>
      <w:r>
        <w:rPr>
          <w:rFonts w:ascii="Times New Roman" w:hAnsi="Times New Roman" w:cs="Times New Roman"/>
          <w:b/>
          <w:i w:val="0"/>
          <w:color w:val="C00000"/>
          <w:sz w:val="22"/>
        </w:rPr>
        <w:t>Base case</w:t>
      </w:r>
    </w:p>
    <w:p>
      <w:pPr>
        <w:spacing w:after="120" w:lineRule="auto" w:line="276"/>
      </w:pPr>
      <w:r>
        <w:rPr>
          <w:rFonts w:ascii="Times New Roman" w:hAnsi="Times New Roman" w:cs="Times New Roman"/>
          <w:b w:val="0"/>
          <w:i w:val="0"/>
          <w:sz w:val="22"/>
        </w:rPr>
        <w:t>Guidance-consistent; Hexagon closes 1H 2026; 14% growth dropping to 10% by FY30. FY30E revenue: $9.7B; non-GAAP OM: 47%.</w:t>
      </w:r>
    </w:p>
    <w:p>
      <w:pPr>
        <w:spacing w:before="160" w:after="60"/>
      </w:pPr>
      <w:r>
        <w:rPr>
          <w:rFonts w:ascii="Times New Roman" w:hAnsi="Times New Roman" w:cs="Times New Roman"/>
          <w:b/>
          <w:i w:val="0"/>
          <w:color w:val="C00000"/>
          <w:sz w:val="22"/>
        </w:rPr>
        <w:t>Bear case</w:t>
      </w:r>
    </w:p>
    <w:p>
      <w:pPr>
        <w:spacing w:after="120" w:lineRule="auto" w:line="276"/>
      </w:pPr>
      <w:r>
        <w:rPr>
          <w:rFonts w:ascii="Times New Roman" w:hAnsi="Times New Roman" w:cs="Times New Roman"/>
          <w:b w:val="0"/>
          <w:i w:val="0"/>
          <w:sz w:val="22"/>
        </w:rPr>
        <w:t>BIS settlement audits intensify, China export curbs return, EU AI Act bites harder than expected, Hexagon delayed. FY30E revenue: $8.7B; non-GAAP OM: 45%.</w:t>
      </w:r>
    </w:p>
    <w:p>
      <w:r>
        <w:br w:type="page"/>
      </w:r>
    </w:p>
    <w:p>
      <w:pPr>
        <w:spacing w:before="360" w:after="120"/>
        <w:pBdr>
          <w:bottom w:val="single" w:sz="8" w:space="1" w:color="1F4E78"/>
        </w:pBdr>
      </w:pPr>
      <w:r>
        <w:rPr>
          <w:rFonts w:ascii="Times New Roman" w:hAnsi="Times New Roman" w:cs="Times New Roman"/>
          <w:b/>
          <w:i w:val="0"/>
          <w:color w:val="1F4E78"/>
          <w:sz w:val="32"/>
        </w:rPr>
        <w:t>Valuation Analysis</w:t>
      </w:r>
    </w:p>
    <w:p>
      <w:pPr>
        <w:spacing w:before="240" w:after="80"/>
      </w:pPr>
      <w:r>
        <w:rPr>
          <w:rFonts w:ascii="Times New Roman" w:hAnsi="Times New Roman" w:cs="Times New Roman"/>
          <w:b/>
          <w:i w:val="0"/>
          <w:color w:val="1F4E78"/>
          <w:sz w:val="26"/>
        </w:rPr>
        <w:t>Executive Summary</w:t>
      </w:r>
    </w:p>
    <w:p>
      <w:pPr>
        <w:spacing w:after="120" w:lineRule="auto" w:line="276"/>
      </w:pPr>
      <w:r>
        <w:rPr>
          <w:rFonts w:ascii="Times New Roman" w:hAnsi="Times New Roman" w:cs="Times New Roman"/>
          <w:b w:val="0"/>
          <w:i w:val="0"/>
          <w:sz w:val="22"/>
        </w:rPr>
        <w:t xml:space="preserve">We initiate coverage of </w:t>
      </w:r>
      <w:r>
        <w:rPr>
          <w:rFonts w:ascii="Times New Roman" w:hAnsi="Times New Roman" w:cs="Times New Roman"/>
          <w:b/>
          <w:i w:val="0"/>
          <w:sz w:val="22"/>
        </w:rPr>
        <w:t>Cadence (CDNS)</w:t>
      </w:r>
      <w:r>
        <w:rPr>
          <w:rFonts w:ascii="Times New Roman" w:hAnsi="Times New Roman" w:cs="Times New Roman"/>
          <w:b w:val="0"/>
          <w:i w:val="0"/>
          <w:sz w:val="22"/>
        </w:rPr>
        <w:t xml:space="preserve"> with a </w:t>
      </w:r>
      <w:r>
        <w:rPr>
          <w:rFonts w:ascii="Times New Roman" w:hAnsi="Times New Roman" w:cs="Times New Roman"/>
          <w:b/>
          <w:i w:val="0"/>
          <w:sz w:val="22"/>
        </w:rPr>
        <w:t>BUY</w:t>
      </w:r>
      <w:r>
        <w:rPr>
          <w:rFonts w:ascii="Times New Roman" w:hAnsi="Times New Roman" w:cs="Times New Roman"/>
          <w:b w:val="0"/>
          <w:i w:val="0"/>
          <w:sz w:val="22"/>
        </w:rPr>
        <w:t xml:space="preserve"> recommendation and a </w:t>
      </w:r>
      <w:r>
        <w:rPr>
          <w:rFonts w:ascii="Times New Roman" w:hAnsi="Times New Roman" w:cs="Times New Roman"/>
          <w:b/>
          <w:i w:val="0"/>
          <w:sz w:val="22"/>
        </w:rPr>
        <w:t>12-month price target of $400</w:t>
      </w:r>
      <w:r>
        <w:rPr>
          <w:rFonts w:ascii="Times New Roman" w:hAnsi="Times New Roman" w:cs="Times New Roman"/>
          <w:b w:val="0"/>
          <w:i w:val="0"/>
          <w:sz w:val="22"/>
        </w:rPr>
        <w:t xml:space="preserve">, implying </w:t>
      </w:r>
      <w:r>
        <w:rPr>
          <w:rFonts w:ascii="Times New Roman" w:hAnsi="Times New Roman" w:cs="Times New Roman"/>
          <w:b/>
          <w:i w:val="0"/>
          <w:sz w:val="22"/>
        </w:rPr>
        <w:t>18.3% upside</w:t>
      </w:r>
      <w:r>
        <w:rPr>
          <w:rFonts w:ascii="Times New Roman" w:hAnsi="Times New Roman" w:cs="Times New Roman"/>
          <w:b w:val="0"/>
          <w:i w:val="0"/>
          <w:sz w:val="22"/>
        </w:rPr>
        <w:t xml:space="preserve"> from the current price of $338.19. Our price target is anchored to:</w:t>
      </w:r>
    </w:p>
    <w:p>
      <w:pPr>
        <w:pStyle w:val="ListBullet"/>
        <w:ind w:left="432"/>
      </w:pPr>
      <w:r>
        <w:rPr>
          <w:rFonts w:ascii="Times New Roman" w:hAnsi="Times New Roman" w:cs="Times New Roman"/>
          <w:b w:val="0"/>
          <w:i w:val="0"/>
          <w:sz w:val="22"/>
        </w:rPr>
        <w:t xml:space="preserve">A discounted cash flow (DCF) valuation that incorporates a WACC of </w:t>
      </w:r>
      <w:r>
        <w:rPr>
          <w:rFonts w:ascii="Times New Roman" w:hAnsi="Times New Roman" w:cs="Times New Roman"/>
          <w:b/>
          <w:i w:val="0"/>
          <w:sz w:val="22"/>
        </w:rPr>
        <w:t>9.4%</w:t>
      </w:r>
      <w:r>
        <w:rPr>
          <w:rFonts w:ascii="Times New Roman" w:hAnsi="Times New Roman" w:cs="Times New Roman"/>
          <w:b w:val="0"/>
          <w:i w:val="0"/>
          <w:sz w:val="22"/>
        </w:rPr>
        <w:t xml:space="preserve"> and a terminal growth rate of </w:t>
      </w:r>
      <w:r>
        <w:rPr>
          <w:rFonts w:ascii="Times New Roman" w:hAnsi="Times New Roman" w:cs="Times New Roman"/>
          <w:b/>
          <w:i w:val="0"/>
          <w:sz w:val="22"/>
        </w:rPr>
        <w:t>3.0%</w:t>
      </w:r>
      <w:r>
        <w:rPr>
          <w:rFonts w:ascii="Times New Roman" w:hAnsi="Times New Roman" w:cs="Times New Roman"/>
          <w:b w:val="0"/>
          <w:i w:val="0"/>
          <w:sz w:val="22"/>
        </w:rPr>
        <w:t xml:space="preserve">, yielding a DCF value per share of </w:t>
      </w:r>
      <w:r>
        <w:rPr>
          <w:rFonts w:ascii="Times New Roman" w:hAnsi="Times New Roman" w:cs="Times New Roman"/>
          <w:b/>
          <w:i w:val="0"/>
          <w:sz w:val="22"/>
        </w:rPr>
        <w:t>$193.99</w:t>
      </w:r>
      <w:r>
        <w:rPr>
          <w:rFonts w:ascii="Times New Roman" w:hAnsi="Times New Roman" w:cs="Times New Roman"/>
          <w:b w:val="0"/>
          <w:i w:val="0"/>
          <w:sz w:val="22"/>
        </w:rPr>
        <w:t>.</w:t>
      </w:r>
    </w:p>
    <w:p>
      <w:pPr>
        <w:pStyle w:val="ListBullet"/>
        <w:ind w:left="432"/>
      </w:pPr>
      <w:r>
        <w:rPr>
          <w:rFonts w:ascii="Times New Roman" w:hAnsi="Times New Roman" w:cs="Times New Roman"/>
          <w:b w:val="0"/>
          <w:i w:val="0"/>
          <w:sz w:val="22"/>
        </w:rPr>
        <w:t xml:space="preserve">A peer-comp framework using mission-critical software and design-IP comparables that yields an implied per-share value of </w:t>
      </w:r>
      <w:r>
        <w:rPr>
          <w:rFonts w:ascii="Times New Roman" w:hAnsi="Times New Roman" w:cs="Times New Roman"/>
          <w:b/>
          <w:i w:val="0"/>
          <w:sz w:val="22"/>
        </w:rPr>
        <w:t>$300.20</w:t>
      </w:r>
      <w:r>
        <w:rPr>
          <w:rFonts w:ascii="Times New Roman" w:hAnsi="Times New Roman" w:cs="Times New Roman"/>
          <w:b w:val="0"/>
          <w:i w:val="0"/>
          <w:sz w:val="22"/>
        </w:rPr>
        <w:t xml:space="preserve"> on a forward P/E basis.</w:t>
      </w:r>
    </w:p>
    <w:p>
      <w:pPr>
        <w:pStyle w:val="ListBullet"/>
        <w:ind w:left="432"/>
      </w:pPr>
      <w:r>
        <w:rPr>
          <w:rFonts w:ascii="Times New Roman" w:hAnsi="Times New Roman" w:cs="Times New Roman"/>
          <w:b w:val="0"/>
          <w:i w:val="0"/>
          <w:sz w:val="22"/>
        </w:rPr>
        <w:t>A blended methodology weighting DCF (30%), forward P/E comps (30%), EV/Revenue and EV/EBITDA comps (15% each), and analyst consensus (10%).</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816258"/>
            <wp:docPr id="33" name="Picture 33"/>
            <wp:cNvGraphicFramePr>
              <a:graphicFrameLocks noChangeAspect="1"/>
            </wp:cNvGraphicFramePr>
            <a:graphic>
              <a:graphicData uri="http://schemas.openxmlformats.org/drawingml/2006/picture">
                <pic:pic>
                  <pic:nvPicPr>
                    <pic:cNvPr id="0" name="chart_28_dcf_sensitivity.png"/>
                    <pic:cNvPicPr/>
                  </pic:nvPicPr>
                  <pic:blipFill>
                    <a:blip r:embed="rId37"/>
                    <a:stretch>
                      <a:fillRect/>
                    </a:stretch>
                  </pic:blipFill>
                  <pic:spPr>
                    <a:xfrm>
                      <a:off x="0" y="0"/>
                      <a:ext cx="5943600" cy="3816258"/>
                    </a:xfrm>
                    <a:prstGeom prst="rect"/>
                  </pic:spPr>
                </pic:pic>
              </a:graphicData>
            </a:graphic>
          </wp:inline>
        </w:drawing>
      </w:r>
    </w:p>
    <w:p>
      <w:pPr>
        <w:spacing w:after="160"/>
        <w:jc w:val="center"/>
      </w:pPr>
      <w:r>
        <w:rPr>
          <w:rFonts w:ascii="Times New Roman" w:hAnsi="Times New Roman" w:cs="Times New Roman"/>
          <w:b w:val="0"/>
          <w:i/>
          <w:color w:val="595959"/>
          <w:sz w:val="18"/>
        </w:rPr>
        <w:t>DCF Sensitivity Analysis</w:t>
      </w:r>
    </w:p>
    <w:p>
      <w:pPr>
        <w:spacing w:before="120" w:after="40"/>
        <w:jc w:val="center"/>
      </w:pPr>
      <w:r>
        <w:drawing>
          <wp:inline xmlns:a="http://schemas.openxmlformats.org/drawingml/2006/main" xmlns:pic="http://schemas.openxmlformats.org/drawingml/2006/picture">
            <wp:extent cx="5943600" cy="3462754"/>
            <wp:docPr id="34" name="Picture 34"/>
            <wp:cNvGraphicFramePr>
              <a:graphicFrameLocks noChangeAspect="1"/>
            </wp:cNvGraphicFramePr>
            <a:graphic>
              <a:graphicData uri="http://schemas.openxmlformats.org/drawingml/2006/picture">
                <pic:pic>
                  <pic:nvPicPr>
                    <pic:cNvPr id="0" name="chart_29_dcf_components.png"/>
                    <pic:cNvPicPr/>
                  </pic:nvPicPr>
                  <pic:blipFill>
                    <a:blip r:embed="rId38"/>
                    <a:stretch>
                      <a:fillRect/>
                    </a:stretch>
                  </pic:blipFill>
                  <pic:spPr>
                    <a:xfrm>
                      <a:off x="0" y="0"/>
                      <a:ext cx="5943600" cy="3462754"/>
                    </a:xfrm>
                    <a:prstGeom prst="rect"/>
                  </pic:spPr>
                </pic:pic>
              </a:graphicData>
            </a:graphic>
          </wp:inline>
        </w:drawing>
      </w:r>
    </w:p>
    <w:p>
      <w:pPr>
        <w:spacing w:after="160"/>
        <w:jc w:val="center"/>
      </w:pPr>
      <w:r>
        <w:rPr>
          <w:rFonts w:ascii="Times New Roman" w:hAnsi="Times New Roman" w:cs="Times New Roman"/>
          <w:b w:val="0"/>
          <w:i/>
          <w:color w:val="595959"/>
          <w:sz w:val="18"/>
        </w:rPr>
        <w:t>DCF Value Components</w:t>
      </w:r>
    </w:p>
    <w:p>
      <w:pPr>
        <w:spacing w:before="240" w:after="80"/>
      </w:pPr>
      <w:r>
        <w:rPr>
          <w:rFonts w:ascii="Times New Roman" w:hAnsi="Times New Roman" w:cs="Times New Roman"/>
          <w:b/>
          <w:i w:val="0"/>
          <w:color w:val="1F4E78"/>
          <w:sz w:val="26"/>
        </w:rPr>
        <w:t>1. DCF Valuation</w:t>
      </w:r>
    </w:p>
    <w:p>
      <w:pPr>
        <w:spacing w:before="160" w:after="60"/>
      </w:pPr>
      <w:r>
        <w:rPr>
          <w:rFonts w:ascii="Times New Roman" w:hAnsi="Times New Roman" w:cs="Times New Roman"/>
          <w:b/>
          <w:i w:val="0"/>
          <w:color w:val="C00000"/>
          <w:sz w:val="22"/>
        </w:rPr>
        <w:t>1.1 Methodology</w:t>
      </w:r>
    </w:p>
    <w:p>
      <w:pPr>
        <w:spacing w:after="120" w:lineRule="auto" w:line="276"/>
      </w:pPr>
      <w:r>
        <w:rPr>
          <w:rFonts w:ascii="Times New Roman" w:hAnsi="Times New Roman" w:cs="Times New Roman"/>
          <w:b w:val="0"/>
          <w:i w:val="0"/>
          <w:sz w:val="22"/>
        </w:rPr>
        <w:t>We model 5 years of explicit unlevered free cash flow (UFCF) from FY2026E through FY2030E, with a terminal value computed via the Gordon Growth model. Operating assumptions are sourced from our Task 2 financial model, which derives projections directly from the CDNS FY2025 10-K and management guidance.</w:t>
      </w:r>
    </w:p>
    <w:p>
      <w:pPr>
        <w:spacing w:before="160" w:after="60"/>
      </w:pPr>
      <w:r>
        <w:rPr>
          <w:rFonts w:ascii="Times New Roman" w:hAnsi="Times New Roman" w:cs="Times New Roman"/>
          <w:b/>
          <w:i w:val="0"/>
          <w:color w:val="C00000"/>
          <w:sz w:val="22"/>
        </w:rPr>
        <w:t>1.2 Cash Flow Build ($M)</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FY26E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FY27E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FY28E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FY29E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FY30E</w:t>
            </w:r>
          </w:p>
        </w:tc>
        <w:tc>
          <w:tcPr>
            <w:tcW w:type="dxa" w:w="1425"/>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Terminal</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Revenue</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6,175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7,035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7,950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8,830</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9,685</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9,976</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EBIT</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2,748</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3,187</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3,657</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4,106</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4,552</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NOPAT (× (1 – tax))</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2,171</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2,518</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2,889</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3,244</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3,596</w:t>
            </w:r>
          </w:p>
        </w:tc>
        <w:tc>
          <w:tcPr>
            <w:tcW w:type="dxa" w:w="1425"/>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Unlevered FCF</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2,220</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2,574</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2,953</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3,314</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3,674</w:t>
            </w:r>
          </w:p>
        </w:tc>
        <w:tc>
          <w:tcPr>
            <w:tcW w:type="dxa" w:w="1425"/>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3,784</w:t>
            </w:r>
          </w:p>
        </w:tc>
      </w:tr>
    </w:tbl>
    <w:p/>
    <w:p>
      <w:pPr>
        <w:spacing w:before="160" w:after="60"/>
      </w:pPr>
      <w:r>
        <w:rPr>
          <w:rFonts w:ascii="Times New Roman" w:hAnsi="Times New Roman" w:cs="Times New Roman"/>
          <w:b/>
          <w:i w:val="0"/>
          <w:color w:val="C00000"/>
          <w:sz w:val="22"/>
        </w:rPr>
        <w:t>1.3 WACC Build</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Component</w:t>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Value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Risk-free rate (10-yr UST)</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Equity risk premium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Beta (5y monthly)</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Cost of equity (CAPM)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Pre-tax cost of debt</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After-tax cost of debt</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Debt / Capital</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Equity / Capital</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97%</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**WACC**</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**9.4%**</w:t>
            </w:r>
          </w:p>
        </w:tc>
      </w:tr>
    </w:tbl>
    <w:p/>
    <w:p>
      <w:pPr>
        <w:spacing w:before="160" w:after="60"/>
      </w:pPr>
      <w:r>
        <w:rPr>
          <w:rFonts w:ascii="Times New Roman" w:hAnsi="Times New Roman" w:cs="Times New Roman"/>
          <w:b/>
          <w:i w:val="0"/>
          <w:color w:val="C00000"/>
          <w:sz w:val="22"/>
        </w:rPr>
        <w:t>1.4 Valuation Output</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Value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Sum PV of explicit FCFs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11,103</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Terminal value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59,406</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PV of terminal value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37,961</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Enterprise value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49,063</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 Cash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3,000</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 Total debt ($M)</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(2,480)</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Equity value ($M)</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49,583</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**DCF value per share**</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**$193.99**</w:t>
            </w:r>
          </w:p>
        </w:tc>
      </w:tr>
    </w:tbl>
    <w:p/>
    <w:p>
      <w:pPr>
        <w:spacing w:before="160" w:after="60"/>
      </w:pPr>
      <w:r>
        <w:rPr>
          <w:rFonts w:ascii="Times New Roman" w:hAnsi="Times New Roman" w:cs="Times New Roman"/>
          <w:b/>
          <w:i w:val="0"/>
          <w:color w:val="C00000"/>
          <w:sz w:val="22"/>
        </w:rPr>
        <w:t>1.5 Sensitivity Analysis</w:t>
      </w:r>
    </w:p>
    <w:p>
      <w:pPr>
        <w:spacing w:after="120" w:lineRule="auto" w:line="276"/>
      </w:pPr>
      <w:r>
        <w:rPr>
          <w:rFonts w:ascii="Times New Roman" w:hAnsi="Times New Roman" w:cs="Times New Roman"/>
          <w:b w:val="0"/>
          <w:i w:val="0"/>
          <w:sz w:val="22"/>
        </w:rPr>
        <w:t>Sensitivity of DCF per share to WACC and terminal growth (see Excel "DCF Sensitivity" tab for full matrix):</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WACC –100bps</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WACC base (9.4%)</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WACC +100bps</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 = 2.5%</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$200.74</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$170.69</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$148.31</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 = 3.0% (base)</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$216.20</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**$193.99**</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$156.12</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 = 3.5%</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$234.83</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$193.99</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$165.07</w:t>
            </w:r>
          </w:p>
        </w:tc>
      </w:tr>
    </w:tbl>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824195"/>
            <wp:docPr id="35" name="Picture 35"/>
            <wp:cNvGraphicFramePr>
              <a:graphicFrameLocks noChangeAspect="1"/>
            </wp:cNvGraphicFramePr>
            <a:graphic>
              <a:graphicData uri="http://schemas.openxmlformats.org/drawingml/2006/picture">
                <pic:pic>
                  <pic:nvPicPr>
                    <pic:cNvPr id="0" name="chart_30_comps_fwd_pe.png"/>
                    <pic:cNvPicPr/>
                  </pic:nvPicPr>
                  <pic:blipFill>
                    <a:blip r:embed="rId39"/>
                    <a:stretch>
                      <a:fillRect/>
                    </a:stretch>
                  </pic:blipFill>
                  <pic:spPr>
                    <a:xfrm>
                      <a:off x="0" y="0"/>
                      <a:ext cx="5943600" cy="3824195"/>
                    </a:xfrm>
                    <a:prstGeom prst="rect"/>
                  </pic:spPr>
                </pic:pic>
              </a:graphicData>
            </a:graphic>
          </wp:inline>
        </w:drawing>
      </w:r>
    </w:p>
    <w:p>
      <w:pPr>
        <w:spacing w:after="160"/>
        <w:jc w:val="center"/>
      </w:pPr>
      <w:r>
        <w:rPr>
          <w:rFonts w:ascii="Times New Roman" w:hAnsi="Times New Roman" w:cs="Times New Roman"/>
          <w:b w:val="0"/>
          <w:i/>
          <w:color w:val="595959"/>
          <w:sz w:val="18"/>
        </w:rPr>
        <w:t>Forward P/E vs Peers</w:t>
      </w:r>
    </w:p>
    <w:p>
      <w:pPr>
        <w:spacing w:before="120" w:after="40"/>
        <w:jc w:val="center"/>
      </w:pPr>
      <w:r>
        <w:drawing>
          <wp:inline xmlns:a="http://schemas.openxmlformats.org/drawingml/2006/main" xmlns:pic="http://schemas.openxmlformats.org/drawingml/2006/picture">
            <wp:extent cx="5943600" cy="4145705"/>
            <wp:docPr id="36" name="Picture 36"/>
            <wp:cNvGraphicFramePr>
              <a:graphicFrameLocks noChangeAspect="1"/>
            </wp:cNvGraphicFramePr>
            <a:graphic>
              <a:graphicData uri="http://schemas.openxmlformats.org/drawingml/2006/picture">
                <pic:pic>
                  <pic:nvPicPr>
                    <pic:cNvPr id="0" name="chart_31_pe_growth_scatter.png"/>
                    <pic:cNvPicPr/>
                  </pic:nvPicPr>
                  <pic:blipFill>
                    <a:blip r:embed="rId40"/>
                    <a:stretch>
                      <a:fillRect/>
                    </a:stretch>
                  </pic:blipFill>
                  <pic:spPr>
                    <a:xfrm>
                      <a:off x="0" y="0"/>
                      <a:ext cx="5943600" cy="4145705"/>
                    </a:xfrm>
                    <a:prstGeom prst="rect"/>
                  </pic:spPr>
                </pic:pic>
              </a:graphicData>
            </a:graphic>
          </wp:inline>
        </w:drawing>
      </w:r>
    </w:p>
    <w:p>
      <w:pPr>
        <w:spacing w:after="160"/>
        <w:jc w:val="center"/>
      </w:pPr>
      <w:r>
        <w:rPr>
          <w:rFonts w:ascii="Times New Roman" w:hAnsi="Times New Roman" w:cs="Times New Roman"/>
          <w:b w:val="0"/>
          <w:i/>
          <w:color w:val="595959"/>
          <w:sz w:val="18"/>
        </w:rPr>
        <w:t>P/E vs Growth Scatter</w:t>
      </w:r>
    </w:p>
    <w:p>
      <w:pPr>
        <w:spacing w:before="120" w:after="40"/>
        <w:jc w:val="center"/>
      </w:pPr>
      <w:r>
        <w:drawing>
          <wp:inline xmlns:a="http://schemas.openxmlformats.org/drawingml/2006/main" xmlns:pic="http://schemas.openxmlformats.org/drawingml/2006/picture">
            <wp:extent cx="5943600" cy="3457327"/>
            <wp:docPr id="37" name="Picture 37"/>
            <wp:cNvGraphicFramePr>
              <a:graphicFrameLocks noChangeAspect="1"/>
            </wp:cNvGraphicFramePr>
            <a:graphic>
              <a:graphicData uri="http://schemas.openxmlformats.org/drawingml/2006/picture">
                <pic:pic>
                  <pic:nvPicPr>
                    <pic:cNvPr id="0" name="chart_34_multiples_vs_market.png"/>
                    <pic:cNvPicPr/>
                  </pic:nvPicPr>
                  <pic:blipFill>
                    <a:blip r:embed="rId41"/>
                    <a:stretch>
                      <a:fillRect/>
                    </a:stretch>
                  </pic:blipFill>
                  <pic:spPr>
                    <a:xfrm>
                      <a:off x="0" y="0"/>
                      <a:ext cx="5943600" cy="3457327"/>
                    </a:xfrm>
                    <a:prstGeom prst="rect"/>
                  </pic:spPr>
                </pic:pic>
              </a:graphicData>
            </a:graphic>
          </wp:inline>
        </w:drawing>
      </w:r>
    </w:p>
    <w:p>
      <w:pPr>
        <w:spacing w:after="160"/>
        <w:jc w:val="center"/>
      </w:pPr>
      <w:r>
        <w:rPr>
          <w:rFonts w:ascii="Times New Roman" w:hAnsi="Times New Roman" w:cs="Times New Roman"/>
          <w:b w:val="0"/>
          <w:i/>
          <w:color w:val="595959"/>
          <w:sz w:val="18"/>
        </w:rPr>
        <w:t>Multiples vs Peer Median vs S&amp;P 500</w:t>
      </w:r>
    </w:p>
    <w:p>
      <w:pPr>
        <w:spacing w:before="240" w:after="80"/>
      </w:pPr>
      <w:r>
        <w:rPr>
          <w:rFonts w:ascii="Times New Roman" w:hAnsi="Times New Roman" w:cs="Times New Roman"/>
          <w:b/>
          <w:i w:val="0"/>
          <w:color w:val="1F4E78"/>
          <w:sz w:val="26"/>
        </w:rPr>
        <w:t>2. Comparable Companies Analysis</w:t>
      </w:r>
    </w:p>
    <w:p>
      <w:pPr>
        <w:spacing w:before="160" w:after="60"/>
      </w:pPr>
      <w:r>
        <w:rPr>
          <w:rFonts w:ascii="Times New Roman" w:hAnsi="Times New Roman" w:cs="Times New Roman"/>
          <w:b/>
          <w:i w:val="0"/>
          <w:color w:val="C00000"/>
          <w:sz w:val="22"/>
        </w:rPr>
        <w:t>2.1 Peer Universe</w:t>
      </w:r>
    </w:p>
    <w:p>
      <w:pPr>
        <w:spacing w:after="120" w:lineRule="auto" w:line="276"/>
      </w:pPr>
      <w:r>
        <w:rPr>
          <w:rFonts w:ascii="Times New Roman" w:hAnsi="Times New Roman" w:cs="Times New Roman"/>
          <w:b w:val="0"/>
          <w:i w:val="0"/>
          <w:sz w:val="22"/>
        </w:rPr>
        <w:t>We selected peers across four buckets that share key economic characteristics with Cadence: high gross margin (&gt;75%), recurring revenue mix (&gt;80%), critical-workflow software, and exposure to AI infrastructure or design-IP themes.</w:t>
      </w:r>
    </w:p>
    <w:tbl>
      <w:tblPr>
        <w:tblW w:type="auto" w:w="0"/>
        <w:jc w:val="center"/>
        <w:tblLayout w:type="fixed"/>
        <w:tblLook w:firstColumn="1" w:firstRow="1" w:lastColumn="0" w:lastRow="0" w:noHBand="0" w:noVBand="1" w:val="04A0"/>
      </w:tblPr>
      <w:tblGrid>
        <w:gridCol w:w="3324"/>
        <w:gridCol w:w="3324"/>
        <w:gridCol w:w="3324"/>
      </w:tblGrid>
      <w:tr>
        <w:tc>
          <w:tcPr>
            <w:tcW w:type="dxa" w:w="332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Bucket</w:t>
            </w:r>
          </w:p>
        </w:tc>
        <w:tc>
          <w:tcPr>
            <w:tcW w:type="dxa" w:w="332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Tickers</w:t>
            </w:r>
          </w:p>
        </w:tc>
        <w:tc>
          <w:tcPr>
            <w:tcW w:type="dxa" w:w="332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Rationale</w:t>
            </w:r>
          </w:p>
        </w:tc>
      </w:tr>
      <w:tr>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EDA direct peer</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Synopsys (SNPS)</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The other half of the EDA duopoly</w:t>
            </w:r>
          </w:p>
        </w:tc>
      </w:tr>
      <w:tr>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Multi-physics simulation</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ANSS (pre-acq)</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Engineering simulation reference multiple</w:t>
            </w:r>
          </w:p>
        </w:tc>
      </w:tr>
      <w:tr>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Mission-critical SaaS</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ADBE, INTU, NOW, CRM</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Sticky enterprise SaaS, 70-90% recurring</w:t>
            </w:r>
          </w:p>
        </w:tc>
      </w:tr>
      <w:tr>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Design IP / AI infrastructure</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ARM, ANET</w:t>
            </w:r>
          </w:p>
        </w:tc>
        <w:tc>
          <w:tcPr>
            <w:tcW w:type="dxa" w:w="332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Closest analogs for "AI tools that enable AI"</w:t>
            </w:r>
          </w:p>
        </w:tc>
      </w:tr>
      <w:tr>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Engineering software</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ADSK, PTC</w:t>
            </w:r>
          </w:p>
        </w:tc>
        <w:tc>
          <w:tcPr>
            <w:tcW w:type="dxa" w:w="332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Adjacent industrial-software comps</w:t>
            </w:r>
          </w:p>
        </w:tc>
      </w:tr>
    </w:tbl>
    <w:p/>
    <w:p>
      <w:pPr>
        <w:spacing w:before="160" w:after="60"/>
      </w:pPr>
      <w:r>
        <w:rPr>
          <w:rFonts w:ascii="Times New Roman" w:hAnsi="Times New Roman" w:cs="Times New Roman"/>
          <w:b/>
          <w:i w:val="0"/>
          <w:color w:val="C00000"/>
          <w:sz w:val="22"/>
        </w:rPr>
        <w:t>2.2 Peer Multiples Table</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Ticker</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Company</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Fwd P/E</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EV/Rev</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EV/EBITDA</w:t>
            </w:r>
          </w:p>
        </w:tc>
        <w:tc>
          <w:tcPr>
            <w:tcW w:type="dxa" w:w="1662"/>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NTM Growth</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**CDNS**</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**Cadence (self)**</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**42.8x**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**30.3x**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SNPS</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Synopsys</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29.6x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11.3x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24.8x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ANSS</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Ansys (pre-acq)</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ANET</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Arista Networks</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ARM</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Arm Holdings</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INTU</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Intuit</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NOW</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ServiceNow</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ADBE</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Adobe</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ADSK</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Autodesk</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w:t>
            </w:r>
          </w:p>
        </w:tc>
      </w:tr>
      <w:tr>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PTC</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PTC</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11.5x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28.0x</w:t>
            </w:r>
          </w:p>
        </w:tc>
        <w:tc>
          <w:tcPr>
            <w:tcW w:type="dxa" w:w="1662"/>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CRM</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Salesforce</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14.0x</w:t>
            </w:r>
          </w:p>
        </w:tc>
        <w:tc>
          <w:tcPr>
            <w:tcW w:type="dxa" w:w="166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w:t>
            </w:r>
          </w:p>
        </w:tc>
      </w:tr>
    </w:tbl>
    <w:p/>
    <w:p>
      <w:pPr>
        <w:spacing w:before="160" w:after="60"/>
      </w:pPr>
      <w:r>
        <w:rPr>
          <w:rFonts w:ascii="Times New Roman" w:hAnsi="Times New Roman" w:cs="Times New Roman"/>
          <w:b/>
          <w:i w:val="0"/>
          <w:color w:val="C00000"/>
          <w:sz w:val="22"/>
        </w:rPr>
        <w:t>2.3 Statistical Summary (excluding CDNS / SNPS)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Statistic</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Fwd P/E</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EV/Rev</w:t>
            </w:r>
          </w:p>
        </w:tc>
        <w:tc>
          <w:tcPr>
            <w:tcW w:type="dxa" w:w="2493"/>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EV/EBITDA</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Maximum</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100.0x</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75th percentile</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32.0x</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Median</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22.0x</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Mean</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40.6x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14.2x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31.3x</w:t>
            </w:r>
          </w:p>
        </w:tc>
      </w:tr>
      <w:tr>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25th percentile</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9.2x</w:t>
            </w:r>
          </w:p>
        </w:tc>
        <w:tc>
          <w:tcPr>
            <w:tcW w:type="dxa" w:w="2493"/>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17.0x</w:t>
            </w:r>
          </w:p>
        </w:tc>
      </w:tr>
      <w:tr>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Minimum</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5.8x</w:t>
            </w:r>
          </w:p>
        </w:tc>
        <w:tc>
          <w:tcPr>
            <w:tcW w:type="dxa" w:w="2493"/>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11.0x</w:t>
            </w:r>
          </w:p>
        </w:tc>
      </w:tr>
    </w:tbl>
    <w:p/>
    <w:p>
      <w:pPr>
        <w:spacing w:before="160" w:after="60"/>
      </w:pPr>
      <w:r>
        <w:rPr>
          <w:rFonts w:ascii="Times New Roman" w:hAnsi="Times New Roman" w:cs="Times New Roman"/>
          <w:b/>
          <w:i w:val="0"/>
          <w:color w:val="C00000"/>
          <w:sz w:val="22"/>
        </w:rPr>
        <w:t>2.4 Implied Valuation From Peer Multiples</w:t>
      </w:r>
    </w:p>
    <w:p>
      <w:pPr>
        <w:spacing w:after="120" w:lineRule="auto" w:line="276"/>
      </w:pPr>
      <w:r>
        <w:rPr>
          <w:rFonts w:ascii="Times New Roman" w:hAnsi="Times New Roman" w:cs="Times New Roman"/>
          <w:b w:val="0"/>
          <w:i w:val="0"/>
          <w:sz w:val="22"/>
        </w:rPr>
        <w:t>Applying the median multiple to CDNS's FY2026E metrics: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Method</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Multiple</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 Metric</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 Implied per share</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vs. current</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Forward P/E</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38.0x</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$7.90 (FY26E non-GAAP EPS)</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**$300.20**</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-11.2%</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EV/Revenue</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10.5x</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$6,175M (FY26E rev)</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**$239.14**</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-29.3%</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EV/EBITDA</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22.0x</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$3,057M (FY26E EBITDA)</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**$247.98**</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-26.7%</w:t>
            </w:r>
          </w:p>
        </w:tc>
      </w:tr>
    </w:tbl>
    <w:p/>
    <w:p>
      <w:pPr>
        <w:spacing w:after="120" w:lineRule="auto" w:line="276"/>
      </w:pPr>
      <w:r>
        <w:rPr>
          <w:rFonts w:ascii="Times New Roman" w:hAnsi="Times New Roman" w:cs="Times New Roman"/>
          <w:b w:val="0"/>
          <w:i w:val="0"/>
          <w:sz w:val="22"/>
        </w:rPr>
        <w:t>---</w:t>
      </w:r>
    </w:p>
    <w:p>
      <w:pPr>
        <w:spacing w:before="240" w:after="80"/>
      </w:pPr>
      <w:r>
        <w:rPr>
          <w:rFonts w:ascii="Times New Roman" w:hAnsi="Times New Roman" w:cs="Times New Roman"/>
          <w:b/>
          <w:i w:val="0"/>
          <w:color w:val="1F4E78"/>
          <w:sz w:val="26"/>
        </w:rPr>
        <w:t>3. Precedent Transactions</w:t>
      </w:r>
    </w:p>
    <w:p>
      <w:pPr>
        <w:spacing w:after="120" w:lineRule="auto" w:line="276"/>
      </w:pPr>
      <w:r>
        <w:rPr>
          <w:rFonts w:ascii="Times New Roman" w:hAnsi="Times New Roman" w:cs="Times New Roman"/>
          <w:b w:val="0"/>
          <w:i w:val="0"/>
          <w:sz w:val="22"/>
        </w:rPr>
        <w:t xml:space="preserve">Most relevant transaction is </w:t>
      </w:r>
      <w:r>
        <w:rPr>
          <w:rFonts w:ascii="Times New Roman" w:hAnsi="Times New Roman" w:cs="Times New Roman"/>
          <w:b/>
          <w:i w:val="0"/>
          <w:sz w:val="22"/>
        </w:rPr>
        <w:t>Synopsys / Ansys (closed July 2025, $34.9B)</w:t>
      </w:r>
      <w:r>
        <w:rPr>
          <w:rFonts w:ascii="Times New Roman" w:hAnsi="Times New Roman" w:cs="Times New Roman"/>
          <w:b w:val="0"/>
          <w:i w:val="0"/>
          <w:sz w:val="22"/>
        </w:rPr>
        <w:t>:</w:t>
      </w:r>
    </w:p>
    <w:tbl>
      <w:tblPr>
        <w:tblW w:type="auto" w:w="0"/>
        <w:jc w:val="center"/>
        <w:tblLayout w:type="fixed"/>
        <w:tblLook w:firstColumn="1" w:firstRow="1" w:lastColumn="0" w:lastRow="0" w:noHBand="0" w:noVBand="1" w:val="04A0"/>
      </w:tblPr>
      <w:tblGrid>
        <w:gridCol w:w="4986"/>
        <w:gridCol w:w="4986"/>
      </w:tblGrid>
      <w:tr>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Metric</w:t>
            </w:r>
          </w:p>
        </w:tc>
        <w:tc>
          <w:tcPr>
            <w:tcW w:type="dxa" w:w="4986"/>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Multiple</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 / NTM Revenue</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~13.5x</w:t>
            </w:r>
          </w:p>
        </w:tc>
      </w:tr>
      <w:tr>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EV / NTM EBITDA</w:t>
            </w:r>
          </w:p>
        </w:tc>
        <w:tc>
          <w:tcPr>
            <w:tcW w:type="dxa" w:w="4986"/>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~32x</w:t>
            </w:r>
          </w:p>
        </w:tc>
      </w:tr>
      <w:tr>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Premium to undisturbed</w:t>
            </w:r>
          </w:p>
        </w:tc>
        <w:tc>
          <w:tcPr>
            <w:tcW w:type="dxa" w:w="4986"/>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w:t>
            </w:r>
          </w:p>
        </w:tc>
      </w:tr>
    </w:tbl>
    <w:p/>
    <w:p>
      <w:pPr>
        <w:spacing w:after="120" w:lineRule="auto" w:line="276"/>
      </w:pPr>
      <w:r>
        <w:rPr>
          <w:rFonts w:ascii="Times New Roman" w:hAnsi="Times New Roman" w:cs="Times New Roman"/>
          <w:b w:val="0"/>
          <w:i w:val="0"/>
          <w:sz w:val="22"/>
        </w:rPr>
        <w:t xml:space="preserve">The deal anchors EDA/simulation-software M&amp;A in the 13-15x EV/revenue and 30-35x EV/EBITDA range. Implied per-share value for CDNS at deal-level EV/Rev of 13.5x = </w:t>
      </w:r>
      <w:r>
        <w:rPr>
          <w:rFonts w:ascii="Times New Roman" w:hAnsi="Times New Roman" w:cs="Times New Roman"/>
          <w:b/>
          <w:i w:val="0"/>
          <w:sz w:val="22"/>
        </w:rPr>
        <w:t>$306.92</w:t>
      </w:r>
      <w:r>
        <w:rPr>
          <w:rFonts w:ascii="Times New Roman" w:hAnsi="Times New Roman" w:cs="Times New Roman"/>
          <w:b w:val="0"/>
          <w:i w:val="0"/>
          <w:sz w:val="22"/>
        </w:rPr>
        <w:t>.</w:t>
      </w:r>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056021"/>
            <wp:docPr id="38" name="Picture 38"/>
            <wp:cNvGraphicFramePr>
              <a:graphicFrameLocks noChangeAspect="1"/>
            </wp:cNvGraphicFramePr>
            <a:graphic>
              <a:graphicData uri="http://schemas.openxmlformats.org/drawingml/2006/picture">
                <pic:pic>
                  <pic:nvPicPr>
                    <pic:cNvPr id="0" name="chart_32_valuation_football_field.png"/>
                    <pic:cNvPicPr/>
                  </pic:nvPicPr>
                  <pic:blipFill>
                    <a:blip r:embed="rId42"/>
                    <a:stretch>
                      <a:fillRect/>
                    </a:stretch>
                  </pic:blipFill>
                  <pic:spPr>
                    <a:xfrm>
                      <a:off x="0" y="0"/>
                      <a:ext cx="5943600" cy="3056021"/>
                    </a:xfrm>
                    <a:prstGeom prst="rect"/>
                  </pic:spPr>
                </pic:pic>
              </a:graphicData>
            </a:graphic>
          </wp:inline>
        </w:drawing>
      </w:r>
    </w:p>
    <w:p>
      <w:pPr>
        <w:spacing w:after="160"/>
        <w:jc w:val="center"/>
      </w:pPr>
      <w:r>
        <w:rPr>
          <w:rFonts w:ascii="Times New Roman" w:hAnsi="Times New Roman" w:cs="Times New Roman"/>
          <w:b w:val="0"/>
          <w:i/>
          <w:color w:val="595959"/>
          <w:sz w:val="18"/>
        </w:rPr>
        <w:t>Valuation Football Field</w:t>
      </w:r>
    </w:p>
    <w:p>
      <w:pPr>
        <w:spacing w:before="240" w:after="80"/>
      </w:pPr>
      <w:r>
        <w:rPr>
          <w:rFonts w:ascii="Times New Roman" w:hAnsi="Times New Roman" w:cs="Times New Roman"/>
          <w:b/>
          <w:i w:val="0"/>
          <w:color w:val="1F4E78"/>
          <w:sz w:val="26"/>
        </w:rPr>
        <w:t>4. Football Field</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Methodology</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Low</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Mid</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High</w:t>
            </w:r>
          </w:p>
        </w:tc>
        <w:tc>
          <w:tcPr>
            <w:tcW w:type="dxa" w:w="1994"/>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Weight</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DCF (WACC ±100bps, g 2.5–3.5%)</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$165</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$194</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$233</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Comps – Fwd P/E (25th–75th pct)</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$255</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$360</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Comps – EV/Revenue (25th–75th)</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$203</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$239</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$287</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Comps – EV/EBITDA (25th–75th)</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$211</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$248</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$298</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w:t>
            </w:r>
          </w:p>
        </w:tc>
      </w:tr>
      <w:tr>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Analyst consensus 12mo target</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$275</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$425</w:t>
            </w:r>
          </w:p>
        </w:tc>
        <w:tc>
          <w:tcPr>
            <w:tcW w:type="dxa" w:w="1994"/>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w:t>
            </w:r>
          </w:p>
        </w:tc>
      </w:tr>
      <w:tr>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**Weighted blended target**</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**$400**</w:t>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r>
          </w:p>
        </w:tc>
        <w:tc>
          <w:tcPr>
            <w:tcW w:type="dxa" w:w="1994"/>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r>
          </w:p>
        </w:tc>
      </w:tr>
    </w:tbl>
    <w:p/>
    <w:p>
      <w:pPr>
        <w:spacing w:after="120" w:lineRule="auto" w:line="276"/>
      </w:pPr>
      <w:r>
        <w:rPr>
          <w:rFonts w:ascii="Times New Roman" w:hAnsi="Times New Roman" w:cs="Times New Roman"/>
          <w:b w:val="0"/>
          <w:i w:val="0"/>
          <w:sz w:val="22"/>
        </w:rPr>
        <w:t>---</w:t>
      </w:r>
    </w:p>
    <w:p>
      <w:pPr>
        <w:spacing w:before="120" w:after="40"/>
        <w:jc w:val="center"/>
      </w:pPr>
      <w:r>
        <w:drawing>
          <wp:inline xmlns:a="http://schemas.openxmlformats.org/drawingml/2006/main" xmlns:pic="http://schemas.openxmlformats.org/drawingml/2006/picture">
            <wp:extent cx="5943600" cy="3187590"/>
            <wp:docPr id="39" name="Picture 39"/>
            <wp:cNvGraphicFramePr>
              <a:graphicFrameLocks noChangeAspect="1"/>
            </wp:cNvGraphicFramePr>
            <a:graphic>
              <a:graphicData uri="http://schemas.openxmlformats.org/drawingml/2006/picture">
                <pic:pic>
                  <pic:nvPicPr>
                    <pic:cNvPr id="0" name="chart_33_historical_pe.png"/>
                    <pic:cNvPicPr/>
                  </pic:nvPicPr>
                  <pic:blipFill>
                    <a:blip r:embed="rId43"/>
                    <a:stretch>
                      <a:fillRect/>
                    </a:stretch>
                  </pic:blipFill>
                  <pic:spPr>
                    <a:xfrm>
                      <a:off x="0" y="0"/>
                      <a:ext cx="5943600" cy="3187590"/>
                    </a:xfrm>
                    <a:prstGeom prst="rect"/>
                  </pic:spPr>
                </pic:pic>
              </a:graphicData>
            </a:graphic>
          </wp:inline>
        </w:drawing>
      </w:r>
    </w:p>
    <w:p>
      <w:pPr>
        <w:spacing w:after="160"/>
        <w:jc w:val="center"/>
      </w:pPr>
      <w:r>
        <w:rPr>
          <w:rFonts w:ascii="Times New Roman" w:hAnsi="Times New Roman" w:cs="Times New Roman"/>
          <w:b w:val="0"/>
          <w:i/>
          <w:color w:val="595959"/>
          <w:sz w:val="18"/>
        </w:rPr>
        <w:t>Forward P/E History (5y)</w:t>
      </w:r>
    </w:p>
    <w:p>
      <w:pPr>
        <w:spacing w:before="240" w:after="80"/>
      </w:pPr>
      <w:r>
        <w:rPr>
          <w:rFonts w:ascii="Times New Roman" w:hAnsi="Times New Roman" w:cs="Times New Roman"/>
          <w:b/>
          <w:i w:val="0"/>
          <w:color w:val="1F4E78"/>
          <w:sz w:val="26"/>
        </w:rPr>
        <w:t>5. Price Target &amp; Recommendation</w:t>
      </w:r>
    </w:p>
    <w:p>
      <w:pPr>
        <w:spacing w:after="120" w:lineRule="auto" w:line="276"/>
      </w:pPr>
      <w:r>
        <w:rPr>
          <w:rFonts w:ascii="Times New Roman" w:hAnsi="Times New Roman" w:cs="Times New Roman"/>
          <w:b/>
          <w:i w:val="0"/>
          <w:sz w:val="22"/>
        </w:rPr>
        <w:t>12-month price target: $400</w:t>
      </w:r>
      <w:r>
        <w:rPr>
          <w:rFonts w:ascii="Times New Roman" w:hAnsi="Times New Roman" w:cs="Times New Roman"/>
          <w:b w:val="0"/>
          <w:i w:val="0"/>
          <w:sz w:val="22"/>
        </w:rPr>
        <w:t xml:space="preserve"> </w:t>
      </w:r>
      <w:r>
        <w:rPr>
          <w:rFonts w:ascii="Times New Roman" w:hAnsi="Times New Roman" w:cs="Times New Roman"/>
          <w:b/>
          <w:i w:val="0"/>
          <w:sz w:val="22"/>
        </w:rPr>
        <w:t>Recommendation: BUY</w:t>
      </w:r>
      <w:r>
        <w:rPr>
          <w:rFonts w:ascii="Times New Roman" w:hAnsi="Times New Roman" w:cs="Times New Roman"/>
          <w:b w:val="0"/>
          <w:i w:val="0"/>
          <w:sz w:val="22"/>
        </w:rPr>
        <w:t xml:space="preserve"> </w:t>
      </w:r>
      <w:r>
        <w:rPr>
          <w:rFonts w:ascii="Times New Roman" w:hAnsi="Times New Roman" w:cs="Times New Roman"/>
          <w:b/>
          <w:i w:val="0"/>
          <w:sz w:val="22"/>
        </w:rPr>
        <w:t>Implied upside: +18.3%</w:t>
      </w:r>
    </w:p>
    <w:p>
      <w:pPr>
        <w:spacing w:before="160" w:after="60"/>
      </w:pPr>
      <w:r>
        <w:rPr>
          <w:rFonts w:ascii="Times New Roman" w:hAnsi="Times New Roman" w:cs="Times New Roman"/>
          <w:b/>
          <w:i w:val="0"/>
          <w:color w:val="C00000"/>
          <w:sz w:val="22"/>
        </w:rPr>
        <w:t>5.1 Key Catalysts</w:t>
      </w:r>
    </w:p>
    <w:p>
      <w:pPr>
        <w:pStyle w:val="ListNumber"/>
      </w:pPr>
      <w:r>
        <w:rPr>
          <w:rFonts w:ascii="Times New Roman" w:hAnsi="Times New Roman" w:cs="Times New Roman"/>
          <w:b/>
          <w:i w:val="0"/>
          <w:sz w:val="22"/>
        </w:rPr>
        <w:t>Hexagon Design &amp; Engineering acquisition close (1H 2026)</w:t>
      </w:r>
      <w:r>
        <w:rPr>
          <w:rFonts w:ascii="Times New Roman" w:hAnsi="Times New Roman" w:cs="Times New Roman"/>
          <w:b w:val="0"/>
          <w:i w:val="0"/>
          <w:sz w:val="22"/>
        </w:rPr>
        <w:t xml:space="preserve"> — adds MSC Nastran + Adams to system-design portfolio; expected to be revenue-accretive day one and unlock multi-physics cross-sell.</w:t>
      </w:r>
    </w:p>
    <w:p>
      <w:pPr>
        <w:pStyle w:val="ListNumber"/>
      </w:pPr>
      <w:r>
        <w:rPr>
          <w:rFonts w:ascii="Times New Roman" w:hAnsi="Times New Roman" w:cs="Times New Roman"/>
          <w:b/>
          <w:i w:val="0"/>
          <w:sz w:val="22"/>
        </w:rPr>
        <w:t>FY2026 guide raise</w:t>
      </w:r>
      <w:r>
        <w:rPr>
          <w:rFonts w:ascii="Times New Roman" w:hAnsi="Times New Roman" w:cs="Times New Roman"/>
          <w:b w:val="0"/>
          <w:i w:val="0"/>
          <w:sz w:val="22"/>
        </w:rPr>
        <w:t xml:space="preserve"> — management already raised to $6.125B-$6.225B (+15-17% YoY) on Q1 strength; further raises likely on AI-design demand.</w:t>
      </w:r>
    </w:p>
    <w:p>
      <w:pPr>
        <w:pStyle w:val="ListNumber"/>
      </w:pPr>
      <w:r>
        <w:rPr>
          <w:rFonts w:ascii="Times New Roman" w:hAnsi="Times New Roman" w:cs="Times New Roman"/>
          <w:b/>
          <w:i w:val="0"/>
          <w:sz w:val="22"/>
        </w:rPr>
        <w:t>Cerebrus &amp; JedAI agentic-AI traction</w:t>
      </w:r>
      <w:r>
        <w:rPr>
          <w:rFonts w:ascii="Times New Roman" w:hAnsi="Times New Roman" w:cs="Times New Roman"/>
          <w:b w:val="0"/>
          <w:i w:val="0"/>
          <w:sz w:val="22"/>
        </w:rPr>
        <w:t xml:space="preserve"> — over 1,000 tapeouts and ~50 new logos in Q1 2026; pricing power inflection if customers move to value-based licensing.</w:t>
      </w:r>
    </w:p>
    <w:p>
      <w:pPr>
        <w:pStyle w:val="ListNumber"/>
      </w:pPr>
      <w:r>
        <w:rPr>
          <w:rFonts w:ascii="Times New Roman" w:hAnsi="Times New Roman" w:cs="Times New Roman"/>
          <w:b/>
          <w:i w:val="0"/>
          <w:sz w:val="22"/>
        </w:rPr>
        <w:t>EU AI Act (Aug 2026)</w:t>
      </w:r>
      <w:r>
        <w:rPr>
          <w:rFonts w:ascii="Times New Roman" w:hAnsi="Times New Roman" w:cs="Times New Roman"/>
          <w:b w:val="0"/>
          <w:i w:val="0"/>
          <w:sz w:val="22"/>
        </w:rPr>
        <w:t xml:space="preserve"> — Cadence is the only EDA peer to explicitly name this; near-term overhang resolution would re-rate the stock.</w:t>
      </w:r>
    </w:p>
    <w:p>
      <w:pPr>
        <w:pStyle w:val="ListNumber"/>
      </w:pPr>
      <w:r>
        <w:rPr>
          <w:rFonts w:ascii="Times New Roman" w:hAnsi="Times New Roman" w:cs="Times New Roman"/>
          <w:b/>
          <w:i w:val="0"/>
          <w:sz w:val="22"/>
        </w:rPr>
        <w:t>China revenue recovery</w:t>
      </w:r>
      <w:r>
        <w:rPr>
          <w:rFonts w:ascii="Times New Roman" w:hAnsi="Times New Roman" w:cs="Times New Roman"/>
          <w:b w:val="0"/>
          <w:i w:val="0"/>
          <w:sz w:val="22"/>
        </w:rPr>
        <w:t xml:space="preserve"> — China grew +19% in FY25 after export restrictions eased; further normalization is upside.</w:t>
      </w:r>
    </w:p>
    <w:p>
      <w:pPr>
        <w:spacing w:before="160" w:after="60"/>
      </w:pPr>
      <w:r>
        <w:rPr>
          <w:rFonts w:ascii="Times New Roman" w:hAnsi="Times New Roman" w:cs="Times New Roman"/>
          <w:b/>
          <w:i w:val="0"/>
          <w:color w:val="C00000"/>
          <w:sz w:val="22"/>
        </w:rPr>
        <w:t>5.2 Key Risks</w:t>
      </w:r>
    </w:p>
    <w:p>
      <w:pPr>
        <w:pStyle w:val="ListNumber"/>
      </w:pPr>
      <w:r>
        <w:rPr>
          <w:rFonts w:ascii="Times New Roman" w:hAnsi="Times New Roman" w:cs="Times New Roman"/>
          <w:b/>
          <w:i w:val="0"/>
          <w:sz w:val="22"/>
        </w:rPr>
        <w:t>BIS settlement overhang</w:t>
      </w:r>
      <w:r>
        <w:rPr>
          <w:rFonts w:ascii="Times New Roman" w:hAnsi="Times New Roman" w:cs="Times New Roman"/>
          <w:b w:val="0"/>
          <w:i w:val="0"/>
          <w:sz w:val="22"/>
        </w:rPr>
        <w:t xml:space="preserve"> — $140.6M July 2025 guilty plea on China export violations carries 3-year probation and audit obligations; restricts M&amp;A capability.</w:t>
      </w:r>
    </w:p>
    <w:p>
      <w:pPr>
        <w:pStyle w:val="ListNumber"/>
      </w:pPr>
      <w:r>
        <w:rPr>
          <w:rFonts w:ascii="Times New Roman" w:hAnsi="Times New Roman" w:cs="Times New Roman"/>
          <w:b/>
          <w:i w:val="0"/>
          <w:sz w:val="22"/>
        </w:rPr>
        <w:t>Hexagon integration risk</w:t>
      </w:r>
      <w:r>
        <w:rPr>
          <w:rFonts w:ascii="Times New Roman" w:hAnsi="Times New Roman" w:cs="Times New Roman"/>
          <w:b w:val="0"/>
          <w:i w:val="0"/>
          <w:sz w:val="22"/>
        </w:rPr>
        <w:t xml:space="preserve"> — though smaller than Ansys deal, Hexagon will be Cadence's largest M&amp;A; integration distraction could compress margins.</w:t>
      </w:r>
    </w:p>
    <w:p>
      <w:pPr>
        <w:pStyle w:val="ListNumber"/>
      </w:pPr>
      <w:r>
        <w:rPr>
          <w:rFonts w:ascii="Times New Roman" w:hAnsi="Times New Roman" w:cs="Times New Roman"/>
          <w:b/>
          <w:i w:val="0"/>
          <w:sz w:val="22"/>
        </w:rPr>
        <w:t>AI Act compliance</w:t>
      </w:r>
      <w:r>
        <w:rPr>
          <w:rFonts w:ascii="Times New Roman" w:hAnsi="Times New Roman" w:cs="Times New Roman"/>
          <w:b w:val="0"/>
          <w:i w:val="0"/>
          <w:sz w:val="22"/>
        </w:rPr>
        <w:t xml:space="preserve"> — EU AI Act effective August 2026 with fines up to 7% of worldwide turnover; cost burden uncertain.</w:t>
      </w:r>
    </w:p>
    <w:p>
      <w:pPr>
        <w:pStyle w:val="ListNumber"/>
      </w:pPr>
      <w:r>
        <w:rPr>
          <w:rFonts w:ascii="Times New Roman" w:hAnsi="Times New Roman" w:cs="Times New Roman"/>
          <w:b/>
          <w:i w:val="0"/>
          <w:sz w:val="22"/>
        </w:rPr>
        <w:t>Chinese domestic EDA competition</w:t>
      </w:r>
      <w:r>
        <w:rPr>
          <w:rFonts w:ascii="Times New Roman" w:hAnsi="Times New Roman" w:cs="Times New Roman"/>
          <w:b w:val="0"/>
          <w:i w:val="0"/>
          <w:sz w:val="22"/>
        </w:rPr>
        <w:t xml:space="preserve"> — Huada Empyrean, Xpeedic, X-EPIC and Primarius are named in the 10-K; geopolitical decoupling could accelerate share loss.</w:t>
      </w:r>
    </w:p>
    <w:p>
      <w:pPr>
        <w:pStyle w:val="ListNumber"/>
      </w:pPr>
      <w:r>
        <w:rPr>
          <w:rFonts w:ascii="Times New Roman" w:hAnsi="Times New Roman" w:cs="Times New Roman"/>
          <w:b/>
          <w:i w:val="0"/>
          <w:sz w:val="22"/>
        </w:rPr>
        <w:t>Multiple compression</w:t>
      </w:r>
      <w:r>
        <w:rPr>
          <w:rFonts w:ascii="Times New Roman" w:hAnsi="Times New Roman" w:cs="Times New Roman"/>
          <w:b w:val="0"/>
          <w:i w:val="0"/>
          <w:sz w:val="22"/>
        </w:rPr>
        <w:t xml:space="preserve"> — at ~43x forward P/E, any deceleration below 12% revenue growth would compress multiples sharply.</w:t>
      </w:r>
    </w:p>
    <w:p>
      <w:pPr>
        <w:spacing w:before="160" w:after="60"/>
      </w:pPr>
      <w:r>
        <w:rPr>
          <w:rFonts w:ascii="Times New Roman" w:hAnsi="Times New Roman" w:cs="Times New Roman"/>
          <w:b/>
          <w:i w:val="0"/>
          <w:color w:val="C00000"/>
          <w:sz w:val="22"/>
        </w:rPr>
        <w:t>5.3 Why BUY</w:t>
      </w:r>
    </w:p>
    <w:p>
      <w:pPr>
        <w:pStyle w:val="ListBullet"/>
        <w:ind w:left="432"/>
      </w:pPr>
      <w:r>
        <w:rPr>
          <w:rFonts w:ascii="Times New Roman" w:hAnsi="Times New Roman" w:cs="Times New Roman"/>
          <w:b w:val="0"/>
          <w:i w:val="0"/>
          <w:sz w:val="22"/>
        </w:rPr>
        <w:t>Clean balance sheet ($0.5B net cash) vs. SNPS's $10.6B net debt — full optionality on M&amp;A and capital return.</w:t>
      </w:r>
    </w:p>
    <w:p>
      <w:pPr>
        <w:pStyle w:val="ListBullet"/>
        <w:ind w:left="432"/>
      </w:pPr>
      <w:r>
        <w:rPr>
          <w:rFonts w:ascii="Times New Roman" w:hAnsi="Times New Roman" w:cs="Times New Roman"/>
          <w:b w:val="0"/>
          <w:i w:val="0"/>
          <w:sz w:val="22"/>
        </w:rPr>
        <w:t>Three-horizon AI narrative (Infrastructure AI, Physical AI, Life Sciences AI) is the cleanest in the sector.</w:t>
      </w:r>
    </w:p>
    <w:p>
      <w:pPr>
        <w:pStyle w:val="ListBullet"/>
        <w:ind w:left="432"/>
      </w:pPr>
      <w:r>
        <w:rPr>
          <w:rFonts w:ascii="Times New Roman" w:hAnsi="Times New Roman" w:cs="Times New Roman"/>
          <w:b w:val="0"/>
          <w:i w:val="0"/>
          <w:sz w:val="22"/>
        </w:rPr>
        <w:t>~28% GAAP op margin and 44%+ non-GAAP op margin — best-in-class profitability among large-cap software.</w:t>
      </w:r>
    </w:p>
    <w:p>
      <w:pPr>
        <w:pStyle w:val="ListBullet"/>
        <w:ind w:left="432"/>
      </w:pPr>
      <w:r>
        <w:rPr>
          <w:rFonts w:ascii="Times New Roman" w:hAnsi="Times New Roman" w:cs="Times New Roman"/>
          <w:b w:val="0"/>
          <w:i w:val="0"/>
          <w:sz w:val="22"/>
        </w:rPr>
        <w:t>All-organic 14% growth with $7.8B backlog providing 53% next-twelve-month revenue visibility.</w:t>
      </w:r>
    </w:p>
    <w:p>
      <w:pPr>
        <w:pStyle w:val="ListBullet"/>
        <w:ind w:left="432"/>
      </w:pPr>
      <w:r>
        <w:rPr>
          <w:rFonts w:ascii="Times New Roman" w:hAnsi="Times New Roman" w:cs="Times New Roman"/>
          <w:b w:val="0"/>
          <w:i w:val="0"/>
          <w:sz w:val="22"/>
        </w:rPr>
        <w:t>Hexagon D&amp;E acquisition directly attacks Ansys's structural-analysis stronghold, signalling Cadence will not cede multi-physics.</w:t>
      </w:r>
    </w:p>
    <w:p>
      <w:pPr>
        <w:spacing w:after="120" w:lineRule="auto" w:line="276"/>
      </w:pPr>
      <w:r>
        <w:rPr>
          <w:rFonts w:ascii="Times New Roman" w:hAnsi="Times New Roman" w:cs="Times New Roman"/>
          <w:b w:val="0"/>
          <w:i w:val="0"/>
          <w:sz w:val="22"/>
        </w:rPr>
        <w:t>---</w:t>
      </w:r>
    </w:p>
    <w:p>
      <w:pPr>
        <w:spacing w:before="240" w:after="80"/>
      </w:pPr>
      <w:r>
        <w:rPr>
          <w:rFonts w:ascii="Times New Roman" w:hAnsi="Times New Roman" w:cs="Times New Roman"/>
          <w:b/>
          <w:i w:val="0"/>
          <w:color w:val="1F4E78"/>
          <w:sz w:val="26"/>
        </w:rPr>
        <w:t>Appendix A — Sources</w:t>
      </w:r>
    </w:p>
    <w:p>
      <w:pPr>
        <w:pStyle w:val="ListBullet"/>
        <w:ind w:left="432"/>
      </w:pPr>
      <w:r>
        <w:rPr>
          <w:rFonts w:ascii="Times New Roman" w:hAnsi="Times New Roman" w:cs="Times New Roman"/>
          <w:b w:val="0"/>
          <w:i w:val="0"/>
          <w:sz w:val="22"/>
        </w:rPr>
        <w:t>CDNS FY2025 10-K (filed 2026-02-19)</w:t>
      </w:r>
    </w:p>
    <w:p>
      <w:pPr>
        <w:pStyle w:val="ListBullet"/>
        <w:ind w:left="432"/>
      </w:pPr>
      <w:r>
        <w:rPr>
          <w:rFonts w:ascii="Times New Roman" w:hAnsi="Times New Roman" w:cs="Times New Roman"/>
          <w:b w:val="0"/>
          <w:i w:val="0"/>
          <w:sz w:val="22"/>
        </w:rPr>
        <w:t>CDNS Q1 FY2026 earnings release</w:t>
      </w:r>
    </w:p>
    <w:p>
      <w:pPr>
        <w:pStyle w:val="ListBullet"/>
        <w:ind w:left="432"/>
      </w:pPr>
      <w:r>
        <w:rPr>
          <w:rFonts w:ascii="Times New Roman" w:hAnsi="Times New Roman" w:cs="Times New Roman"/>
          <w:b w:val="0"/>
          <w:i w:val="0"/>
          <w:sz w:val="22"/>
        </w:rPr>
        <w:t>Task 2 financial model (5y historical + 5y projections)</w:t>
      </w:r>
    </w:p>
    <w:p>
      <w:pPr>
        <w:pStyle w:val="ListBullet"/>
        <w:ind w:left="432"/>
      </w:pPr>
      <w:r>
        <w:rPr>
          <w:rFonts w:ascii="Times New Roman" w:hAnsi="Times New Roman" w:cs="Times New Roman"/>
          <w:b w:val="0"/>
          <w:i w:val="0"/>
          <w:sz w:val="22"/>
        </w:rPr>
        <w:t>Analyst consensus: 22 sell-side analysts as of 2026-05-20</w:t>
      </w:r>
    </w:p>
    <w:p>
      <w:pPr>
        <w:pStyle w:val="ListBullet"/>
        <w:ind w:left="432"/>
      </w:pPr>
      <w:r>
        <w:rPr>
          <w:rFonts w:ascii="Times New Roman" w:hAnsi="Times New Roman" w:cs="Times New Roman"/>
          <w:b w:val="0"/>
          <w:i w:val="0"/>
          <w:sz w:val="22"/>
        </w:rPr>
        <w:t>Peer multiples: Yahoo Finance, Seeking Alpha, finance charts as of 2026-05-20</w:t>
      </w:r>
    </w:p>
    <w:p>
      <w:pPr>
        <w:spacing w:before="240" w:after="80"/>
      </w:pPr>
      <w:r>
        <w:rPr>
          <w:rFonts w:ascii="Times New Roman" w:hAnsi="Times New Roman" w:cs="Times New Roman"/>
          <w:b/>
          <w:i w:val="0"/>
          <w:color w:val="1F4E78"/>
          <w:sz w:val="26"/>
        </w:rPr>
        <w:t>Appendix B — Notes on Methodology</w:t>
      </w:r>
    </w:p>
    <w:p>
      <w:pPr>
        <w:pStyle w:val="ListBullet"/>
        <w:ind w:left="432"/>
      </w:pPr>
      <w:r>
        <w:rPr>
          <w:rFonts w:ascii="Times New Roman" w:hAnsi="Times New Roman" w:cs="Times New Roman"/>
          <w:b w:val="0"/>
          <w:i w:val="0"/>
          <w:sz w:val="22"/>
        </w:rPr>
        <w:t>DCF uses unlevered (firm) cash flow: NOPAT + D&amp;A – Capex – ΔWC</w:t>
      </w:r>
    </w:p>
    <w:p>
      <w:pPr>
        <w:pStyle w:val="ListBullet"/>
        <w:ind w:left="432"/>
      </w:pPr>
      <w:r>
        <w:rPr>
          <w:rFonts w:ascii="Times New Roman" w:hAnsi="Times New Roman" w:cs="Times New Roman"/>
          <w:b w:val="0"/>
          <w:i w:val="0"/>
          <w:sz w:val="22"/>
        </w:rPr>
        <w:t>Terminal value via Gordon Growth: UFCF_T+1 / (WACC – g)</w:t>
      </w:r>
    </w:p>
    <w:p>
      <w:pPr>
        <w:pStyle w:val="ListBullet"/>
        <w:ind w:left="432"/>
      </w:pPr>
      <w:r>
        <w:rPr>
          <w:rFonts w:ascii="Times New Roman" w:hAnsi="Times New Roman" w:cs="Times New Roman"/>
          <w:b w:val="0"/>
          <w:i w:val="0"/>
          <w:sz w:val="22"/>
        </w:rPr>
        <w:t>WACC computed via CAPM for cost of equity + after-tax cost of debt, weighted by capital structure</w:t>
      </w:r>
    </w:p>
    <w:p>
      <w:pPr>
        <w:pStyle w:val="ListBullet"/>
        <w:ind w:left="432"/>
      </w:pPr>
      <w:r>
        <w:rPr>
          <w:rFonts w:ascii="Times New Roman" w:hAnsi="Times New Roman" w:cs="Times New Roman"/>
          <w:b w:val="0"/>
          <w:i w:val="0"/>
          <w:sz w:val="22"/>
        </w:rPr>
        <w:t>Comps use NTM (FY26E) metrics for consistency</w:t>
      </w:r>
    </w:p>
    <w:p>
      <w:pPr>
        <w:pStyle w:val="ListBullet"/>
        <w:ind w:left="432"/>
      </w:pPr>
      <w:r>
        <w:rPr>
          <w:rFonts w:ascii="Times New Roman" w:hAnsi="Times New Roman" w:cs="Times New Roman"/>
          <w:b w:val="0"/>
          <w:i w:val="0"/>
          <w:sz w:val="22"/>
        </w:rPr>
        <w:t>Football-field "weighted blended target" is for reference only; final price target reflects qualitative judgment overlay</w:t>
      </w:r>
    </w:p>
    <w:p>
      <w:pPr>
        <w:spacing w:after="120" w:lineRule="auto" w:line="276"/>
      </w:pPr>
      <w:r>
        <w:rPr>
          <w:rFonts w:ascii="Times New Roman" w:hAnsi="Times New Roman" w:cs="Times New Roman"/>
          <w:b w:val="0"/>
          <w:i w:val="0"/>
          <w:sz w:val="22"/>
        </w:rPr>
        <w:t>*Prepared as Task 3 of equity-research initiating-coverage workflow. Next tasks: chart generation (Task 4), final DOCX report assembly (Task 5).*</w:t>
      </w:r>
    </w:p>
    <w:p>
      <w:r>
        <w:br w:type="page"/>
      </w:r>
    </w:p>
    <w:p>
      <w:pPr>
        <w:spacing w:before="360" w:after="120"/>
        <w:pBdr>
          <w:bottom w:val="single" w:sz="8" w:space="1" w:color="1F4E78"/>
        </w:pBdr>
      </w:pPr>
      <w:r>
        <w:rPr>
          <w:rFonts w:ascii="Times New Roman" w:hAnsi="Times New Roman" w:cs="Times New Roman"/>
          <w:b/>
          <w:i w:val="0"/>
          <w:color w:val="1F4E78"/>
          <w:sz w:val="32"/>
        </w:rPr>
        <w:t>Appendix A — Detailed Financial Statements</w:t>
      </w:r>
    </w:p>
    <w:p>
      <w:pPr>
        <w:spacing w:before="240" w:after="80"/>
      </w:pPr>
      <w:r>
        <w:rPr>
          <w:rFonts w:ascii="Times New Roman" w:hAnsi="Times New Roman" w:cs="Times New Roman"/>
          <w:b/>
          <w:i w:val="0"/>
          <w:color w:val="1F4E78"/>
          <w:sz w:val="26"/>
        </w:rPr>
        <w:t>Income Statement Detail</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Line item</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FY2021</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FY2022</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FY2023</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FY2024</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FY2025</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FY2026E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FY2027E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FY2028E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FY2029E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FY2030E</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Product and maintenance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2,812,947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3,340,197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3,834,359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4,213,509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4,821,589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5,494,858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6,209,189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6,954,292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7,719,264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8,491,191</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Services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175,297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221,521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255,627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427,755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475,170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543,447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614,096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687,787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763,444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839,788</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revenue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2,988,244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3,561,718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4,089,986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4,641,264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5,296,759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6,038,305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6,823,285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7,642,079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8,482,708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9,330,979</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Cost of product and maintenance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222,647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273,565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331,760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436,600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518,673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591,099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667,941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748,094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830,385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913,423</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Cost of services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84,359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98,058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103,281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210,902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203,576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232,828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263,096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294,667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327,080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359,788</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Marketing and sales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560,262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604,224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690,319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757,483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802,633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899,707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996,200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1,092,817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1,187,579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1,278,344</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Research and development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1,134,277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1,251,544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1,441,796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1,549,093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1,768,772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1,992,641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2,217,568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2,445,465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2,680,536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2,911,265</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General and administrative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189,018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242,116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242,430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273,961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313,387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344,183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382,104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420,314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458,066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494,542</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Amortization of acquired intangibles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19,640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18,470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18,162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30,375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39,937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48,000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Loss related to contingent liability</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8,322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128,545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Restructuring</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11,013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23,765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29,194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costs and expenses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2,209,155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2,488,032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2,838,761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3,290,501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3,804,717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4,130,458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4,596,908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5,068,358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5,543,646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6,015,363</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Income from operations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779,089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1,073,686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1,251,225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1,350,763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1,492,042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1,907,847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2,226,377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2,573,721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2,939,062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3,315,616</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Interest expense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-16,980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-22,934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-36,185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-75,999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-116,541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-95,000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Other income, net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6,326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-5,389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66,886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121,055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146,542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170,000</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Income before income taxes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768,435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1,045,363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1,281,926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1,395,819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1,522,043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1,942,847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2,271,377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2,628,721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3,004,062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3,390,616</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Provision for income taxes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72,480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196,411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240,782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340,335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413,155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514,854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601,915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696,611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796,076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898,513</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income</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695,955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848,952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1,041,144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1,055,484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1,108,888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1,427,993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1,669,462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1,932,110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2,207,985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2,492,103</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Diluted EPS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7.12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8.16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9.25</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Diluted shares (000s)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278858.00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275011.00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272748.00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273833.00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273312.00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273500.00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272500.00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271500.00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270500.00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269500.00</w:t>
            </w:r>
          </w:p>
        </w:tc>
      </w:tr>
    </w:tbl>
    <w:p/>
    <w:p>
      <w:pPr>
        <w:spacing w:before="240" w:after="80"/>
      </w:pPr>
      <w:r>
        <w:rPr>
          <w:rFonts w:ascii="Times New Roman" w:hAnsi="Times New Roman" w:cs="Times New Roman"/>
          <w:b/>
          <w:i w:val="0"/>
          <w:color w:val="1F4E78"/>
          <w:sz w:val="26"/>
        </w:rPr>
        <w:t>Balance Sheet Detail</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Line item</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FY2021</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FY2022</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FY2023</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FY2024</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FY2025</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FY2026E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FY2027E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FY2028E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FY2029E</w:t>
            </w:r>
          </w:p>
        </w:tc>
        <w:tc>
          <w:tcPr>
            <w:tcW w:type="dxa" w:w="907"/>
            <w:shd w:val="clear" w:color="auto" w:fill="1F4E78"/>
            <w:tcBorders>
              <w:top w:val="single" w:sz="4" w:color="999999"/>
              <w:left w:val="single" w:sz="4" w:color="999999"/>
              <w:bottom w:val="single" w:sz="4" w:color="999999"/>
              <w:right w:val="single" w:sz="4" w:color="999999"/>
            </w:tcBorders>
          </w:tcPr>
          <w:p>
            <w:pPr>
              <w:jc w:val="center"/>
            </w:pPr>
            <w:r/>
            <w:r>
              <w:rPr>
                <w:rFonts w:ascii="Times New Roman" w:hAnsi="Times New Roman" w:cs="Times New Roman"/>
                <w:b/>
                <w:i w:val="0"/>
                <w:color w:val="FFFFFF"/>
                <w:sz w:val="20"/>
              </w:rPr>
              <w:t>FY2030E</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ASSETS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Cash &amp; equivalents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1,088,940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882,325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888,000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2,644,030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3,001,317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3,316,336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3,834,837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4,580,671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5,568,790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6,808,040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Receivables, net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337,596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486,710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680,460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944,939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1,086,895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1,228,191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1,375,574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1,526,887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1,679,576</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Inventories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166,000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246,000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263,000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257,711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303,545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362,298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409,397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458,525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508,962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559,859</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Prepaid expenses and other</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207,000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349,000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379,000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433,878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419,872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483,064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545,863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611,366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678,617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746,478</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current assets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1,799,536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1,964,035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2,085,000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4,016,079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4,669,673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5,248,593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6,018,288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7,026,136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8,283,257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9,793,953</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Property, plant and equipment, net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321,000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393,000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430,000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458,200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517,004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548,024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579,044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610,065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641,085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672,105</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Goodwill</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1,715,000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1,851,000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2,180,000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2,378,671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2,749,143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3,049,143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3,349,143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3,649,143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3,949,143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4,249,143</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Acquired intangibles, net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178,000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594,734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718,223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768,223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818,223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868,223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918,223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968,223</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Deferred taxes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666,000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816,000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982,057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917,733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871,846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825,960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780,073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734,186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688,300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Other assets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427,000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476,000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513,000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544,741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581,372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604,627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627,882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651,137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674,392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697,646</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assets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4,968,536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5,615,035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6,354,000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8,974,482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10,153,148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11,090,457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12,218,540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13,584,777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15,200,286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17,069,371</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LIABILITIES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Accounts payable and accrued</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415,000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515,000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586,000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632,692</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856,856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966,129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1,091,726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1,222,733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1,357,233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1,492,957</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Current portion of deferred revenue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604,000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624,000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700,000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737,413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778,435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905,746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1,023,493</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1,146,312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1,272,406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1,399,647</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current liabilities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1,019,000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1,139,000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1,286,000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1,370,105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1,635,291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1,871,875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2,115,218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2,369,045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2,629,639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2,892,603</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Long-term deferred revenue</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78,000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95,000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115,168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155,997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168,477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180,957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193,436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205,916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218,396</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Long-term debt</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350,000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348,000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648,000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2,476,183</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2,480,150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2,230,150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1,980,150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1,730,150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1,480,150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1,230,150</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Other long-term liabilities</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252,000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295,000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339,448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407,529</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423,830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440,131</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456,432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472,734</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489,035</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long-term liabilities</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680,000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678,000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1,038,000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2,930,799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3,043,676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2,822,457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2,601,238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2,380,019</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2,158,800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1,937,581</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STOCKHOLDERS' EQUITY</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stockholders' equity</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3,269,536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3,798,035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4,030,000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4,673,578</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5,474,181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6,396,125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7,502,084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8,835,714</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10,411,847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12,239,187</w:t>
            </w:r>
          </w:p>
        </w:tc>
      </w:tr>
      <w:tr>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Total liabilities and equity</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4,968,536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5,615,035</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6,354,000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8,974,482</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10,153,148</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11,090,457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12,218,540</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13,584,777</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15,200,286</w:t>
            </w:r>
          </w:p>
        </w:tc>
        <w:tc>
          <w:tcPr>
            <w:tcW w:type="dxa" w:w="907"/>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17,069,371</w:t>
            </w:r>
          </w:p>
        </w:tc>
      </w:tr>
      <w:tr>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Net debt (cash)</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-738,940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-534,325</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-240,000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-167,847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-521,167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-1,086,186</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-1,854,687</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-2,850,521</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-4,088,640</w:t>
            </w:r>
          </w:p>
        </w:tc>
        <w:tc>
          <w:tcPr>
            <w:tcW w:type="dxa" w:w="907"/>
            <w:shd w:val="clear" w:color="auto" w:fill="F2F2F2"/>
            <w:tcBorders>
              <w:top w:val="single" w:sz="4" w:color="999999"/>
              <w:left w:val="single" w:sz="4" w:color="999999"/>
              <w:bottom w:val="single" w:sz="4" w:color="999999"/>
              <w:right w:val="single" w:sz="4" w:color="999999"/>
            </w:tcBorders>
          </w:tcPr>
          <w:p>
            <w:pPr>
              <w:jc w:val="left"/>
            </w:pPr>
            <w:r/>
            <w:r>
              <w:rPr>
                <w:rFonts w:ascii="Times New Roman" w:hAnsi="Times New Roman" w:cs="Times New Roman"/>
                <w:b w:val="0"/>
                <w:i w:val="0"/>
                <w:sz w:val="20"/>
              </w:rPr>
              <w:t>-5,577,890</w:t>
            </w:r>
          </w:p>
        </w:tc>
      </w:tr>
    </w:tbl>
    <w:p/>
    <w:p>
      <w:pPr>
        <w:spacing w:before="360" w:after="120"/>
        <w:pBdr>
          <w:bottom w:val="single" w:sz="8" w:space="1" w:color="1F4E78"/>
        </w:pBdr>
      </w:pPr>
      <w:r>
        <w:rPr>
          <w:rFonts w:ascii="Times New Roman" w:hAnsi="Times New Roman" w:cs="Times New Roman"/>
          <w:b/>
          <w:i w:val="0"/>
          <w:color w:val="1F4E78"/>
          <w:sz w:val="32"/>
        </w:rPr>
        <w:t>Appendix B — Sources &amp; Disclosures</w:t>
      </w:r>
    </w:p>
    <w:p>
      <w:pPr>
        <w:spacing w:after="120" w:lineRule="auto" w:line="276"/>
      </w:pPr>
      <w:r>
        <w:rPr>
          <w:rFonts w:ascii="Times New Roman" w:hAnsi="Times New Roman" w:cs="Times New Roman"/>
          <w:b w:val="0"/>
          <w:i w:val="0"/>
          <w:sz w:val="22"/>
        </w:rPr>
        <w:t>This report is based on publicly available filings, primarily NASDAQ: CDNS's FY2025 Annual Report (Form 10-K) and most recent quarterly disclosures. All financial projections are the analyst's own and are subject to update. Comparable-company multiples are sourced from Yahoo Finance, Seeking Alpha, and stockanalysis.com as of 2026-05-20.</w:t>
      </w:r>
    </w:p>
    <w:p>
      <w:pPr>
        <w:pStyle w:val="ListBullet"/>
        <w:ind w:left="432"/>
      </w:pPr>
      <w:r>
        <w:rPr>
          <w:rFonts w:ascii="Times New Roman" w:hAnsi="Times New Roman" w:cs="Times New Roman"/>
          <w:b w:val="0"/>
          <w:i w:val="0"/>
          <w:sz w:val="22"/>
        </w:rPr>
        <w:t>NASDAQ: CDNS FY2025 10-K (filed 2025-12-22) — SEC EDGAR</w:t>
      </w:r>
    </w:p>
    <w:p>
      <w:pPr>
        <w:pStyle w:val="ListBullet"/>
        <w:ind w:left="432"/>
      </w:pPr>
      <w:r>
        <w:rPr>
          <w:rFonts w:ascii="Times New Roman" w:hAnsi="Times New Roman" w:cs="Times New Roman"/>
          <w:b w:val="0"/>
          <w:i w:val="0"/>
          <w:sz w:val="22"/>
        </w:rPr>
        <w:t>NASDAQ: CDNS Q1 FY2026 earnings release &amp; CFO Commentary</w:t>
      </w:r>
    </w:p>
    <w:p>
      <w:pPr>
        <w:pStyle w:val="ListBullet"/>
        <w:ind w:left="432"/>
      </w:pPr>
      <w:r>
        <w:rPr>
          <w:rFonts w:ascii="Times New Roman" w:hAnsi="Times New Roman" w:cs="Times New Roman"/>
          <w:b w:val="0"/>
          <w:i w:val="0"/>
          <w:sz w:val="22"/>
        </w:rPr>
        <w:t>Task 2 Financial Model (.xlsx) — 5y historical + 5y projected statements</w:t>
      </w:r>
    </w:p>
    <w:p>
      <w:pPr>
        <w:pStyle w:val="ListBullet"/>
        <w:ind w:left="432"/>
      </w:pPr>
      <w:r>
        <w:rPr>
          <w:rFonts w:ascii="Times New Roman" w:hAnsi="Times New Roman" w:cs="Times New Roman"/>
          <w:b w:val="0"/>
          <w:i w:val="0"/>
          <w:sz w:val="22"/>
        </w:rPr>
        <w:t>Task 3 Valuation Analysis (.md) — DCF, comps, football-field</w:t>
      </w:r>
    </w:p>
    <w:p>
      <w:pPr>
        <w:pStyle w:val="ListBullet"/>
        <w:ind w:left="432"/>
      </w:pPr>
      <w:r>
        <w:rPr>
          <w:rFonts w:ascii="Times New Roman" w:hAnsi="Times New Roman" w:cs="Times New Roman"/>
          <w:b w:val="0"/>
          <w:i w:val="0"/>
          <w:sz w:val="22"/>
        </w:rPr>
        <w:t>Task 4 Chart deliverables (.zip, 35 charts, 300 DPI)</w:t>
      </w:r>
    </w:p>
    <w:p>
      <w:pPr>
        <w:pStyle w:val="ListBullet"/>
        <w:ind w:left="432"/>
      </w:pPr>
      <w:r>
        <w:rPr>
          <w:rFonts w:ascii="Times New Roman" w:hAnsi="Times New Roman" w:cs="Times New Roman"/>
          <w:b w:val="0"/>
          <w:i w:val="0"/>
          <w:sz w:val="22"/>
        </w:rPr>
        <w:t>Analyst consensus: Bloomberg / Yahoo Finance / Marketbeat</w:t>
      </w:r>
    </w:p>
    <w:p>
      <w:pPr>
        <w:spacing w:after="120" w:lineRule="auto" w:line="276"/>
      </w:pPr>
      <w:r>
        <w:rPr>
          <w:rFonts w:ascii="Times New Roman" w:hAnsi="Times New Roman" w:cs="Times New Roman"/>
          <w:b w:val="0"/>
          <w:i/>
          <w:sz w:val="22"/>
        </w:rPr>
        <w:t>DISCLAIMER: This report is prepared for informational and educational purposes only. It does not constitute investment advice. Past performance does not predict future results. Equity research is subject to inherent uncertainty. Readers should conduct their own due diligence before acting on any information contained herein.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