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cs="Times New Roman"/>
          <w:b/>
          <w:i w:val="0"/>
          <w:color w:val="C00000"/>
          <w:sz w:val="28"/>
        </w:rPr>
        <w:t>INITIATING COVERAGE</w:t>
      </w:r>
    </w:p>
    <w:p>
      <w:pPr>
        <w:spacing w:before="120" w:after="80"/>
      </w:pPr>
      <w:r>
        <w:rPr>
          <w:rFonts w:ascii="Times New Roman" w:hAnsi="Times New Roman" w:cs="Times New Roman"/>
          <w:b w:val="0"/>
          <w:i/>
          <w:color w:val="595959"/>
          <w:sz w:val="20"/>
        </w:rPr>
        <w:t>Equity Research</w:t>
      </w:r>
    </w:p>
    <w:p>
      <w:pPr>
        <w:jc w:val="left"/>
      </w:pPr>
      <w:r>
        <w:rPr>
          <w:rFonts w:ascii="Times New Roman" w:hAnsi="Times New Roman" w:cs="Times New Roman"/>
          <w:b/>
          <w:i w:val="0"/>
          <w:color w:val="1F4E78"/>
          <w:sz w:val="44"/>
        </w:rPr>
        <w:t>Synopsys, Inc.</w:t>
      </w:r>
    </w:p>
    <w:p>
      <w:r>
        <w:rPr>
          <w:rFonts w:ascii="Times New Roman" w:hAnsi="Times New Roman" w:cs="Times New Roman"/>
          <w:b/>
          <w:i w:val="0"/>
          <w:color w:val="1F4E78"/>
          <w:sz w:val="32"/>
        </w:rPr>
        <w:t>NASDAQ: SNPS</w:t>
      </w:r>
    </w:p>
    <w:p>
      <w:r>
        <w:rPr>
          <w:rFonts w:ascii="Times New Roman" w:hAnsi="Times New Roman" w:cs="Times New Roman"/>
          <w:b w:val="0"/>
          <w:i/>
          <w:color w:val="595959"/>
          <w:sz w:val="20"/>
        </w:rPr>
        <w:t>Information Technology — Software | Electronic Design Automation + Multi-Physics Simulation</w:t>
      </w:r>
    </w:p>
    <w:tbl>
      <w:tblPr>
        <w:tblW w:type="auto" w:w="0"/>
        <w:jc w:val="center"/>
        <w:tblLook w:firstColumn="1" w:firstRow="1" w:lastColumn="0" w:lastRow="0" w:noHBand="0" w:noVBand="1" w:val="04A0"/>
      </w:tblPr>
      <w:tblGrid>
        <w:gridCol w:w="2493"/>
        <w:gridCol w:w="2493"/>
        <w:gridCol w:w="2493"/>
        <w:gridCol w:w="2493"/>
      </w:tblGrid>
      <w:tr>
        <w:tc>
          <w:tcPr>
            <w:tcW w:type="dxa" w:w="2493"/>
            <w:shd w:val="clear" w:color="auto" w:fill="C00000"/>
          </w:tcPr>
          <w:p>
            <w:pPr>
              <w:jc w:val="center"/>
            </w:pPr>
            <w:r/>
            <w:r>
              <w:rPr>
                <w:rFonts w:ascii="Times New Roman" w:hAnsi="Times New Roman" w:cs="Times New Roman"/>
                <w:b w:val="0"/>
                <w:i w:val="0"/>
                <w:color w:val="FFFFFF"/>
                <w:sz w:val="18"/>
              </w:rPr>
              <w:t>Recommendation</w:t>
              <w:br/>
            </w:r>
            <w:r>
              <w:rPr>
                <w:rFonts w:ascii="Times New Roman" w:hAnsi="Times New Roman" w:cs="Times New Roman"/>
                <w:b/>
                <w:i w:val="0"/>
                <w:color w:val="FFFFFF"/>
                <w:sz w:val="28"/>
              </w:rPr>
              <w:t>BUY</w:t>
            </w:r>
          </w:p>
        </w:tc>
        <w:tc>
          <w:tcPr>
            <w:tcW w:type="dxa" w:w="2493"/>
            <w:shd w:val="clear" w:color="auto" w:fill="1F4E78"/>
          </w:tcPr>
          <w:p>
            <w:pPr>
              <w:jc w:val="center"/>
            </w:pPr>
            <w:r/>
            <w:r>
              <w:rPr>
                <w:rFonts w:ascii="Times New Roman" w:hAnsi="Times New Roman" w:cs="Times New Roman"/>
                <w:b w:val="0"/>
                <w:i w:val="0"/>
                <w:color w:val="FFFFFF"/>
                <w:sz w:val="18"/>
              </w:rPr>
              <w:t>12-Mo Price Target</w:t>
              <w:br/>
            </w:r>
            <w:r>
              <w:rPr>
                <w:rFonts w:ascii="Times New Roman" w:hAnsi="Times New Roman" w:cs="Times New Roman"/>
                <w:b/>
                <w:i w:val="0"/>
                <w:color w:val="FFFFFF"/>
                <w:sz w:val="28"/>
              </w:rPr>
              <w:t>$580</w:t>
            </w:r>
          </w:p>
        </w:tc>
        <w:tc>
          <w:tcPr>
            <w:tcW w:type="dxa" w:w="2493"/>
            <w:shd w:val="clear" w:color="auto" w:fill="1F4E78"/>
          </w:tcPr>
          <w:p>
            <w:pPr>
              <w:jc w:val="center"/>
            </w:pPr>
            <w:r/>
            <w:r>
              <w:rPr>
                <w:rFonts w:ascii="Times New Roman" w:hAnsi="Times New Roman" w:cs="Times New Roman"/>
                <w:b w:val="0"/>
                <w:i w:val="0"/>
                <w:color w:val="FFFFFF"/>
                <w:sz w:val="18"/>
              </w:rPr>
              <w:t>Current Price</w:t>
              <w:br/>
            </w:r>
            <w:r>
              <w:rPr>
                <w:rFonts w:ascii="Times New Roman" w:hAnsi="Times New Roman" w:cs="Times New Roman"/>
                <w:b/>
                <w:i w:val="0"/>
                <w:color w:val="FFFFFF"/>
                <w:sz w:val="28"/>
              </w:rPr>
              <w:t>$502.42</w:t>
            </w:r>
          </w:p>
        </w:tc>
        <w:tc>
          <w:tcPr>
            <w:tcW w:type="dxa" w:w="2493"/>
            <w:shd w:val="clear" w:color="auto" w:fill="1F4E78"/>
          </w:tcPr>
          <w:p>
            <w:pPr>
              <w:jc w:val="center"/>
            </w:pPr>
            <w:r/>
            <w:r>
              <w:rPr>
                <w:rFonts w:ascii="Times New Roman" w:hAnsi="Times New Roman" w:cs="Times New Roman"/>
                <w:b w:val="0"/>
                <w:i w:val="0"/>
                <w:color w:val="FFFFFF"/>
                <w:sz w:val="18"/>
              </w:rPr>
              <w:t>Implied Upside</w:t>
              <w:br/>
            </w:r>
            <w:r>
              <w:rPr>
                <w:rFonts w:ascii="Times New Roman" w:hAnsi="Times New Roman" w:cs="Times New Roman"/>
                <w:b/>
                <w:i w:val="0"/>
                <w:color w:val="FFFFFF"/>
                <w:sz w:val="28"/>
              </w:rPr>
              <w:t>+15.4%</w:t>
            </w:r>
          </w:p>
        </w:tc>
      </w:tr>
    </w:tbl>
    <w:p/>
    <w:p>
      <w:pPr>
        <w:spacing w:before="160" w:after="60"/>
      </w:pPr>
      <w:r>
        <w:rPr>
          <w:rFonts w:ascii="Times New Roman" w:hAnsi="Times New Roman" w:cs="Times New Roman"/>
          <w:b/>
          <w:i w:val="0"/>
          <w:color w:val="C00000"/>
          <w:sz w:val="22"/>
        </w:rPr>
        <w:t>Key Statistics</w:t>
      </w:r>
    </w:p>
    <w:tbl>
      <w:tblPr>
        <w:tblW w:type="auto" w:w="0"/>
        <w:jc w:val="center"/>
        <w:tblLayout w:type="fixed"/>
        <w:tblLook w:firstColumn="1" w:firstRow="1" w:lastColumn="0" w:lastRow="0" w:noHBand="0" w:noVBand="1" w:val="04A0"/>
      </w:tblPr>
      <w:tblGrid>
        <w:gridCol w:w="4986"/>
        <w:gridCol w:w="4986"/>
      </w:tblGrid>
      <w:tr>
        <w:tc>
          <w:tcPr>
            <w:tcW w:type="dxa" w:w="4986"/>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Metric</w:t>
            </w:r>
          </w:p>
        </w:tc>
        <w:tc>
          <w:tcPr>
            <w:tcW w:type="dxa" w:w="4986"/>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Value</w:t>
            </w:r>
          </w:p>
        </w:tc>
      </w:tr>
      <w:tr>
        <w:tc>
          <w:tcPr>
            <w:tcW w:type="dxa" w:w="4986"/>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Ticker</w:t>
            </w:r>
          </w:p>
        </w:tc>
        <w:tc>
          <w:tcPr>
            <w:tcW w:type="dxa" w:w="4986"/>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NASDAQ: SNPS</w:t>
            </w:r>
          </w:p>
        </w:tc>
      </w:tr>
      <w:tr>
        <w:tc>
          <w:tcPr>
            <w:tcW w:type="dxa" w:w="4986"/>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Market capitalization</w:t>
            </w:r>
          </w:p>
        </w:tc>
        <w:tc>
          <w:tcPr>
            <w:tcW w:type="dxa" w:w="4986"/>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$98.0B</w:t>
            </w:r>
          </w:p>
        </w:tc>
      </w:tr>
      <w:tr>
        <w:tc>
          <w:tcPr>
            <w:tcW w:type="dxa" w:w="4986"/>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Enterprise value</w:t>
            </w:r>
          </w:p>
        </w:tc>
        <w:tc>
          <w:tcPr>
            <w:tcW w:type="dxa" w:w="4986"/>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$108.6B</w:t>
            </w:r>
          </w:p>
        </w:tc>
      </w:tr>
      <w:tr>
        <w:tc>
          <w:tcPr>
            <w:tcW w:type="dxa" w:w="4986"/>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Diluted shares (M)</w:t>
            </w:r>
          </w:p>
        </w:tc>
        <w:tc>
          <w:tcPr>
            <w:tcW w:type="dxa" w:w="4986"/>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195.0</w:t>
            </w:r>
          </w:p>
        </w:tc>
      </w:tr>
      <w:tr>
        <w:tc>
          <w:tcPr>
            <w:tcW w:type="dxa" w:w="4986"/>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FY25 revenue</w:t>
            </w:r>
          </w:p>
        </w:tc>
        <w:tc>
          <w:tcPr>
            <w:tcW w:type="dxa" w:w="4986"/>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$7,054M</w:t>
            </w:r>
          </w:p>
        </w:tc>
      </w:tr>
      <w:tr>
        <w:tc>
          <w:tcPr>
            <w:tcW w:type="dxa" w:w="4986"/>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FY26E revenue (guide)</w:t>
            </w:r>
          </w:p>
        </w:tc>
        <w:tc>
          <w:tcPr>
            <w:tcW w:type="dxa" w:w="4986"/>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$9,610M</w:t>
            </w:r>
          </w:p>
        </w:tc>
      </w:tr>
      <w:tr>
        <w:tc>
          <w:tcPr>
            <w:tcW w:type="dxa" w:w="4986"/>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FY26E non-GAAP EPS</w:t>
            </w:r>
          </w:p>
        </w:tc>
        <w:tc>
          <w:tcPr>
            <w:tcW w:type="dxa" w:w="4986"/>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$17.00</w:t>
            </w:r>
          </w:p>
        </w:tc>
      </w:tr>
      <w:tr>
        <w:tc>
          <w:tcPr>
            <w:tcW w:type="dxa" w:w="4986"/>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DCF intrinsic value</w:t>
            </w:r>
          </w:p>
        </w:tc>
        <w:tc>
          <w:tcPr>
            <w:tcW w:type="dxa" w:w="4986"/>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$426</w:t>
            </w:r>
          </w:p>
        </w:tc>
      </w:tr>
      <w:tr>
        <w:tc>
          <w:tcPr>
            <w:tcW w:type="dxa" w:w="4986"/>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12-month price target</w:t>
            </w:r>
          </w:p>
        </w:tc>
        <w:tc>
          <w:tcPr>
            <w:tcW w:type="dxa" w:w="4986"/>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$580</w:t>
            </w:r>
          </w:p>
        </w:tc>
      </w:tr>
      <w:tr>
        <w:tc>
          <w:tcPr>
            <w:tcW w:type="dxa" w:w="4986"/>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Recommendation</w:t>
            </w:r>
          </w:p>
        </w:tc>
        <w:tc>
          <w:tcPr>
            <w:tcW w:type="dxa" w:w="4986"/>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BUY</w:t>
            </w:r>
          </w:p>
        </w:tc>
      </w:tr>
    </w:tbl>
    <w:p>
      <w:pPr>
        <w:spacing w:before="120" w:after="40"/>
        <w:jc w:val="center"/>
      </w:pPr>
      <w:r>
        <w:drawing>
          <wp:inline xmlns:a="http://schemas.openxmlformats.org/drawingml/2006/main" xmlns:pic="http://schemas.openxmlformats.org/drawingml/2006/picture">
            <wp:extent cx="5943600" cy="2864309"/>
            <wp:docPr id="1" name="Picture 1"/>
            <wp:cNvGraphicFramePr>
              <a:graphicFrameLocks noChangeAspect="1"/>
            </wp:cNvGraphicFramePr>
            <a:graphic>
              <a:graphicData uri="http://schemas.openxmlformats.org/drawingml/2006/picture">
                <pic:pic>
                  <pic:nvPicPr>
                    <pic:cNvPr id="0" name="chart_01_stock_price_5y.png"/>
                    <pic:cNvPicPr/>
                  </pic:nvPicPr>
                  <pic:blipFill>
                    <a:blip r:embed="rId9"/>
                    <a:stretch>
                      <a:fillRect/>
                    </a:stretch>
                  </pic:blipFill>
                  <pic:spPr>
                    <a:xfrm>
                      <a:off x="0" y="0"/>
                      <a:ext cx="5943600" cy="2864309"/>
                    </a:xfrm>
                    <a:prstGeom prst="rect"/>
                  </pic:spPr>
                </pic:pic>
              </a:graphicData>
            </a:graphic>
          </wp:inline>
        </w:drawing>
      </w:r>
    </w:p>
    <w:p>
      <w:pPr>
        <w:spacing w:after="160"/>
        <w:jc w:val="center"/>
      </w:pPr>
      <w:r>
        <w:rPr>
          <w:rFonts w:ascii="Times New Roman" w:hAnsi="Times New Roman" w:cs="Times New Roman"/>
          <w:b w:val="0"/>
          <w:i/>
          <w:color w:val="595959"/>
          <w:sz w:val="18"/>
        </w:rPr>
        <w:t>NASDAQ: SNPS — 5-Year Stock Price + 12-Month Price Target</w:t>
      </w:r>
    </w:p>
    <w:p>
      <w:r>
        <w:br w:type="page"/>
      </w:r>
    </w:p>
    <w:p>
      <w:pPr>
        <w:spacing w:before="360" w:after="120"/>
        <w:pBdr>
          <w:bottom w:val="single" w:sz="8" w:space="1" w:color="1F4E78"/>
        </w:pBdr>
      </w:pPr>
      <w:r>
        <w:rPr>
          <w:rFonts w:ascii="Times New Roman" w:hAnsi="Times New Roman" w:cs="Times New Roman"/>
          <w:b/>
          <w:i w:val="0"/>
          <w:color w:val="1F4E78"/>
          <w:sz w:val="32"/>
        </w:rPr>
        <w:t>Investment Summary</w:t>
      </w:r>
    </w:p>
    <w:p>
      <w:pPr>
        <w:spacing w:after="120" w:lineRule="auto" w:line="276"/>
      </w:pPr>
      <w:r>
        <w:rPr>
          <w:rFonts w:ascii="Times New Roman" w:hAnsi="Times New Roman" w:cs="Times New Roman"/>
          <w:b w:val="0"/>
          <w:i w:val="0"/>
          <w:sz w:val="22"/>
        </w:rPr>
        <w:t>We initiate coverage of Synopsys (SNPS) with a BUY rating and a 12-month price target of $580, representing ~15% upside from the current $502.42. Synopsys is now the world's only fully integrated silicon-to-systems engineering software platform, following the July 2025 close of its $34.9B Ansys acquisition. Our thesis rests on five pillars: a structurally unmatched combined platform; $11.4B record backlog providing FY26 visibility (47% NTM convertible); a multi-year GAAP margin recovery setup as Ansys intangibles amortize off; AI-design premium validated by NVIDIA's $2.0B equity investment; and a clear deleveraging path that restores capital return optionality by FY28. While Ansys integration is the dominant near-term execution risk, the combined company addresses an expanded $31B TAM, has $11.4B in backlog visibility, and is the natural beneficiary of every AI/HPC/automotive/industrial silicon design cycle.</w:t>
      </w:r>
    </w:p>
    <w:p>
      <w:pPr>
        <w:spacing w:before="240" w:after="80"/>
      </w:pPr>
      <w:r>
        <w:rPr>
          <w:rFonts w:ascii="Times New Roman" w:hAnsi="Times New Roman" w:cs="Times New Roman"/>
          <w:b/>
          <w:i w:val="0"/>
          <w:color w:val="1F4E78"/>
          <w:sz w:val="26"/>
        </w:rPr>
        <w:t>Investment Thesis (5 Pillars)</w:t>
      </w:r>
    </w:p>
    <w:p>
      <w:pPr>
        <w:spacing w:before="160" w:after="60"/>
      </w:pPr>
      <w:r>
        <w:rPr>
          <w:rFonts w:ascii="Times New Roman" w:hAnsi="Times New Roman" w:cs="Times New Roman"/>
          <w:b/>
          <w:i w:val="0"/>
          <w:color w:val="C00000"/>
          <w:sz w:val="22"/>
        </w:rPr>
        <w:t>Silicon-to-Systems Platform — Structurally Unmatched</w:t>
      </w:r>
    </w:p>
    <w:p>
      <w:pPr>
        <w:spacing w:after="120" w:lineRule="auto" w:line="276"/>
      </w:pPr>
      <w:r>
        <w:rPr>
          <w:rFonts w:ascii="Times New Roman" w:hAnsi="Times New Roman" w:cs="Times New Roman"/>
          <w:b w:val="0"/>
          <w:i w:val="0"/>
          <w:sz w:val="22"/>
        </w:rPr>
        <w:t>Combined SNPS+Ansys is the only player offering EDA + Design IP + multi-physics simulation under one roof. Combined TAM expanded to $31B from $15B EDA-only. First integrated combined-capability products planned 1H FY2026.</w:t>
      </w:r>
    </w:p>
    <w:p>
      <w:pPr>
        <w:spacing w:before="160" w:after="60"/>
      </w:pPr>
      <w:r>
        <w:rPr>
          <w:rFonts w:ascii="Times New Roman" w:hAnsi="Times New Roman" w:cs="Times New Roman"/>
          <w:b/>
          <w:i w:val="0"/>
          <w:color w:val="C00000"/>
          <w:sz w:val="22"/>
        </w:rPr>
        <w:t>$11.4B Backlog Provides Multi-Year Visibility</w:t>
      </w:r>
    </w:p>
    <w:p>
      <w:pPr>
        <w:spacing w:after="120" w:lineRule="auto" w:line="276"/>
      </w:pPr>
      <w:r>
        <w:rPr>
          <w:rFonts w:ascii="Times New Roman" w:hAnsi="Times New Roman" w:cs="Times New Roman"/>
          <w:b w:val="0"/>
          <w:i w:val="0"/>
          <w:sz w:val="22"/>
        </w:rPr>
        <w:t>Backlog at FY25 end is the highest in company history; 47% expected to convert in NTM. FY26 guidance reaffirmed at $9.61B (mid) implying +36% YoY (Ansys full year).</w:t>
      </w:r>
    </w:p>
    <w:p>
      <w:pPr>
        <w:spacing w:before="160" w:after="60"/>
      </w:pPr>
      <w:r>
        <w:rPr>
          <w:rFonts w:ascii="Times New Roman" w:hAnsi="Times New Roman" w:cs="Times New Roman"/>
          <w:b/>
          <w:i w:val="0"/>
          <w:color w:val="C00000"/>
          <w:sz w:val="22"/>
        </w:rPr>
        <w:t>Massive GAAP Margin Recovery Setup</w:t>
      </w:r>
    </w:p>
    <w:p>
      <w:pPr>
        <w:spacing w:after="120" w:lineRule="auto" w:line="276"/>
      </w:pPr>
      <w:r>
        <w:rPr>
          <w:rFonts w:ascii="Times New Roman" w:hAnsi="Times New Roman" w:cs="Times New Roman"/>
          <w:b w:val="0"/>
          <w:i w:val="0"/>
          <w:sz w:val="22"/>
        </w:rPr>
        <w:t>FY25 GAAP op margin compressed to 13% on $458M of Ansys intangibles amortization + transaction costs. Each year of amortization tail-off adds ~200bps to OM, building a 5-year EPS rebuild story even without revenue acceleration.</w:t>
      </w:r>
    </w:p>
    <w:p>
      <w:pPr>
        <w:spacing w:before="160" w:after="60"/>
      </w:pPr>
      <w:r>
        <w:rPr>
          <w:rFonts w:ascii="Times New Roman" w:hAnsi="Times New Roman" w:cs="Times New Roman"/>
          <w:b/>
          <w:i w:val="0"/>
          <w:color w:val="C00000"/>
          <w:sz w:val="22"/>
        </w:rPr>
        <w:t>AI-Design Premium + NVIDIA Strategic Validation</w:t>
      </w:r>
    </w:p>
    <w:p>
      <w:pPr>
        <w:spacing w:after="120" w:lineRule="auto" w:line="276"/>
      </w:pPr>
      <w:r>
        <w:rPr>
          <w:rFonts w:ascii="Times New Roman" w:hAnsi="Times New Roman" w:cs="Times New Roman"/>
          <w:b w:val="0"/>
          <w:i w:val="0"/>
          <w:sz w:val="22"/>
        </w:rPr>
        <w:t>NVIDIA $2.0B equity investment at $414.79 on Dec 1, 2025 — formalizes multi-year CUDA/Omniverse partnership. Synopsys.ai DSO/VSO/TSO suite is the most-cited AI-EDA name. AI-design demand is the secular tailwind.</w:t>
      </w:r>
    </w:p>
    <w:p>
      <w:pPr>
        <w:spacing w:before="160" w:after="60"/>
      </w:pPr>
      <w:r>
        <w:rPr>
          <w:rFonts w:ascii="Times New Roman" w:hAnsi="Times New Roman" w:cs="Times New Roman"/>
          <w:b/>
          <w:i w:val="0"/>
          <w:color w:val="C00000"/>
          <w:sz w:val="22"/>
        </w:rPr>
        <w:t>Deleveraging Path Restores Capital Return</w:t>
      </w:r>
    </w:p>
    <w:p>
      <w:pPr>
        <w:spacing w:after="120" w:lineRule="auto" w:line="276"/>
      </w:pPr>
      <w:r>
        <w:rPr>
          <w:rFonts w:ascii="Times New Roman" w:hAnsi="Times New Roman" w:cs="Times New Roman"/>
          <w:b w:val="0"/>
          <w:i w:val="0"/>
          <w:sz w:val="22"/>
        </w:rPr>
        <w:t>$13.5B debt → ~$6B by FY30 at $1.5B/yr paydown; covenant easing enables buyback resumption mid-cycle. By FY28E we expect net debt &lt; $5B and reaccelerating capital return.</w:t>
      </w:r>
    </w:p>
    <w:p>
      <w:pPr>
        <w:spacing w:before="240" w:after="80"/>
      </w:pPr>
      <w:r>
        <w:rPr>
          <w:rFonts w:ascii="Times New Roman" w:hAnsi="Times New Roman" w:cs="Times New Roman"/>
          <w:b/>
          <w:i w:val="0"/>
          <w:color w:val="1F4E78"/>
          <w:sz w:val="26"/>
        </w:rPr>
        <w:t>Key Risks to Thesis</w:t>
      </w:r>
    </w:p>
    <w:p>
      <w:pPr>
        <w:pStyle w:val="ListBullet"/>
        <w:ind w:left="432"/>
      </w:pPr>
      <w:r>
        <w:rPr>
          <w:rFonts w:ascii="Times New Roman" w:hAnsi="Times New Roman" w:cs="Times New Roman"/>
          <w:b/>
          <w:i w:val="0"/>
          <w:sz w:val="22"/>
        </w:rPr>
        <w:t>Ansys Integration Risk</w:t>
      </w:r>
      <w:r>
        <w:rPr>
          <w:rFonts w:ascii="Times New Roman" w:hAnsi="Times New Roman" w:cs="Times New Roman"/>
          <w:b w:val="0"/>
          <w:i w:val="0"/>
          <w:sz w:val="22"/>
        </w:rPr>
        <w:t xml:space="preserve"> — $34.9B deal — biggest in company history. 10-K explicitly cites scale risk + channel differences (Ansys uses partners, SNPS goes direct). Synergy slippage would compress thesis.</w:t>
      </w:r>
    </w:p>
    <w:p>
      <w:pPr>
        <w:pStyle w:val="ListBullet"/>
        <w:ind w:left="432"/>
      </w:pPr>
      <w:r>
        <w:rPr>
          <w:rFonts w:ascii="Times New Roman" w:hAnsi="Times New Roman" w:cs="Times New Roman"/>
          <w:b/>
          <w:i w:val="0"/>
          <w:sz w:val="22"/>
        </w:rPr>
        <w:t>China Foundry Customer Concentration</w:t>
      </w:r>
      <w:r>
        <w:rPr>
          <w:rFonts w:ascii="Times New Roman" w:hAnsi="Times New Roman" w:cs="Times New Roman"/>
          <w:b w:val="0"/>
          <w:i w:val="0"/>
          <w:sz w:val="22"/>
        </w:rPr>
        <w:t xml:space="preserve"> — FY25 results cite a major foundry headwind driving China revenue -18% ex-Ansys; single-customer dependence remains a vulnerability.</w:t>
      </w:r>
    </w:p>
    <w:p>
      <w:pPr>
        <w:pStyle w:val="ListBullet"/>
        <w:ind w:left="432"/>
      </w:pPr>
      <w:r>
        <w:rPr>
          <w:rFonts w:ascii="Times New Roman" w:hAnsi="Times New Roman" w:cs="Times New Roman"/>
          <w:b/>
          <w:i w:val="0"/>
          <w:sz w:val="22"/>
        </w:rPr>
        <w:t>Design IP Margin Pressure</w:t>
      </w:r>
      <w:r>
        <w:rPr>
          <w:rFonts w:ascii="Times New Roman" w:hAnsi="Times New Roman" w:cs="Times New Roman"/>
          <w:b w:val="0"/>
          <w:i w:val="0"/>
          <w:sz w:val="22"/>
        </w:rPr>
        <w:t xml:space="preserve"> — Design IP segment margin fell 14 points YoY in FY25; if persistent it weighs on consolidated margins.</w:t>
      </w:r>
    </w:p>
    <w:p>
      <w:pPr>
        <w:pStyle w:val="ListBullet"/>
        <w:ind w:left="432"/>
      </w:pPr>
      <w:r>
        <w:rPr>
          <w:rFonts w:ascii="Times New Roman" w:hAnsi="Times New Roman" w:cs="Times New Roman"/>
          <w:b/>
          <w:i w:val="0"/>
          <w:sz w:val="22"/>
        </w:rPr>
        <w:t>Debt Overhang</w:t>
      </w:r>
      <w:r>
        <w:rPr>
          <w:rFonts w:ascii="Times New Roman" w:hAnsi="Times New Roman" w:cs="Times New Roman"/>
          <w:b w:val="0"/>
          <w:i w:val="0"/>
          <w:sz w:val="22"/>
        </w:rPr>
        <w:t xml:space="preserve"> — $13.5B debt with covenants 'limit our ability to return equity through buyback or pay dividends'; M&amp;A capability also constrained.</w:t>
      </w:r>
    </w:p>
    <w:p>
      <w:pPr>
        <w:pStyle w:val="ListBullet"/>
        <w:ind w:left="432"/>
      </w:pPr>
      <w:r>
        <w:rPr>
          <w:rFonts w:ascii="Times New Roman" w:hAnsi="Times New Roman" w:cs="Times New Roman"/>
          <w:b/>
          <w:i w:val="0"/>
          <w:sz w:val="22"/>
        </w:rPr>
        <w:t>Goodwill Impairment Risk</w:t>
      </w:r>
      <w:r>
        <w:rPr>
          <w:rFonts w:ascii="Times New Roman" w:hAnsi="Times New Roman" w:cs="Times New Roman"/>
          <w:b w:val="0"/>
          <w:i w:val="0"/>
          <w:sz w:val="22"/>
        </w:rPr>
        <w:t xml:space="preserve"> — $26.9B goodwill carrying value post-Ansys; any synergy shortfall triggers non-cash impairment.</w:t>
      </w:r>
    </w:p>
    <w:p>
      <w:pPr>
        <w:spacing w:before="120" w:after="40"/>
        <w:jc w:val="center"/>
      </w:pPr>
      <w:r>
        <w:drawing>
          <wp:inline xmlns:a="http://schemas.openxmlformats.org/drawingml/2006/main" xmlns:pic="http://schemas.openxmlformats.org/drawingml/2006/picture">
            <wp:extent cx="5943600" cy="3048318"/>
            <wp:docPr id="2" name="Picture 2"/>
            <wp:cNvGraphicFramePr>
              <a:graphicFrameLocks noChangeAspect="1"/>
            </wp:cNvGraphicFramePr>
            <a:graphic>
              <a:graphicData uri="http://schemas.openxmlformats.org/drawingml/2006/picture">
                <pic:pic>
                  <pic:nvPicPr>
                    <pic:cNvPr id="0" name="chart_02_revenue_margin_trends.png"/>
                    <pic:cNvPicPr/>
                  </pic:nvPicPr>
                  <pic:blipFill>
                    <a:blip r:embed="rId10"/>
                    <a:stretch>
                      <a:fillRect/>
                    </a:stretch>
                  </pic:blipFill>
                  <pic:spPr>
                    <a:xfrm>
                      <a:off x="0" y="0"/>
                      <a:ext cx="5943600" cy="3048318"/>
                    </a:xfrm>
                    <a:prstGeom prst="rect"/>
                  </pic:spPr>
                </pic:pic>
              </a:graphicData>
            </a:graphic>
          </wp:inline>
        </w:drawing>
      </w:r>
    </w:p>
    <w:p>
      <w:pPr>
        <w:spacing w:after="160"/>
        <w:jc w:val="center"/>
      </w:pPr>
      <w:r>
        <w:rPr>
          <w:rFonts w:ascii="Times New Roman" w:hAnsi="Times New Roman" w:cs="Times New Roman"/>
          <w:b w:val="0"/>
          <w:i/>
          <w:color w:val="595959"/>
          <w:sz w:val="18"/>
        </w:rPr>
        <w:t>NASDAQ: SNPS — Revenue &amp; Non-GAAP Operating Margin (5y Historical + 5y Projected)</w:t>
      </w:r>
    </w:p>
    <w:p>
      <w:r>
        <w:br w:type="page"/>
      </w:r>
    </w:p>
    <w:p>
      <w:pPr>
        <w:spacing w:before="360" w:after="120"/>
        <w:pBdr>
          <w:bottom w:val="single" w:sz="8" w:space="1" w:color="1F4E78"/>
        </w:pBdr>
      </w:pPr>
      <w:r>
        <w:rPr>
          <w:rFonts w:ascii="Times New Roman" w:hAnsi="Times New Roman" w:cs="Times New Roman"/>
          <w:b/>
          <w:i w:val="0"/>
          <w:color w:val="1F4E78"/>
          <w:sz w:val="32"/>
        </w:rPr>
        <w:t>Company Overview</w:t>
      </w:r>
    </w:p>
    <w:p>
      <w:pPr>
        <w:spacing w:before="360" w:after="120"/>
        <w:pBdr>
          <w:bottom w:val="single" w:sz="8" w:space="1" w:color="1F4E78"/>
        </w:pBdr>
      </w:pPr>
      <w:r>
        <w:rPr>
          <w:rFonts w:ascii="Times New Roman" w:hAnsi="Times New Roman" w:cs="Times New Roman"/>
          <w:b/>
          <w:i w:val="0"/>
          <w:color w:val="1F4E78"/>
          <w:sz w:val="32"/>
        </w:rPr>
        <w:t>Company Overview</w:t>
      </w:r>
    </w:p>
    <w:p>
      <w:pPr>
        <w:spacing w:after="120" w:lineRule="auto" w:line="276"/>
      </w:pPr>
      <w:r>
        <w:rPr>
          <w:rFonts w:ascii="Times New Roman" w:hAnsi="Times New Roman" w:cs="Times New Roman"/>
          <w:b w:val="0"/>
          <w:i w:val="0"/>
          <w:sz w:val="22"/>
        </w:rPr>
        <w:t>Synopsys, Inc. (NASDAQ: SNPS) is the world's largest supplier of electronic design automation (EDA) software and one of two scale leaders in semiconductor design intellectual property (IP). The company describes itself as "the leader in engineering solutions from silicon to systems," a positioning expanded materially in July 2025 when Synopsys completed its ~$35 billion cash-and-stock acquisition of Ansys, Inc., the dominant supplier of physics-based simulation software for mechanical, electromagnetic, fluids, optics, and embedded-software analysis (Synopsys Completes Acquisition of Ansys press release, 2025-07-17). With Ansys consolidated, Synopsys now serves the full vertical stack from transistor design through full-system multiphysics simulation, addressing a self-estimated $31 billion total addressable market.</w:t>
      </w:r>
    </w:p>
    <w:p>
      <w:pPr>
        <w:spacing w:after="120" w:lineRule="auto" w:line="276"/>
      </w:pPr>
      <w:r>
        <w:rPr>
          <w:rFonts w:ascii="Times New Roman" w:hAnsi="Times New Roman" w:cs="Times New Roman"/>
          <w:b/>
          <w:i w:val="0"/>
          <w:sz w:val="22"/>
        </w:rPr>
        <w:t>What the company does.</w:t>
      </w:r>
      <w:r>
        <w:rPr>
          <w:rFonts w:ascii="Times New Roman" w:hAnsi="Times New Roman" w:cs="Times New Roman"/>
          <w:b w:val="0"/>
          <w:i w:val="0"/>
          <w:sz w:val="22"/>
        </w:rPr>
        <w:t xml:space="preserve"> Synopsys sells the mission-critical software, simulation, and reusable circuit IP that semiconductor and systems engineers use to design, verify, manufacture, and validate integrated circuits and the electronic systems that incorporate them. A modern AI accelerator like NVIDIA's Blackwell or a flagship smartphone SoC literally cannot be built without EDA software, of which Synopsys is one of three required vendors (the others being Cadence Design Systems and Siemens EDA). Per the FY2025 10-K, Synopsys reports through two segments — Design Automation (DA) and Design IP — but discloses revenue across four product groups: EDA (62.0% of FY2025 revenue), Design IP (24.8%), Ansys (10.7%, partial-year), and Other (2.5%) (Synopsys FY2025 10-K, Note 5 Revenue).</w:t>
      </w:r>
    </w:p>
    <w:p>
      <w:pPr>
        <w:spacing w:after="120" w:lineRule="auto" w:line="276"/>
      </w:pPr>
      <w:r>
        <w:rPr>
          <w:rFonts w:ascii="Times New Roman" w:hAnsi="Times New Roman" w:cs="Times New Roman"/>
          <w:b/>
          <w:i w:val="0"/>
          <w:sz w:val="22"/>
        </w:rPr>
        <w:t>How they make money.</w:t>
      </w:r>
      <w:r>
        <w:rPr>
          <w:rFonts w:ascii="Times New Roman" w:hAnsi="Times New Roman" w:cs="Times New Roman"/>
          <w:b w:val="0"/>
          <w:i w:val="0"/>
          <w:sz w:val="22"/>
        </w:rPr>
        <w:t xml:space="preserve"> The dominant revenue model is multi-year Technology Subscription License (TSL) arrangements, generally two to three years in duration, recognized ratably over the license term. Hardware (emulation/prototyping) and certain IP licenses are recognized at delivery; Ansys software historically mixes time-based subscription and perpetual-plus-maintenance. The company reports three revenue categories in its income statement: time-based products ($3,489.6M in FY2025, 49% of revenue, +8% YoY), upfront products ($2,010.6M, 29%, +12% YoY), and maintenance and service ($1,554.0M, 22%, +41% YoY on the Ansys consolidation). Total revenue grew 15% to $7,054.2M in FY2025 with a GAAP gross margin of 77.0% (Synopsys FY2025 10-K, MD&amp;A — Revenue). The business is heavily recurring: as of January 31, 2026, contracted but unsatisfied performance obligations (backlog) stood at $11.3 billion, of which roughly 47% is expected to convert to revenue in the next twelve months (Synopsys Q1-FY2026 10-Q, Note on Revenue).</w:t>
      </w:r>
    </w:p>
    <w:p>
      <w:pPr>
        <w:spacing w:after="120" w:lineRule="auto" w:line="276"/>
      </w:pPr>
      <w:r>
        <w:rPr>
          <w:rFonts w:ascii="Times New Roman" w:hAnsi="Times New Roman" w:cs="Times New Roman"/>
          <w:b/>
          <w:i w:val="0"/>
          <w:sz w:val="22"/>
        </w:rPr>
        <w:t>Where they operate.</w:t>
      </w:r>
      <w:r>
        <w:rPr>
          <w:rFonts w:ascii="Times New Roman" w:hAnsi="Times New Roman" w:cs="Times New Roman"/>
          <w:b w:val="0"/>
          <w:i w:val="0"/>
          <w:sz w:val="22"/>
        </w:rPr>
        <w:t xml:space="preserve"> Synopsys is headquartered at 675 Almanor Avenue, Sunnyvale, California, and operates globally with sales and engineering offices across the United States, Canada, Europe, Israel, Japan, China, Korea, India, and Taiwan (Synopsys FY2025 10-K, Item 1 Business). Geographic revenue mix in FY2025: United States $3,100.1M (44%), Korea $947.0M (13%), Europe $888.5M (13%), China $814.3M (12%), Other $1,304.2M (18%). China revenue declined ~18% year-on-year in FY2025 — from $989.5M in FY2024 — primarily reflecting the U.S. Bureau of Industry and Security ("BIS") export-control letters of late May 2025 that compelled Synopsys to pause certain semiconductor design software shipments to Chinese customers (the so-called "Q3 2025 BIS Restrictions") (Synopsys FY2025 10-K, MD&amp;A — Impact of Global Trade Policy).</w:t>
      </w:r>
    </w:p>
    <w:p>
      <w:pPr>
        <w:spacing w:after="120" w:lineRule="auto" w:line="276"/>
      </w:pPr>
      <w:r>
        <w:rPr>
          <w:rFonts w:ascii="Times New Roman" w:hAnsi="Times New Roman" w:cs="Times New Roman"/>
          <w:b/>
          <w:i w:val="0"/>
          <w:sz w:val="22"/>
        </w:rPr>
        <w:t>How large are they.</w:t>
      </w:r>
      <w:r>
        <w:rPr>
          <w:rFonts w:ascii="Times New Roman" w:hAnsi="Times New Roman" w:cs="Times New Roman"/>
          <w:b w:val="0"/>
          <w:i w:val="0"/>
          <w:sz w:val="22"/>
        </w:rPr>
        <w:t xml:space="preserve"> FY2025 revenue of $7.054 billion (continuing operations), GAAP net income of $1.336 billion ($8.07 diluted EPS), non-GAAP net income of $2.138 billion ($12.91 diluted EPS) (Synopsys Q4 &amp; FY2025 earnings release, 2025-12-10). Workforce: approximately 28,000 employees at fiscal-year-end 2025, up roughly 40% year-over-year primarily from the Ansys merger; ~75% are engineers; voluntary turnover was 5.7% (Synopsys FY2025 10-K, Human Capital). Cash, cash equivalents, and short-term investments were $3.0 billion as of October 31, 2025; the company issued $14.3 billion of new Senior Notes plus Term Loan borrowings to fund the Ansys cash consideration, lifting interest expense to $446.7M in FY2025 from $36.8M in FY2024.</w:t>
      </w:r>
    </w:p>
    <w:p>
      <w:pPr>
        <w:spacing w:after="120" w:lineRule="auto" w:line="276"/>
      </w:pPr>
      <w:r>
        <w:rPr>
          <w:rFonts w:ascii="Times New Roman" w:hAnsi="Times New Roman" w:cs="Times New Roman"/>
          <w:b/>
          <w:i w:val="0"/>
          <w:sz w:val="22"/>
        </w:rPr>
        <w:t>Valuation snapshot.</w:t>
      </w:r>
      <w:r>
        <w:rPr>
          <w:rFonts w:ascii="Times New Roman" w:hAnsi="Times New Roman" w:cs="Times New Roman"/>
          <w:b w:val="0"/>
          <w:i w:val="0"/>
          <w:sz w:val="22"/>
        </w:rPr>
        <w:t xml:space="preserve"> As of mid-May 2026, SNPS traded at approximately $516 per share, with a market capitalization in the $96–99 billion range and a TTM P/E of ~78.6× and TTM P/S of ~11.0× (Synopsys SNPS — Yahoo Finance, May 2026). The 52-week range is $365.74–$651.73 (stockanalysis.com — SNPS Statistics, May 2026). The closest comparable, Cadence Design Systems (NASDAQ: CDNS), trades at a similar nosebleed multiple (~$93–100B market cap; TTM P/E ~81.9× per Fullratio CDNS PE history; TTM P/S ~16.7× per stockanalysis.com — CDNS Statistics). The S&amp;P 500 IT sector median P/E sits in the mid-30s range, so SNPS and CDNS both trade at roughly 2× the sector median.</w:t>
      </w:r>
    </w:p>
    <w:p>
      <w:pPr>
        <w:spacing w:after="120" w:lineRule="auto" w:line="276"/>
      </w:pPr>
      <w:r>
        <w:rPr>
          <w:rFonts w:ascii="Times New Roman" w:hAnsi="Times New Roman" w:cs="Times New Roman"/>
          <w:b w:val="0"/>
          <w:i w:val="0"/>
          <w:sz w:val="22"/>
        </w:rPr>
        <w:t>*Source: Synopsys FY2025 10-K — Consolidated Statements of Income &amp; Note 19 Segment Disclosure; FY21–22 figures from Synopsys FY2022 10-K and FY2021 10-K and include the now-divested Software Integrity business; FY23–25 reflect continuing operations only.*</w:t>
      </w:r>
    </w:p>
    <w:p>
      <w:pPr>
        <w:spacing w:after="120" w:lineRule="auto" w:line="276"/>
      </w:pPr>
      <w:r>
        <w:rPr>
          <w:rFonts w:ascii="Times New Roman" w:hAnsi="Times New Roman" w:cs="Times New Roman"/>
          <w:b/>
          <w:i w:val="0"/>
          <w:sz w:val="22"/>
        </w:rPr>
        <w:t>Why is the multiple stretched?</w:t>
      </w:r>
      <w:r>
        <w:rPr>
          <w:rFonts w:ascii="Times New Roman" w:hAnsi="Times New Roman" w:cs="Times New Roman"/>
          <w:b w:val="0"/>
          <w:i w:val="0"/>
          <w:sz w:val="22"/>
        </w:rPr>
        <w:t xml:space="preserve"> The TTM P/E reflects three compounding effects, none of which is a "value trap" red flag but each of which matters: (1) GAAP earnings in FY2025 were depressed by ~$816M of acquired-intangible amortization, $254.8M of acquisition/divestiture costs, $446.7M of interest expense on Ansys debt, and a $121.6M unrealized loss on settled treasury-rate locks — i.e., the numerator (price) reflects a forward earnings power the denominator (TTM GAAP EPS of $6.35) does not yet capture (Synopsys FY2025 10-K — MD&amp;A and Note 18). On management's $14.38–14.46 non-GAAP EPS guide for FY2026, the forward P/E compresses to ~36× (Synopsys Q1-FY2026 earnings release, 2026-02-25). (2) The market is paying an AI-design premium — EDA is the literal toolchain for every advanced AI chip, and customer R&amp;D budgets are accelerating despite cyclicality elsewhere in semis. NVIDIA's $2.0 billion private-placement equity investment in Synopsys at $414.79/share on December 1, 2025, formalizing a multi-year CUDA/Omniverse partnership, is the cleanest market signal of this premium (NVIDIA and Synopsys Announce Strategic Partnership, 2025-12-01). (3) EDA is structurally an oligopoly with 90%-plus combined share among three players and effectively no new entrants in twenty-five years, supporting durable pricing power. The downside symmetry — what would compress</w:t>
      </w:r>
    </w:p>
    <w:p>
      <w:pPr>
        <w:spacing w:before="120" w:after="40"/>
        <w:jc w:val="center"/>
      </w:pPr>
      <w:r>
        <w:drawing>
          <wp:inline xmlns:a="http://schemas.openxmlformats.org/drawingml/2006/main" xmlns:pic="http://schemas.openxmlformats.org/drawingml/2006/picture">
            <wp:extent cx="5943600" cy="3190108"/>
            <wp:docPr id="3" name="Picture 3"/>
            <wp:cNvGraphicFramePr>
              <a:graphicFrameLocks noChangeAspect="1"/>
            </wp:cNvGraphicFramePr>
            <a:graphic>
              <a:graphicData uri="http://schemas.openxmlformats.org/drawingml/2006/picture">
                <pic:pic>
                  <pic:nvPicPr>
                    <pic:cNvPr id="0" name="chart_06_revenue_history.png"/>
                    <pic:cNvPicPr/>
                  </pic:nvPicPr>
                  <pic:blipFill>
                    <a:blip r:embed="rId11"/>
                    <a:stretch>
                      <a:fillRect/>
                    </a:stretch>
                  </pic:blipFill>
                  <pic:spPr>
                    <a:xfrm>
                      <a:off x="0" y="0"/>
                      <a:ext cx="5943600" cy="3190108"/>
                    </a:xfrm>
                    <a:prstGeom prst="rect"/>
                  </pic:spPr>
                </pic:pic>
              </a:graphicData>
            </a:graphic>
          </wp:inline>
        </w:drawing>
      </w:r>
    </w:p>
    <w:p>
      <w:pPr>
        <w:spacing w:after="160"/>
        <w:jc w:val="center"/>
      </w:pPr>
      <w:r>
        <w:rPr>
          <w:rFonts w:ascii="Times New Roman" w:hAnsi="Times New Roman" w:cs="Times New Roman"/>
          <w:b w:val="0"/>
          <w:i/>
          <w:color w:val="595959"/>
          <w:sz w:val="18"/>
        </w:rPr>
        <w:t>Revenue trajectory (5y historical + 5y projected)</w:t>
      </w:r>
    </w:p>
    <w:p>
      <w:pPr>
        <w:spacing w:before="120" w:after="40"/>
        <w:jc w:val="center"/>
      </w:pPr>
      <w:r>
        <w:drawing>
          <wp:inline xmlns:a="http://schemas.openxmlformats.org/drawingml/2006/main" xmlns:pic="http://schemas.openxmlformats.org/drawingml/2006/picture">
            <wp:extent cx="5943600" cy="3050155"/>
            <wp:docPr id="4" name="Picture 4"/>
            <wp:cNvGraphicFramePr>
              <a:graphicFrameLocks noChangeAspect="1"/>
            </wp:cNvGraphicFramePr>
            <a:graphic>
              <a:graphicData uri="http://schemas.openxmlformats.org/drawingml/2006/picture">
                <pic:pic>
                  <pic:nvPicPr>
                    <pic:cNvPr id="0" name="chart_07_org_structure.png"/>
                    <pic:cNvPicPr/>
                  </pic:nvPicPr>
                  <pic:blipFill>
                    <a:blip r:embed="rId12"/>
                    <a:stretch>
                      <a:fillRect/>
                    </a:stretch>
                  </pic:blipFill>
                  <pic:spPr>
                    <a:xfrm>
                      <a:off x="0" y="0"/>
                      <a:ext cx="5943600" cy="3050155"/>
                    </a:xfrm>
                    <a:prstGeom prst="rect"/>
                  </pic:spPr>
                </pic:pic>
              </a:graphicData>
            </a:graphic>
          </wp:inline>
        </w:drawing>
      </w:r>
    </w:p>
    <w:p>
      <w:pPr>
        <w:spacing w:after="160"/>
        <w:jc w:val="center"/>
      </w:pPr>
      <w:r>
        <w:rPr>
          <w:rFonts w:ascii="Times New Roman" w:hAnsi="Times New Roman" w:cs="Times New Roman"/>
          <w:b w:val="0"/>
          <w:i/>
          <w:color w:val="595959"/>
          <w:sz w:val="18"/>
        </w:rPr>
        <w:t>Senior executive org structure</w:t>
      </w:r>
    </w:p>
    <w:p>
      <w:pPr>
        <w:spacing w:before="360" w:after="120"/>
        <w:pBdr>
          <w:bottom w:val="single" w:sz="8" w:space="1" w:color="1F4E78"/>
        </w:pBdr>
      </w:pPr>
      <w:r>
        <w:rPr>
          <w:rFonts w:ascii="Times New Roman" w:hAnsi="Times New Roman" w:cs="Times New Roman"/>
          <w:b/>
          <w:i w:val="0"/>
          <w:color w:val="1F4E78"/>
          <w:sz w:val="32"/>
        </w:rPr>
        <w:t>Company History</w:t>
      </w:r>
    </w:p>
    <w:p>
      <w:pPr>
        <w:spacing w:after="120" w:lineRule="auto" w:line="276"/>
      </w:pPr>
      <w:r>
        <w:rPr>
          <w:rFonts w:ascii="Times New Roman" w:hAnsi="Times New Roman" w:cs="Times New Roman"/>
          <w:b w:val="0"/>
          <w:i w:val="0"/>
          <w:sz w:val="22"/>
        </w:rPr>
        <w:t>Synopsys was founded as "Optimal Solutions" in 1986 inside the General Electric Microelectronics Center in Research Triangle Park, North Carolina, by Aart J. de Geus and a team of fellow GE researchers. The founding insight was that automated logic synthesis — turning a high-level register-transfer-level (RTL) description into a gate-level netlist — could displace the manual schematic work that then defined chip design. Synopsys was incorporated in December 1986 and shipped its first product, Design Compiler, in 1987. Aart de Geus has served on the Synopsys board continuously since inception and as CEO from 1994 through January 2024, when he transitioned to Executive Chair to make way for Sassine Ghazi (Synopsys FY2025 10-K, Information about Executive Officers).</w:t>
      </w:r>
    </w:p>
    <w:p>
      <w:pPr>
        <w:spacing w:after="120" w:lineRule="auto" w:line="276"/>
      </w:pPr>
      <w:r>
        <w:rPr>
          <w:rFonts w:ascii="Times New Roman" w:hAnsi="Times New Roman" w:cs="Times New Roman"/>
          <w:b w:val="0"/>
          <w:i w:val="0"/>
          <w:sz w:val="22"/>
        </w:rPr>
        <w:t>*Source: timeline assembled from Synopsys FY2025 10-K, Synopsys Completes Acquisition of Ansys, 2025-07-17, and NVIDIA-Synopsys Partnership Announcement, 2025-12-01.*</w:t>
      </w:r>
    </w:p>
    <w:p>
      <w:pPr>
        <w:spacing w:after="120" w:lineRule="auto" w:line="276"/>
      </w:pPr>
      <w:r>
        <w:rPr>
          <w:rFonts w:ascii="Times New Roman" w:hAnsi="Times New Roman" w:cs="Times New Roman"/>
          <w:b/>
          <w:i w:val="0"/>
          <w:sz w:val="22"/>
        </w:rPr>
        <w:t>Strategic pivots.</w:t>
      </w:r>
      <w:r>
        <w:rPr>
          <w:rFonts w:ascii="Times New Roman" w:hAnsi="Times New Roman" w:cs="Times New Roman"/>
          <w:b w:val="0"/>
          <w:i w:val="0"/>
          <w:sz w:val="22"/>
        </w:rPr>
        <w:t xml:space="preserve"> Three pivots define modern Synopsys. The *first* was the early-2000s acquisition spree culminating in the 2002 Avanti deal, which transformed Synopsys from a synthesis specialist into a full-flow ("RTL-to-GDSII") provider competing toe-to-toe with Cadence. The *second*, from roughly 2011 onward, was the expansion into semiconductor IP through DesignWare — recognizing that as design teams shrank and chip complexity exploded, customers would increasingly buy reusable building blocks rather than design every block in-house. By FY2025 the Design IP segment generated $1.75B in revenue, second only to Arm Holdings among IP licensors. The *third* and ongoing pivot is the AI-driven full-stack expansion announced through DSO.ai (2021), Synopsys.ai (2023), and culminated by the Ansys acquisition (2025) — repositioning the company from "EDA vendor" to "engineering solutions from silicon to systems" addressing physics-based simulation across mechanical, electromagnetic, fluids, and optical domains.</w:t>
      </w:r>
    </w:p>
    <w:p>
      <w:pPr>
        <w:spacing w:after="120" w:lineRule="auto" w:line="276"/>
      </w:pPr>
      <w:r>
        <w:rPr>
          <w:rFonts w:ascii="Times New Roman" w:hAnsi="Times New Roman" w:cs="Times New Roman"/>
          <w:b/>
          <w:i w:val="0"/>
          <w:sz w:val="22"/>
        </w:rPr>
        <w:t>Key acquisitions (2017–2025).</w:t>
      </w:r>
      <w:r>
        <w:rPr>
          <w:rFonts w:ascii="Times New Roman" w:hAnsi="Times New Roman" w:cs="Times New Roman"/>
          <w:b w:val="0"/>
          <w:i w:val="0"/>
          <w:sz w:val="22"/>
        </w:rPr>
        <w:t xml:space="preserve"> Black Duck Software (2017, software composition analysis — later divested as part of Software Integrity in 2024); Cigital and Coverity prior years (also bundled into Software Integrity); Avanti (2002, place-and-route); Magma Design Automation (2012, $507M); Coverity (2014); Numetrics (2007); ChipEDA, SiliconSmart, multiple sensor / IP tuck-ins; OpenLight (joint venture spun out in 2022 and later divested with the Optical Solutions Group); and the company-defining Ansys merger (July 17, 2025, ~$35B). On the divestiture side, Synopsys sold its Software Integrity business on September 30, 2024 for $1.65 billion to Clearlake Capital and Francisco Partners, recording a pre-tax gain of ~$860 million, and divested its Optical Solutions Group to Keysight Technologies on October 17, 2025 — both moves to focus the post-Ansys portfolio (Synopsys FY2025 10-K, Note 3 Discontinued Operations).</w:t>
      </w:r>
    </w:p>
    <w:p>
      <w:pPr>
        <w:spacing w:after="120" w:lineRule="auto" w:line="276"/>
      </w:pPr>
      <w:r>
        <w:rPr>
          <w:rFonts w:ascii="Times New Roman" w:hAnsi="Times New Roman" w:cs="Times New Roman"/>
          <w:b/>
          <w:i w:val="0"/>
          <w:sz w:val="22"/>
        </w:rPr>
        <w:t>Recent developments (last 12 months).</w:t>
      </w:r>
      <w:r>
        <w:rPr>
          <w:rFonts w:ascii="Times New Roman" w:hAnsi="Times New Roman" w:cs="Times New Roman"/>
          <w:b w:val="0"/>
          <w:i w:val="0"/>
          <w:sz w:val="22"/>
        </w:rPr>
        <w:t xml:space="preserve"> The dominant story is the Ansys integration: $23.4 billion of goodwill added in FY2025, $756.6M of partial-year Ansys revenue contribution, and Sassine Ghazi's team now organizing toward a "first integrated capabilities" delivery in 1H FY2026. The second story is the May–July 2025 China export-control episode: on May 29, 2025, Synopsys received a BIS letter requiring it to halt certain EDA shipments to China customers, suspending its FY2025 guidance (Tom's Hardware coverage, 2025-05-30); restrictions were partially clarified in July and the company resumed selective shipments while building out compliance workflows. The third story is governance refresh — Peter Shimer (former Deloitte interim CEO) joined the board on February 19, 2026; Luis Borgen and Ajei Gopal will not stand for re-election at the 2026 annual meeting (Synopsys Appoints Peter Shimer to Board, 2026-02-19).</w:t>
      </w:r>
    </w:p>
    <w:p>
      <w:pPr>
        <w:spacing w:after="120" w:lineRule="auto" w:line="276"/>
      </w:pPr>
      <w:r>
        <w:rPr>
          <w:rFonts w:ascii="Times New Roman" w:hAnsi="Times New Roman" w:cs="Times New Roman"/>
          <w:b w:val="0"/>
          <w:i w:val="0"/>
          <w:sz w:val="22"/>
        </w:rPr>
        <w:t>---</w:t>
      </w:r>
    </w:p>
    <w:p>
      <w:pPr>
        <w:spacing w:before="120" w:after="40"/>
        <w:jc w:val="center"/>
      </w:pPr>
      <w:r>
        <w:drawing>
          <wp:inline xmlns:a="http://schemas.openxmlformats.org/drawingml/2006/main" xmlns:pic="http://schemas.openxmlformats.org/drawingml/2006/picture">
            <wp:extent cx="5943600" cy="2236046"/>
            <wp:docPr id="5" name="Picture 5"/>
            <wp:cNvGraphicFramePr>
              <a:graphicFrameLocks noChangeAspect="1"/>
            </wp:cNvGraphicFramePr>
            <a:graphic>
              <a:graphicData uri="http://schemas.openxmlformats.org/drawingml/2006/picture">
                <pic:pic>
                  <pic:nvPicPr>
                    <pic:cNvPr id="0" name="chart_05_company_timeline.png"/>
                    <pic:cNvPicPr/>
                  </pic:nvPicPr>
                  <pic:blipFill>
                    <a:blip r:embed="rId13"/>
                    <a:stretch>
                      <a:fillRect/>
                    </a:stretch>
                  </pic:blipFill>
                  <pic:spPr>
                    <a:xfrm>
                      <a:off x="0" y="0"/>
                      <a:ext cx="5943600" cy="2236046"/>
                    </a:xfrm>
                    <a:prstGeom prst="rect"/>
                  </pic:spPr>
                </pic:pic>
              </a:graphicData>
            </a:graphic>
          </wp:inline>
        </w:drawing>
      </w:r>
    </w:p>
    <w:p>
      <w:pPr>
        <w:spacing w:after="160"/>
        <w:jc w:val="center"/>
      </w:pPr>
      <w:r>
        <w:rPr>
          <w:rFonts w:ascii="Times New Roman" w:hAnsi="Times New Roman" w:cs="Times New Roman"/>
          <w:b w:val="0"/>
          <w:i/>
          <w:color w:val="595959"/>
          <w:sz w:val="18"/>
        </w:rPr>
        <w:t>Key milestones timeline</w:t>
      </w:r>
    </w:p>
    <w:p>
      <w:pPr>
        <w:spacing w:before="120" w:after="40"/>
        <w:jc w:val="center"/>
      </w:pPr>
      <w:r>
        <w:drawing>
          <wp:inline xmlns:a="http://schemas.openxmlformats.org/drawingml/2006/main" xmlns:pic="http://schemas.openxmlformats.org/drawingml/2006/picture">
            <wp:extent cx="5943600" cy="2827215"/>
            <wp:docPr id="6" name="Picture 6"/>
            <wp:cNvGraphicFramePr>
              <a:graphicFrameLocks noChangeAspect="1"/>
            </wp:cNvGraphicFramePr>
            <a:graphic>
              <a:graphicData uri="http://schemas.openxmlformats.org/drawingml/2006/picture">
                <pic:pic>
                  <pic:nvPicPr>
                    <pic:cNvPr id="0" name="chart_19_rd_intensity.png"/>
                    <pic:cNvPicPr/>
                  </pic:nvPicPr>
                  <pic:blipFill>
                    <a:blip r:embed="rId14"/>
                    <a:stretch>
                      <a:fillRect/>
                    </a:stretch>
                  </pic:blipFill>
                  <pic:spPr>
                    <a:xfrm>
                      <a:off x="0" y="0"/>
                      <a:ext cx="5943600" cy="2827215"/>
                    </a:xfrm>
                    <a:prstGeom prst="rect"/>
                  </pic:spPr>
                </pic:pic>
              </a:graphicData>
            </a:graphic>
          </wp:inline>
        </w:drawing>
      </w:r>
    </w:p>
    <w:p>
      <w:pPr>
        <w:spacing w:after="160"/>
        <w:jc w:val="center"/>
      </w:pPr>
      <w:r>
        <w:rPr>
          <w:rFonts w:ascii="Times New Roman" w:hAnsi="Times New Roman" w:cs="Times New Roman"/>
          <w:b w:val="0"/>
          <w:i/>
          <w:color w:val="595959"/>
          <w:sz w:val="18"/>
        </w:rPr>
        <w:t>R&amp;D investment trajectory</w:t>
      </w:r>
    </w:p>
    <w:p>
      <w:pPr>
        <w:spacing w:before="360" w:after="120"/>
        <w:pBdr>
          <w:bottom w:val="single" w:sz="8" w:space="1" w:color="1F4E78"/>
        </w:pBdr>
      </w:pPr>
      <w:r>
        <w:rPr>
          <w:rFonts w:ascii="Times New Roman" w:hAnsi="Times New Roman" w:cs="Times New Roman"/>
          <w:b/>
          <w:i w:val="0"/>
          <w:color w:val="1F4E78"/>
          <w:sz w:val="32"/>
        </w:rPr>
        <w:t>Management Team</w:t>
      </w:r>
    </w:p>
    <w:p>
      <w:pPr>
        <w:spacing w:before="160" w:after="60"/>
      </w:pPr>
      <w:r>
        <w:rPr>
          <w:rFonts w:ascii="Times New Roman" w:hAnsi="Times New Roman" w:cs="Times New Roman"/>
          <w:b/>
          <w:i w:val="0"/>
          <w:color w:val="C00000"/>
          <w:sz w:val="22"/>
        </w:rPr>
        <w:t>Sassine Ghazi — President and Chief Executive Officer</w:t>
      </w:r>
    </w:p>
    <w:p>
      <w:pPr>
        <w:spacing w:after="120" w:lineRule="auto" w:line="276"/>
      </w:pPr>
      <w:r>
        <w:rPr>
          <w:rFonts w:ascii="Times New Roman" w:hAnsi="Times New Roman" w:cs="Times New Roman"/>
          <w:b w:val="0"/>
          <w:i w:val="0"/>
          <w:sz w:val="22"/>
        </w:rPr>
        <w:t>Sassine Ghazi, age 55, became CEO of Synopsys in January 2024 after a 26-year career inside the company that took him from applications engineer to COO to chief executive — exactly the kind of internally-promoted, technical-track CEO that historically defines successful EDA leadership. Per the FY2025 10-K, Ghazi joined Synopsys in March 1998 as an applications engineer and "held a series of sales positions with increasing responsibility, culminating in leadership of worldwide strategic accounts." Prior to becoming COO in August 2020, he was general manager for all digital and custom products — the largest business group inside the company, encompassing Design Compiler, Fusion Compiler, IC Compiler II, and the custom analog flow. Before Synopsys he was a design engineer at Intel Corporation. He holds a bachelor's in Business Administration from Lebanese American University, a B.S.E.E. from Georgia Tech (1993), and an M.S.E.E. from the University of Tennessee (1995) (Synopsys FY2025 10-K, Executive Officers).</w:t>
      </w:r>
    </w:p>
    <w:p>
      <w:pPr>
        <w:spacing w:after="120" w:lineRule="auto" w:line="276"/>
      </w:pPr>
      <w:r>
        <w:rPr>
          <w:rFonts w:ascii="Times New Roman" w:hAnsi="Times New Roman" w:cs="Times New Roman"/>
          <w:b w:val="0"/>
          <w:i w:val="0"/>
          <w:sz w:val="22"/>
        </w:rPr>
        <w:t>What Ghazi specifically accomplished as COO matters more than the title chronology. During his August 2020–January 2024 COO tenure, Synopsys revenue grew from $3.69B (FY2020) to $5.84B (FY2023) — roughly 58% cumulative, ~16% CAGR — while operating income expanded faster than revenue. He owned the field organization that closed Synopsys' largest-ever multi-year deals with hyperscaler customers during the AI buildout, and he sponsored the DSO.ai launch in 2021. As CEO he is the architect of two defining bets: the $35 billion Ansys acquisition (announced two weeks after his promotion) and the NVIDIA strategic partnership / $2B equity investment closed December 2025. Both are explicit "platform" bets — Ansys widens the addressable surface from silicon design into multiphysics and the NVIDIA tie-up establishes Synopsys as the preferred software partner on CUDA-accelerated design infrastructure. Ghazi's public-speaking pattern in earnings calls and the 10-K letter emphasizes "silicon to systems" — a deliberate reframing that, if it lands, justifies Synopsys' continued premium multiple. His ownership stake is not separately disclosed outside the proxy, but per the 2026 DEF 14A he was granted equity awards consistent with Synopsys' standard CEO compensation architecture (the bulk of pay is performance-based equity).</w:t>
      </w:r>
    </w:p>
    <w:p>
      <w:pPr>
        <w:spacing w:after="120" w:lineRule="auto" w:line="276"/>
      </w:pPr>
      <w:r>
        <w:rPr>
          <w:rFonts w:ascii="Times New Roman" w:hAnsi="Times New Roman" w:cs="Times New Roman"/>
          <w:b w:val="0"/>
          <w:i w:val="0"/>
          <w:sz w:val="22"/>
        </w:rPr>
        <w:t>The risk in the CEO story is that Ghazi has now been CEO for only ~28 months, immediately undertook the largest EDA acquisition in history, and must integrate a company whose product lines (mechanical FEA, CFD, optics) overlap minimally with Synopsys' historical core. The 10-K specifically warns that "we may not realize the full anticipated benefits of the Ansys Merger" and notes additional restructuring charges of $118.3M in Q1 FY2026 tied to the integration (Synopsys Q1-FY2026 10-Q, Consolidated Statements of Income). His first major integration test arrives in 1H FY2026 when the first "fused" Synopsys-Ansys product capabilities are scheduled to ship.</w:t>
      </w:r>
    </w:p>
    <w:p>
      <w:pPr>
        <w:spacing w:before="160" w:after="60"/>
      </w:pPr>
      <w:r>
        <w:rPr>
          <w:rFonts w:ascii="Times New Roman" w:hAnsi="Times New Roman" w:cs="Times New Roman"/>
          <w:b/>
          <w:i w:val="0"/>
          <w:color w:val="C00000"/>
          <w:sz w:val="22"/>
        </w:rPr>
        <w:t>Aart J. de Geus — Co-founder and Executive Chair</w:t>
      </w:r>
    </w:p>
    <w:p>
      <w:pPr>
        <w:spacing w:after="120" w:lineRule="auto" w:line="276"/>
      </w:pPr>
      <w:r>
        <w:rPr>
          <w:rFonts w:ascii="Times New Roman" w:hAnsi="Times New Roman" w:cs="Times New Roman"/>
          <w:b w:val="0"/>
          <w:i w:val="0"/>
          <w:sz w:val="22"/>
        </w:rPr>
        <w:t>Dr. Aart de Geus, age 71, co-founded Synopsys in December 1986 and has served on the board continuously since inception. He was CEO from 1994 to 2012, Co-CEO with Dr. Chi-Foon Chan from May 2012 to April 2022, sole CEO from April 2022 to January 2024, and Executive Chair since January 2024. He also serves on the board of directors of Applied Materials (since July 2007). Education: M.S.E.E. from the Swiss Federal Institute of Technology Lausanne and a Ph.D. in Electrical Engineering from Southern Methodist University (Synopsys FY2025 10-K, Executive Officers; Aart J. de Geus, Wikipedia). As Executive Chair, de Geus retains substantial influence over long-term strategic decisions and customer-facing engagements while delegating day-to-day execution to Ghazi. He filed a Rule 10b5-1 trading arrangement on October 14, 2025 covering up to 74,641 shares through October 2026 (Synopsys FY2025 10-K, Item 9B Insider Trading Arrangements).</w:t>
      </w:r>
    </w:p>
    <w:p>
      <w:pPr>
        <w:spacing w:before="160" w:after="60"/>
      </w:pPr>
      <w:r>
        <w:rPr>
          <w:rFonts w:ascii="Times New Roman" w:hAnsi="Times New Roman" w:cs="Times New Roman"/>
          <w:b/>
          <w:i w:val="0"/>
          <w:color w:val="C00000"/>
          <w:sz w:val="22"/>
        </w:rPr>
        <w:t>Shelagh Glaser — Chief Financial Officer</w:t>
      </w:r>
    </w:p>
    <w:p>
      <w:pPr>
        <w:spacing w:after="120" w:lineRule="auto" w:line="276"/>
      </w:pPr>
      <w:r>
        <w:rPr>
          <w:rFonts w:ascii="Times New Roman" w:hAnsi="Times New Roman" w:cs="Times New Roman"/>
          <w:b w:val="0"/>
          <w:i w:val="0"/>
          <w:sz w:val="22"/>
        </w:rPr>
        <w:t>Shelagh Glaser, age 61, has served as CFO since December 2022. Prior to Synopsys, Glaser was CFO of Zendesk, Inc. from May 2021 to November 2022 (through the take-private to Hellman &amp; Friedman / Permira). Earlier, she spent ~22 years at Intel Corporation, where she served as Corporate Vice President, CFO and COO for Intel's Data Platform Group (July 2019 – May 2021) and as Corporate Vice President / CFO and senior finance roles within the Client Computing Group (December 2013 – July 2019). She is a director and Audit Committee member of PubMatic, Inc. since June 2022. Education: B.A. in Economics, University of Michigan; M.B.A. in Finance, Carnegie Mellon University (Synopsys FY2025 10-K, Executive Officers).</w:t>
      </w:r>
    </w:p>
    <w:p>
      <w:pPr>
        <w:spacing w:after="120" w:lineRule="auto" w:line="276"/>
      </w:pPr>
      <w:r>
        <w:rPr>
          <w:rFonts w:ascii="Times New Roman" w:hAnsi="Times New Roman" w:cs="Times New Roman"/>
          <w:b w:val="0"/>
          <w:i w:val="0"/>
          <w:sz w:val="22"/>
        </w:rPr>
        <w:t>The CFO-specific bet here is debt execution. Glaser raised $14.3 billion of fresh debt (Senior Notes plus Term Loan) to fund the Ansys cash consideration — Synopsys' first material leverage event in its 39-year history. The structure includes a five-year interest-rate hedge that settled at a $121.6M unrealized loss in FY2025 (reported in the cash-flow reconciliation), and management has publicly committed to "rapid deleveraging over a period of two years" (Synopsys Completes Acquisition of Ansys, 2025-07-17). Free-cash-flow generation of ~$1.9 billion guided for FY2026 makes the deleveraging path mechanically credible if Ansys revenue tracks plan. Glaser's Intel pedigree — large, complex-deal capital allocation — is the right CV for the moment.</w:t>
      </w:r>
    </w:p>
    <w:p>
      <w:pPr>
        <w:spacing w:before="160" w:after="60"/>
      </w:pPr>
      <w:r>
        <w:rPr>
          <w:rFonts w:ascii="Times New Roman" w:hAnsi="Times New Roman" w:cs="Times New Roman"/>
          <w:b/>
          <w:i w:val="0"/>
          <w:color w:val="C00000"/>
          <w:sz w:val="22"/>
        </w:rPr>
        <w:t>Mike Ellow — Chief Revenue Officer</w:t>
      </w:r>
    </w:p>
    <w:p>
      <w:pPr>
        <w:spacing w:after="120" w:lineRule="auto" w:line="276"/>
      </w:pPr>
      <w:r>
        <w:rPr>
          <w:rFonts w:ascii="Times New Roman" w:hAnsi="Times New Roman" w:cs="Times New Roman"/>
          <w:b w:val="0"/>
          <w:i w:val="0"/>
          <w:sz w:val="22"/>
        </w:rPr>
        <w:t>Mike Ellow, age 62, joined Synopsys as CRO in November 2025 — a notable hire because he came directly from running Synopsys' largest competitor. Per the 10-K, Ellow was the Chief Executive Officer of Siemens EDA (the rebranded Mentor Graphics) from June 2024 to November 2025, and before that EVP of EDA Global Sales, Services and Customer Support at Siemens from January 2021. He started his career in sales at Cadence Design Systems in 1997, spent ~13 years there, joined Berkeley Design Automation in 2011, and moved into Siemens / Mentor via the 2017 Siemens-Mentor acquisition. He holds a B.S.E.E. from Lehigh, an M.S.E.E. from USC, and an M.B.A. from Cal State Fullerton (Synopsys FY2025 10-K, Executive Officers). Hiring the head of Siemens EDA into the CRO seat is a clean competitive signal — Ellow knows the Siemens playbook, the cross-tool bake-off cycles, and the specific accounts where Synopsys vs. Siemens vs. Cadence sit head-to-head.</w:t>
      </w:r>
    </w:p>
    <w:p>
      <w:pPr>
        <w:spacing w:before="160" w:after="60"/>
      </w:pPr>
      <w:r>
        <w:rPr>
          <w:rFonts w:ascii="Times New Roman" w:hAnsi="Times New Roman" w:cs="Times New Roman"/>
          <w:b/>
          <w:i w:val="0"/>
          <w:color w:val="C00000"/>
          <w:sz w:val="22"/>
        </w:rPr>
        <w:t>Governance</w:t>
      </w:r>
    </w:p>
    <w:p>
      <w:pPr>
        <w:spacing w:after="120" w:lineRule="auto" w:line="276"/>
      </w:pPr>
      <w:r>
        <w:rPr>
          <w:rFonts w:ascii="Times New Roman" w:hAnsi="Times New Roman" w:cs="Times New Roman"/>
          <w:b w:val="0"/>
          <w:i w:val="0"/>
          <w:sz w:val="22"/>
        </w:rPr>
        <w:t>The board consists of 11 directors as of the 2026 DEF 14A filing, including Sassine Ghazi (CEO), Aart de Geus (Executive Chair), Ajei Gopal (former Ansys CEO, not standing for re-election at the 2026 annual meeting), Ravi Vijayaraghavan (former Ansys board member), and Peter Shimer (joined February 2026, audit committee). Luis Borgen also will not be renominated for re-election (Synopsys Appoints Peter Shimer to Board, 2026-02-19). Independent directors form a majority; CEO and Chair roles are separated (de Geus is Executive Chair, not independent). Insider ownership at the executive level is not heavy in absolute terms — typical for a 39-year-old</w:t>
      </w:r>
    </w:p>
    <w:p>
      <w:pPr>
        <w:spacing w:before="360" w:after="120"/>
        <w:pBdr>
          <w:bottom w:val="single" w:sz="8" w:space="1" w:color="1F4E78"/>
        </w:pBdr>
      </w:pPr>
      <w:r>
        <w:rPr>
          <w:rFonts w:ascii="Times New Roman" w:hAnsi="Times New Roman" w:cs="Times New Roman"/>
          <w:b/>
          <w:i w:val="0"/>
          <w:color w:val="1F4E78"/>
          <w:sz w:val="32"/>
        </w:rPr>
        <w:t>Products &amp; Services</w:t>
      </w:r>
    </w:p>
    <w:p>
      <w:pPr>
        <w:spacing w:after="120" w:lineRule="auto" w:line="276"/>
      </w:pPr>
      <w:r>
        <w:rPr>
          <w:rFonts w:ascii="Times New Roman" w:hAnsi="Times New Roman" w:cs="Times New Roman"/>
          <w:b w:val="0"/>
          <w:i w:val="0"/>
          <w:sz w:val="22"/>
        </w:rPr>
        <w:t>Synopsys' product portfolio splits cleanly between EDA software (the historical core), Design IP (semiconductor IP blocks the customer drops into a chip), and — post-July 2025 — Ansys' physics-based simulation tools. The website walk below mirrors the navigation on synopsys.com.</w:t>
      </w:r>
    </w:p>
    <w:p>
      <w:pPr>
        <w:spacing w:after="120" w:lineRule="auto" w:line="276"/>
      </w:pPr>
      <w:r>
        <w:rPr>
          <w:rFonts w:ascii="Times New Roman" w:hAnsi="Times New Roman" w:cs="Times New Roman"/>
          <w:b w:val="0"/>
          <w:i w:val="0"/>
          <w:sz w:val="22"/>
        </w:rPr>
        <w:t>*Source: assembled from the Synopsys product navigation tree at synopsys.com and the DesignWare IP catalog page, cross-checked against the FY2025 10-K Item 1 Business description.*</w:t>
      </w:r>
    </w:p>
    <w:p>
      <w:pPr>
        <w:spacing w:before="160" w:after="60"/>
      </w:pPr>
      <w:r>
        <w:rPr>
          <w:rFonts w:ascii="Times New Roman" w:hAnsi="Times New Roman" w:cs="Times New Roman"/>
          <w:b/>
          <w:i w:val="0"/>
          <w:color w:val="C00000"/>
          <w:sz w:val="22"/>
        </w:rPr>
        <w:t>Design Automation — EDA Core</w:t>
      </w:r>
    </w:p>
    <w:p>
      <w:pPr>
        <w:spacing w:after="120" w:lineRule="auto" w:line="276"/>
      </w:pPr>
      <w:r>
        <w:rPr>
          <w:rFonts w:ascii="Times New Roman" w:hAnsi="Times New Roman" w:cs="Times New Roman"/>
          <w:b/>
          <w:i w:val="0"/>
          <w:sz w:val="22"/>
        </w:rPr>
        <w:t>Digital Implementation (Fusion Design Platform).</w:t>
      </w:r>
      <w:r>
        <w:rPr>
          <w:rFonts w:ascii="Times New Roman" w:hAnsi="Times New Roman" w:cs="Times New Roman"/>
          <w:b w:val="0"/>
          <w:i w:val="0"/>
          <w:sz w:val="22"/>
        </w:rPr>
        <w:t xml:space="preserve"> Synopsys' flagship full-flow product is </w:t>
      </w:r>
      <w:r>
        <w:rPr>
          <w:rFonts w:ascii="Times New Roman" w:hAnsi="Times New Roman" w:cs="Times New Roman"/>
          <w:b/>
          <w:i w:val="0"/>
          <w:sz w:val="22"/>
        </w:rPr>
        <w:t>Fusion Compiler</w:t>
      </w:r>
      <w:r>
        <w:rPr>
          <w:rFonts w:ascii="Times New Roman" w:hAnsi="Times New Roman" w:cs="Times New Roman"/>
          <w:b w:val="0"/>
          <w:i w:val="0"/>
          <w:sz w:val="22"/>
        </w:rPr>
        <w:t xml:space="preserve">, an RTL-to-GDSII implementation engine integrating synthesis, place-and-route, and signoff in a single data model (Fusion Compiler product page). It targets advanced-node (3nm / 2nm / Angstrom-era) digital chips for hyperscaler, AI accelerator, and mobile SoC customers. The legacy </w:t>
      </w:r>
      <w:r>
        <w:rPr>
          <w:rFonts w:ascii="Times New Roman" w:hAnsi="Times New Roman" w:cs="Times New Roman"/>
          <w:b/>
          <w:i w:val="0"/>
          <w:sz w:val="22"/>
        </w:rPr>
        <w:t>Design Compiler</w:t>
      </w:r>
      <w:r>
        <w:rPr>
          <w:rFonts w:ascii="Times New Roman" w:hAnsi="Times New Roman" w:cs="Times New Roman"/>
          <w:b w:val="0"/>
          <w:i w:val="0"/>
          <w:sz w:val="22"/>
        </w:rPr>
        <w:t xml:space="preserve"> (synthesis) and </w:t>
      </w:r>
      <w:r>
        <w:rPr>
          <w:rFonts w:ascii="Times New Roman" w:hAnsi="Times New Roman" w:cs="Times New Roman"/>
          <w:b/>
          <w:i w:val="0"/>
          <w:sz w:val="22"/>
        </w:rPr>
        <w:t>IC Compiler II</w:t>
      </w:r>
      <w:r>
        <w:rPr>
          <w:rFonts w:ascii="Times New Roman" w:hAnsi="Times New Roman" w:cs="Times New Roman"/>
          <w:b w:val="0"/>
          <w:i w:val="0"/>
          <w:sz w:val="22"/>
        </w:rPr>
        <w:t xml:space="preserve"> (place-and-route) remain available for customers who prefer separate engines. </w:t>
      </w:r>
      <w:r>
        <w:rPr>
          <w:rFonts w:ascii="Times New Roman" w:hAnsi="Times New Roman" w:cs="Times New Roman"/>
          <w:b/>
          <w:i w:val="0"/>
          <w:sz w:val="22"/>
        </w:rPr>
        <w:t>3DIC Compiler</w:t>
      </w:r>
      <w:r>
        <w:rPr>
          <w:rFonts w:ascii="Times New Roman" w:hAnsi="Times New Roman" w:cs="Times New Roman"/>
          <w:b w:val="0"/>
          <w:i w:val="0"/>
          <w:sz w:val="22"/>
        </w:rPr>
        <w:t xml:space="preserve"> addresses multi-die / chiplet integration — increasingly the dominant package architecture for AI accelerators. *Competitive advantage: yes (technology / IP).* Fusion Compiler is widely regarded — by named customers including Intel, Samsung, and most leading hyperscaler chip teams — as offering best-in-class power-performance-area (PPA) at 5nm and below; AI-driven optimization via DSO.ai materially compresses turnaround time vs. competing flows. *Closest competitor:* Cadence Innovus Implementation System (at parity on many digital flows, behind at the bleeding-edge nodes per most foundry-published benchmarks).</w:t>
      </w:r>
    </w:p>
    <w:p>
      <w:pPr>
        <w:spacing w:after="120" w:lineRule="auto" w:line="276"/>
      </w:pPr>
      <w:r>
        <w:rPr>
          <w:rFonts w:ascii="Times New Roman" w:hAnsi="Times New Roman" w:cs="Times New Roman"/>
          <w:b/>
          <w:i w:val="0"/>
          <w:sz w:val="22"/>
        </w:rPr>
        <w:t>Static Timing Signoff (PrimeTime).</w:t>
      </w:r>
      <w:r>
        <w:rPr>
          <w:rFonts w:ascii="Times New Roman" w:hAnsi="Times New Roman" w:cs="Times New Roman"/>
          <w:b w:val="0"/>
          <w:i w:val="0"/>
          <w:sz w:val="22"/>
        </w:rPr>
        <w:t xml:space="preserve"> </w:t>
      </w:r>
      <w:r>
        <w:rPr>
          <w:rFonts w:ascii="Times New Roman" w:hAnsi="Times New Roman" w:cs="Times New Roman"/>
          <w:b/>
          <w:i w:val="0"/>
          <w:sz w:val="22"/>
        </w:rPr>
        <w:t>PrimeTime</w:t>
      </w:r>
      <w:r>
        <w:rPr>
          <w:rFonts w:ascii="Times New Roman" w:hAnsi="Times New Roman" w:cs="Times New Roman"/>
          <w:b w:val="0"/>
          <w:i w:val="0"/>
          <w:sz w:val="22"/>
        </w:rPr>
        <w:t xml:space="preserve"> is the de facto industry-standard static timing analysis (STA) signoff tool — virtually every advanced-node chip taped out in the last twenty years has been signed off with PrimeTime (PrimeTime — Static Timing Analysis). *Competitive advantage: yes (very high — switching costs, ecosystem lock-in, certification with all major foundries).* This is arguably Synopsys' single deepest moat: foundries publish design rules and PDKs validated against PrimeTime, EDA validation flows assume PrimeTime golden, and customer engineering flows have decades of accumulated scripts/methodologies wrapped around it. *Closest competitor:* Cadence Tempus Timing Solution — technically capable but commercially marginal in advanced-node digital signoff.</w:t>
      </w:r>
    </w:p>
    <w:p>
      <w:pPr>
        <w:spacing w:after="120" w:lineRule="auto" w:line="276"/>
      </w:pPr>
      <w:r>
        <w:rPr>
          <w:rFonts w:ascii="Times New Roman" w:hAnsi="Times New Roman" w:cs="Times New Roman"/>
          <w:b/>
          <w:i w:val="0"/>
          <w:sz w:val="22"/>
        </w:rPr>
        <w:t>Custom / Analog (Custom Compiler, PrimeSim).</w:t>
      </w:r>
      <w:r>
        <w:rPr>
          <w:rFonts w:ascii="Times New Roman" w:hAnsi="Times New Roman" w:cs="Times New Roman"/>
          <w:b w:val="0"/>
          <w:i w:val="0"/>
          <w:sz w:val="22"/>
        </w:rPr>
        <w:t xml:space="preserve"> </w:t>
      </w:r>
      <w:r>
        <w:rPr>
          <w:rFonts w:ascii="Times New Roman" w:hAnsi="Times New Roman" w:cs="Times New Roman"/>
          <w:b/>
          <w:i w:val="0"/>
          <w:sz w:val="22"/>
        </w:rPr>
        <w:t>Custom Compiler</w:t>
      </w:r>
      <w:r>
        <w:rPr>
          <w:rFonts w:ascii="Times New Roman" w:hAnsi="Times New Roman" w:cs="Times New Roman"/>
          <w:b w:val="0"/>
          <w:i w:val="0"/>
          <w:sz w:val="22"/>
        </w:rPr>
        <w:t xml:space="preserve"> is the schematic-driven analog/mixed-signal design environment; </w:t>
      </w:r>
      <w:r>
        <w:rPr>
          <w:rFonts w:ascii="Times New Roman" w:hAnsi="Times New Roman" w:cs="Times New Roman"/>
          <w:b/>
          <w:i w:val="0"/>
          <w:sz w:val="22"/>
        </w:rPr>
        <w:t>PrimeSim</w:t>
      </w:r>
      <w:r>
        <w:rPr>
          <w:rFonts w:ascii="Times New Roman" w:hAnsi="Times New Roman" w:cs="Times New Roman"/>
          <w:b w:val="0"/>
          <w:i w:val="0"/>
          <w:sz w:val="22"/>
        </w:rPr>
        <w:t xml:space="preserve"> (consolidating the legacy HSPICE, FineSim, and CustomSim brands) provides SPICE-class circuit simulation. *Competitive advantage: partial.* Synopsys is strong but Cadence Virtuoso has historically dominated custom IC design layout, particularly outside hyperscaler digital workflows; Synopsys has been gaining share at advanced nodes but Virtuoso remains the default for analog-heavy customers. *Closest competitor:* Cadence Virtuoso (ahead in pure-play analog/custom layout).</w:t>
      </w:r>
    </w:p>
    <w:p>
      <w:pPr>
        <w:spacing w:after="120" w:lineRule="auto" w:line="276"/>
      </w:pPr>
      <w:r>
        <w:rPr>
          <w:rFonts w:ascii="Times New Roman" w:hAnsi="Times New Roman" w:cs="Times New Roman"/>
          <w:b/>
          <w:i w:val="0"/>
          <w:sz w:val="22"/>
        </w:rPr>
        <w:t>Verification (VCS, Verdi, ZeBu).</w:t>
      </w:r>
      <w:r>
        <w:rPr>
          <w:rFonts w:ascii="Times New Roman" w:hAnsi="Times New Roman" w:cs="Times New Roman"/>
          <w:b w:val="0"/>
          <w:i w:val="0"/>
          <w:sz w:val="22"/>
        </w:rPr>
        <w:t xml:space="preserve"> </w:t>
      </w:r>
      <w:r>
        <w:rPr>
          <w:rFonts w:ascii="Times New Roman" w:hAnsi="Times New Roman" w:cs="Times New Roman"/>
          <w:b/>
          <w:i w:val="0"/>
          <w:sz w:val="22"/>
        </w:rPr>
        <w:t>VCS</w:t>
      </w:r>
      <w:r>
        <w:rPr>
          <w:rFonts w:ascii="Times New Roman" w:hAnsi="Times New Roman" w:cs="Times New Roman"/>
          <w:b w:val="0"/>
          <w:i w:val="0"/>
          <w:sz w:val="22"/>
        </w:rPr>
        <w:t xml:space="preserve"> is the industry-leading logic simulator for RTL functional verification; </w:t>
      </w:r>
      <w:r>
        <w:rPr>
          <w:rFonts w:ascii="Times New Roman" w:hAnsi="Times New Roman" w:cs="Times New Roman"/>
          <w:b/>
          <w:i w:val="0"/>
          <w:sz w:val="22"/>
        </w:rPr>
        <w:t>Verdi</w:t>
      </w:r>
      <w:r>
        <w:rPr>
          <w:rFonts w:ascii="Times New Roman" w:hAnsi="Times New Roman" w:cs="Times New Roman"/>
          <w:b w:val="0"/>
          <w:i w:val="0"/>
          <w:sz w:val="22"/>
        </w:rPr>
        <w:t xml:space="preserve"> is the dominant debug environment; </w:t>
      </w:r>
      <w:r>
        <w:rPr>
          <w:rFonts w:ascii="Times New Roman" w:hAnsi="Times New Roman" w:cs="Times New Roman"/>
          <w:b/>
          <w:i w:val="0"/>
          <w:sz w:val="22"/>
        </w:rPr>
        <w:t>ZeBu</w:t>
      </w:r>
      <w:r>
        <w:rPr>
          <w:rFonts w:ascii="Times New Roman" w:hAnsi="Times New Roman" w:cs="Times New Roman"/>
          <w:b w:val="0"/>
          <w:i w:val="0"/>
          <w:sz w:val="22"/>
        </w:rPr>
        <w:t xml:space="preserve"> is hardware emulation hardware that runs at billions of cycles per day, used by every major hyperscaler / chip vendor for pre-silicon validation of AI accelerators and CPUs; </w:t>
      </w:r>
      <w:r>
        <w:rPr>
          <w:rFonts w:ascii="Times New Roman" w:hAnsi="Times New Roman" w:cs="Times New Roman"/>
          <w:b/>
          <w:i w:val="0"/>
          <w:sz w:val="22"/>
        </w:rPr>
        <w:t>HAPS</w:t>
      </w:r>
      <w:r>
        <w:rPr>
          <w:rFonts w:ascii="Times New Roman" w:hAnsi="Times New Roman" w:cs="Times New Roman"/>
          <w:b w:val="0"/>
          <w:i w:val="0"/>
          <w:sz w:val="22"/>
        </w:rPr>
        <w:t xml:space="preserve"> provides FPGA-based prototyping (Synopsys EDA verification family). *Competitive advantage: yes (technology and scale).* Verification — particularly emulation hardware — is a duopoly between Synopsys ZeBu and Cadence Palladium; the two players essentially divide the market roughly evenly with installed bases at every Tier-1 customer. Synopsys VCS retains the largest simulator share. *Closest competitor:* Cadence Xcelium (simulation), Palladium Z3 (emulation) — at parity to slightly ahead on raw emulation capacity per dollar in current generation.</w:t>
      </w:r>
    </w:p>
    <w:p>
      <w:pPr>
        <w:spacing w:after="120" w:lineRule="auto" w:line="276"/>
      </w:pPr>
      <w:r>
        <w:rPr>
          <w:rFonts w:ascii="Times New Roman" w:hAnsi="Times New Roman" w:cs="Times New Roman"/>
          <w:b/>
          <w:i w:val="0"/>
          <w:sz w:val="22"/>
        </w:rPr>
        <w:t>Manufacturing &amp; Test (Proteus, IC Validator, TestMAX).</w:t>
      </w:r>
      <w:r>
        <w:rPr>
          <w:rFonts w:ascii="Times New Roman" w:hAnsi="Times New Roman" w:cs="Times New Roman"/>
          <w:b w:val="0"/>
          <w:i w:val="0"/>
          <w:sz w:val="22"/>
        </w:rPr>
        <w:t xml:space="preserve"> Synopsys provides mask-data-prep / OPC software (</w:t>
      </w:r>
      <w:r>
        <w:rPr>
          <w:rFonts w:ascii="Times New Roman" w:hAnsi="Times New Roman" w:cs="Times New Roman"/>
          <w:b/>
          <w:i w:val="0"/>
          <w:sz w:val="22"/>
        </w:rPr>
        <w:t>Proteus</w:t>
      </w:r>
      <w:r>
        <w:rPr>
          <w:rFonts w:ascii="Times New Roman" w:hAnsi="Times New Roman" w:cs="Times New Roman"/>
          <w:b w:val="0"/>
          <w:i w:val="0"/>
          <w:sz w:val="22"/>
        </w:rPr>
        <w:t xml:space="preserve">, </w:t>
      </w:r>
      <w:r>
        <w:rPr>
          <w:rFonts w:ascii="Times New Roman" w:hAnsi="Times New Roman" w:cs="Times New Roman"/>
          <w:b/>
          <w:i w:val="0"/>
          <w:sz w:val="22"/>
        </w:rPr>
        <w:t>S-Litho</w:t>
      </w:r>
      <w:r>
        <w:rPr>
          <w:rFonts w:ascii="Times New Roman" w:hAnsi="Times New Roman" w:cs="Times New Roman"/>
          <w:b w:val="0"/>
          <w:i w:val="0"/>
          <w:sz w:val="22"/>
        </w:rPr>
        <w:t>), physical verification (</w:t>
      </w:r>
      <w:r>
        <w:rPr>
          <w:rFonts w:ascii="Times New Roman" w:hAnsi="Times New Roman" w:cs="Times New Roman"/>
          <w:b/>
          <w:i w:val="0"/>
          <w:sz w:val="22"/>
        </w:rPr>
        <w:t>IC Validator</w:t>
      </w:r>
      <w:r>
        <w:rPr>
          <w:rFonts w:ascii="Times New Roman" w:hAnsi="Times New Roman" w:cs="Times New Roman"/>
          <w:b w:val="0"/>
          <w:i w:val="0"/>
          <w:sz w:val="22"/>
        </w:rPr>
        <w:t>), and DFT/ATPG test (</w:t>
      </w:r>
      <w:r>
        <w:rPr>
          <w:rFonts w:ascii="Times New Roman" w:hAnsi="Times New Roman" w:cs="Times New Roman"/>
          <w:b/>
          <w:i w:val="0"/>
          <w:sz w:val="22"/>
        </w:rPr>
        <w:t>TestMAX</w:t>
      </w:r>
      <w:r>
        <w:rPr>
          <w:rFonts w:ascii="Times New Roman" w:hAnsi="Times New Roman" w:cs="Times New Roman"/>
          <w:b w:val="0"/>
          <w:i w:val="0"/>
          <w:sz w:val="22"/>
        </w:rPr>
        <w:t>). *Competitive advantage: partial.* Strong but not uncontested: Siemens EDA's Calibre is the dominant physical verification / DRC tool industry-wide — a Synopsys gap. *Closest competitor:* Siemens Calibre (ahead in PV/DRC).</w:t>
      </w:r>
    </w:p>
    <w:p>
      <w:pPr>
        <w:spacing w:after="120" w:lineRule="auto" w:line="276"/>
      </w:pPr>
      <w:r>
        <w:rPr>
          <w:rFonts w:ascii="Times New Roman" w:hAnsi="Times New Roman" w:cs="Times New Roman"/>
          <w:b/>
          <w:i w:val="0"/>
          <w:sz w:val="22"/>
        </w:rPr>
        <w:t>System Design / FPGA (Synplify, Platform Architect).</w:t>
      </w:r>
      <w:r>
        <w:rPr>
          <w:rFonts w:ascii="Times New Roman" w:hAnsi="Times New Roman" w:cs="Times New Roman"/>
          <w:b w:val="0"/>
          <w:i w:val="0"/>
          <w:sz w:val="22"/>
        </w:rPr>
        <w:t xml:space="preserve"> </w:t>
      </w:r>
      <w:r>
        <w:rPr>
          <w:rFonts w:ascii="Times New Roman" w:hAnsi="Times New Roman" w:cs="Times New Roman"/>
          <w:b/>
          <w:i w:val="0"/>
          <w:sz w:val="22"/>
        </w:rPr>
        <w:t>Synplify Pro / Premier</w:t>
      </w:r>
      <w:r>
        <w:rPr>
          <w:rFonts w:ascii="Times New Roman" w:hAnsi="Times New Roman" w:cs="Times New Roman"/>
          <w:b w:val="0"/>
          <w:i w:val="0"/>
          <w:sz w:val="22"/>
        </w:rPr>
        <w:t xml:space="preserve"> dominates FPGA synthesis; </w:t>
      </w:r>
      <w:r>
        <w:rPr>
          <w:rFonts w:ascii="Times New Roman" w:hAnsi="Times New Roman" w:cs="Times New Roman"/>
          <w:b/>
          <w:i w:val="0"/>
          <w:sz w:val="22"/>
        </w:rPr>
        <w:t>Platform Architect</w:t>
      </w:r>
      <w:r>
        <w:rPr>
          <w:rFonts w:ascii="Times New Roman" w:hAnsi="Times New Roman" w:cs="Times New Roman"/>
          <w:b w:val="0"/>
          <w:i w:val="0"/>
          <w:sz w:val="22"/>
        </w:rPr>
        <w:t xml:space="preserve"> addresses early-architecture SoC modeling. Niche by revenue but high-margin.</w:t>
      </w:r>
    </w:p>
    <w:p>
      <w:pPr>
        <w:spacing w:before="160" w:after="60"/>
      </w:pPr>
      <w:r>
        <w:rPr>
          <w:rFonts w:ascii="Times New Roman" w:hAnsi="Times New Roman" w:cs="Times New Roman"/>
          <w:b/>
          <w:i w:val="0"/>
          <w:color w:val="C00000"/>
          <w:sz w:val="22"/>
        </w:rPr>
        <w:t>Design IP — DesignWare</w:t>
      </w:r>
    </w:p>
    <w:p>
      <w:pPr>
        <w:spacing w:after="120" w:lineRule="auto" w:line="276"/>
      </w:pPr>
      <w:r>
        <w:rPr>
          <w:rFonts w:ascii="Times New Roman" w:hAnsi="Times New Roman" w:cs="Times New Roman"/>
          <w:b w:val="0"/>
          <w:i w:val="0"/>
          <w:sz w:val="22"/>
        </w:rPr>
        <w:t xml:space="preserve">Synopsys' Design IP segment (FY2025 revenue: $1.752B, 24.8% of total) sells pre-validated, foundry-characterized circuit blocks that customers integrate into their own chip designs. The portfolio spans </w:t>
      </w:r>
      <w:r>
        <w:rPr>
          <w:rFonts w:ascii="Times New Roman" w:hAnsi="Times New Roman" w:cs="Times New Roman"/>
          <w:b/>
          <w:i w:val="0"/>
          <w:sz w:val="22"/>
        </w:rPr>
        <w:t>Interface IP</w:t>
      </w:r>
      <w:r>
        <w:rPr>
          <w:rFonts w:ascii="Times New Roman" w:hAnsi="Times New Roman" w:cs="Times New Roman"/>
          <w:b w:val="0"/>
          <w:i w:val="0"/>
          <w:sz w:val="22"/>
        </w:rPr>
        <w:t xml:space="preserve"> (PCIe Gen6/7, DDR5/LPDDR5X, MIPI, USB, HDMI, Ethernet 800G/1.6T), </w:t>
      </w:r>
      <w:r>
        <w:rPr>
          <w:rFonts w:ascii="Times New Roman" w:hAnsi="Times New Roman" w:cs="Times New Roman"/>
          <w:b/>
          <w:i w:val="0"/>
          <w:sz w:val="22"/>
        </w:rPr>
        <w:t>Foundation IP</w:t>
      </w:r>
      <w:r>
        <w:rPr>
          <w:rFonts w:ascii="Times New Roman" w:hAnsi="Times New Roman" w:cs="Times New Roman"/>
          <w:b w:val="0"/>
          <w:i w:val="0"/>
          <w:sz w:val="22"/>
        </w:rPr>
        <w:t xml:space="preserve"> (standard-cell logic libraries, memory compilers including SRAM, register files, ROM, OTP, NVM), </w:t>
      </w:r>
      <w:r>
        <w:rPr>
          <w:rFonts w:ascii="Times New Roman" w:hAnsi="Times New Roman" w:cs="Times New Roman"/>
          <w:b/>
          <w:i w:val="0"/>
          <w:sz w:val="22"/>
        </w:rPr>
        <w:t>Security IP</w:t>
      </w:r>
      <w:r>
        <w:rPr>
          <w:rFonts w:ascii="Times New Roman" w:hAnsi="Times New Roman" w:cs="Times New Roman"/>
          <w:b w:val="0"/>
          <w:i w:val="0"/>
          <w:sz w:val="22"/>
        </w:rPr>
        <w:t xml:space="preserve"> (Root of Trust, post-quantum cryptographic accelerators, embedded SIM), </w:t>
      </w:r>
      <w:r>
        <w:rPr>
          <w:rFonts w:ascii="Times New Roman" w:hAnsi="Times New Roman" w:cs="Times New Roman"/>
          <w:b/>
          <w:i w:val="0"/>
          <w:sz w:val="22"/>
        </w:rPr>
        <w:t>Processor IP</w:t>
      </w:r>
      <w:r>
        <w:rPr>
          <w:rFonts w:ascii="Times New Roman" w:hAnsi="Times New Roman" w:cs="Times New Roman"/>
          <w:b w:val="0"/>
          <w:i w:val="0"/>
          <w:sz w:val="22"/>
        </w:rPr>
        <w:t xml:space="preserve"> (the ARC family of CPUs, DSPs, and NPU cores acquired from ARC International in 2010), and </w:t>
      </w:r>
      <w:r>
        <w:rPr>
          <w:rFonts w:ascii="Times New Roman" w:hAnsi="Times New Roman" w:cs="Times New Roman"/>
          <w:b/>
          <w:i w:val="0"/>
          <w:sz w:val="22"/>
        </w:rPr>
        <w:t>IP Subsystems</w:t>
      </w:r>
      <w:r>
        <w:rPr>
          <w:rFonts w:ascii="Times New Roman" w:hAnsi="Times New Roman" w:cs="Times New Roman"/>
          <w:b w:val="0"/>
          <w:i w:val="0"/>
          <w:sz w:val="22"/>
        </w:rPr>
        <w:t xml:space="preserve"> including the ARC Data Fusion IP Subsystem for sensor processing (DesignWare IP overview). *Competitive advantage:* mixed across the portfolio. Interface IP is genuinely best-in-class — Synopsys has the largest catalog of foundry-validated PCIe / DDR / USB IP at advanced nodes, and these are the building blocks every hyperscaler chip requires. Foundation IP and memory compilers are at parity with Cadence and the foundry-internal libraries. Processor IP (ARC) is materially behind Arm in CPU and behind Cadence Tensilica in DSP. *Closest competitor:* Cadence IP (Tensilica + Denali + acquired blocks) overall; Arm Holdings for processor IP.</w:t>
      </w:r>
    </w:p>
    <w:p>
      <w:pPr>
        <w:spacing w:after="120" w:lineRule="auto" w:line="276"/>
      </w:pPr>
      <w:r>
        <w:rPr>
          <w:rFonts w:ascii="Times New Roman" w:hAnsi="Times New Roman" w:cs="Times New Roman"/>
          <w:b w:val="0"/>
          <w:i w:val="0"/>
          <w:sz w:val="22"/>
        </w:rPr>
        <w:t>The Design IP segment had a difficult FY2025 — revenue declined 8% to $1,752M from $1,906M and adjusted operating margin compressed from 38% to 24%. Management attributed the decline to "China export control restrictions, such as the Q3 2025 BIS Restrictions, weaker than expected demand from a major foundry customer, and certain roadmap and resource decisions that did not yield their intended results" (Synopsys FY2025 10-K, Segment Results). The combination of (i) a single-customer demand reset, (ii) export restrictions on a meaningful subset of customers, and (iii) self-admitted roadmap errors makes this segment the single most visible execution risk in the FY2026 thesis.</w:t>
      </w:r>
    </w:p>
    <w:p>
      <w:pPr>
        <w:spacing w:before="160" w:after="60"/>
      </w:pPr>
      <w:r>
        <w:rPr>
          <w:rFonts w:ascii="Times New Roman" w:hAnsi="Times New Roman" w:cs="Times New Roman"/>
          <w:b/>
          <w:i w:val="0"/>
          <w:color w:val="C00000"/>
          <w:sz w:val="22"/>
        </w:rPr>
        <w:t>Ansys (consolidated into Design Automation post-July 17, 2025)</w:t>
      </w:r>
    </w:p>
    <w:p>
      <w:pPr>
        <w:spacing w:after="120" w:lineRule="auto" w:line="276"/>
      </w:pPr>
      <w:r>
        <w:rPr>
          <w:rFonts w:ascii="Times New Roman" w:hAnsi="Times New Roman" w:cs="Times New Roman"/>
          <w:b w:val="0"/>
          <w:i w:val="0"/>
          <w:sz w:val="22"/>
        </w:rPr>
        <w:t>The Ansys portfolio adds physics-based simulation across mechanical/structural FEA (Ansys Mechanical), CFD (Fluent, CFX), electromagnetic (HFSS, Maxwell, Q3D), semiconductor power/EM integrity (RedHawk-SC, Totem — these overlap with Synopsys' own RedHawk product line acquired via Ansys), optical (Speos, Zemax), embedded software (SCADE, medini), and systems-of-systems (Ansys Twin Builder). *Competitive advantage: yes (technology and scale).* Ansys is the dominant general-purpose physics simulation vendor; closest direct competitors are Siemens Simcenter (formerly CD-adapco/STAR-CCM+) in CFD, Dassault Systèmes' Simulia (Abaqus) in mechanical, and Altair HyperWorks across multiple physics. Synopsys recognized $756.6M of Ansys revenue in partial-year FY2025 and guides $2.9B of Ansys revenue in FY2026 ([Synopsys Q4 &amp; FY2025 earnings release, 2025-12-10](https://www.sec.gov/</w:t>
      </w:r>
    </w:p>
    <w:p>
      <w:pPr>
        <w:spacing w:before="120" w:after="40"/>
        <w:jc w:val="center"/>
      </w:pPr>
      <w:r>
        <w:drawing>
          <wp:inline xmlns:a="http://schemas.openxmlformats.org/drawingml/2006/main" xmlns:pic="http://schemas.openxmlformats.org/drawingml/2006/picture">
            <wp:extent cx="5943600" cy="3052567"/>
            <wp:docPr id="7" name="Picture 7"/>
            <wp:cNvGraphicFramePr>
              <a:graphicFrameLocks noChangeAspect="1"/>
            </wp:cNvGraphicFramePr>
            <a:graphic>
              <a:graphicData uri="http://schemas.openxmlformats.org/drawingml/2006/picture">
                <pic:pic>
                  <pic:nvPicPr>
                    <pic:cNvPr id="0" name="chart_03_revenue_by_product.png"/>
                    <pic:cNvPicPr/>
                  </pic:nvPicPr>
                  <pic:blipFill>
                    <a:blip r:embed="rId15"/>
                    <a:stretch>
                      <a:fillRect/>
                    </a:stretch>
                  </pic:blipFill>
                  <pic:spPr>
                    <a:xfrm>
                      <a:off x="0" y="0"/>
                      <a:ext cx="5943600" cy="3052567"/>
                    </a:xfrm>
                    <a:prstGeom prst="rect"/>
                  </pic:spPr>
                </pic:pic>
              </a:graphicData>
            </a:graphic>
          </wp:inline>
        </w:drawing>
      </w:r>
    </w:p>
    <w:p>
      <w:pPr>
        <w:spacing w:after="160"/>
        <w:jc w:val="center"/>
      </w:pPr>
      <w:r>
        <w:rPr>
          <w:rFonts w:ascii="Times New Roman" w:hAnsi="Times New Roman" w:cs="Times New Roman"/>
          <w:b w:val="0"/>
          <w:i/>
          <w:color w:val="595959"/>
          <w:sz w:val="18"/>
        </w:rPr>
        <w:t>Revenue by product segment ($B)</w:t>
      </w:r>
    </w:p>
    <w:p>
      <w:pPr>
        <w:spacing w:before="120" w:after="40"/>
        <w:jc w:val="center"/>
      </w:pPr>
      <w:r>
        <w:drawing>
          <wp:inline xmlns:a="http://schemas.openxmlformats.org/drawingml/2006/main" xmlns:pic="http://schemas.openxmlformats.org/drawingml/2006/picture">
            <wp:extent cx="5943600" cy="2953083"/>
            <wp:docPr id="8" name="Picture 8"/>
            <wp:cNvGraphicFramePr>
              <a:graphicFrameLocks noChangeAspect="1"/>
            </wp:cNvGraphicFramePr>
            <a:graphic>
              <a:graphicData uri="http://schemas.openxmlformats.org/drawingml/2006/picture">
                <pic:pic>
                  <pic:nvPicPr>
                    <pic:cNvPr id="0" name="chart_08_product_portfolio.png"/>
                    <pic:cNvPicPr/>
                  </pic:nvPicPr>
                  <pic:blipFill>
                    <a:blip r:embed="rId16"/>
                    <a:stretch>
                      <a:fillRect/>
                    </a:stretch>
                  </pic:blipFill>
                  <pic:spPr>
                    <a:xfrm>
                      <a:off x="0" y="0"/>
                      <a:ext cx="5943600" cy="2953083"/>
                    </a:xfrm>
                    <a:prstGeom prst="rect"/>
                  </pic:spPr>
                </pic:pic>
              </a:graphicData>
            </a:graphic>
          </wp:inline>
        </w:drawing>
      </w:r>
    </w:p>
    <w:p>
      <w:pPr>
        <w:spacing w:after="160"/>
        <w:jc w:val="center"/>
      </w:pPr>
      <w:r>
        <w:rPr>
          <w:rFonts w:ascii="Times New Roman" w:hAnsi="Times New Roman" w:cs="Times New Roman"/>
          <w:b w:val="0"/>
          <w:i/>
          <w:color w:val="595959"/>
          <w:sz w:val="18"/>
        </w:rPr>
        <w:t>Product portfolio FY2025</w:t>
      </w:r>
    </w:p>
    <w:p>
      <w:pPr>
        <w:spacing w:before="120" w:after="40"/>
        <w:jc w:val="center"/>
      </w:pPr>
      <w:r>
        <w:drawing>
          <wp:inline xmlns:a="http://schemas.openxmlformats.org/drawingml/2006/main" xmlns:pic="http://schemas.openxmlformats.org/drawingml/2006/picture">
            <wp:extent cx="5943600" cy="3524183"/>
            <wp:docPr id="9" name="Picture 9"/>
            <wp:cNvGraphicFramePr>
              <a:graphicFrameLocks noChangeAspect="1"/>
            </wp:cNvGraphicFramePr>
            <a:graphic>
              <a:graphicData uri="http://schemas.openxmlformats.org/drawingml/2006/picture">
                <pic:pic>
                  <pic:nvPicPr>
                    <pic:cNvPr id="0" name="chart_26_revenue_mix_evolution.png"/>
                    <pic:cNvPicPr/>
                  </pic:nvPicPr>
                  <pic:blipFill>
                    <a:blip r:embed="rId17"/>
                    <a:stretch>
                      <a:fillRect/>
                    </a:stretch>
                  </pic:blipFill>
                  <pic:spPr>
                    <a:xfrm>
                      <a:off x="0" y="0"/>
                      <a:ext cx="5943600" cy="3524183"/>
                    </a:xfrm>
                    <a:prstGeom prst="rect"/>
                  </pic:spPr>
                </pic:pic>
              </a:graphicData>
            </a:graphic>
          </wp:inline>
        </w:drawing>
      </w:r>
    </w:p>
    <w:p>
      <w:pPr>
        <w:spacing w:after="160"/>
        <w:jc w:val="center"/>
      </w:pPr>
      <w:r>
        <w:rPr>
          <w:rFonts w:ascii="Times New Roman" w:hAnsi="Times New Roman" w:cs="Times New Roman"/>
          <w:b w:val="0"/>
          <w:i/>
          <w:color w:val="595959"/>
          <w:sz w:val="18"/>
        </w:rPr>
        <w:t>Revenue mix evolution FY25 vs FY30E</w:t>
      </w:r>
    </w:p>
    <w:p>
      <w:pPr>
        <w:spacing w:before="360" w:after="120"/>
        <w:pBdr>
          <w:bottom w:val="single" w:sz="8" w:space="1" w:color="1F4E78"/>
        </w:pBdr>
      </w:pPr>
      <w:r>
        <w:rPr>
          <w:rFonts w:ascii="Times New Roman" w:hAnsi="Times New Roman" w:cs="Times New Roman"/>
          <w:b/>
          <w:i w:val="0"/>
          <w:color w:val="1F4E78"/>
          <w:sz w:val="32"/>
        </w:rPr>
        <w:t>Customers &amp; Go-to-Market</w:t>
      </w:r>
    </w:p>
    <w:p>
      <w:pPr>
        <w:spacing w:after="120" w:lineRule="auto" w:line="276"/>
      </w:pPr>
      <w:r>
        <w:rPr>
          <w:rFonts w:ascii="Times New Roman" w:hAnsi="Times New Roman" w:cs="Times New Roman"/>
          <w:b w:val="0"/>
          <w:i w:val="0"/>
          <w:sz w:val="22"/>
        </w:rPr>
        <w:t>Synopsys serves essentially every semiconductor company of scale in the world plus a long tail of systems and aerospace/defense customers via the Ansys business. The 10-K describes the addressable customer base as ranging "from semiconductor and systems customers across a wide range of industries" — in practice, this means every hyperscaler with an internal silicon team (Alphabet, Amazon, Meta, Microsoft, Apple), every merchant semi (NVIDIA, AMD, Intel, Qualcomm, Broadcom, Marvell, MediaTek), every leading foundry (TSMC, Samsung Foundry, Intel Foundry, GlobalFoundries, UMC, SMIC where licensable), every advanced IDM (Samsung, SK hynix, Micron), and every major IP licensee.</w:t>
      </w:r>
    </w:p>
    <w:p>
      <w:pPr>
        <w:spacing w:after="120" w:lineRule="auto" w:line="276"/>
      </w:pPr>
      <w:r>
        <w:rPr>
          <w:rFonts w:ascii="Times New Roman" w:hAnsi="Times New Roman" w:cs="Times New Roman"/>
          <w:b/>
          <w:i w:val="0"/>
          <w:sz w:val="22"/>
        </w:rPr>
        <w:t>Customer concentration — quantified.</w:t>
      </w:r>
      <w:r>
        <w:rPr>
          <w:rFonts w:ascii="Times New Roman" w:hAnsi="Times New Roman" w:cs="Times New Roman"/>
          <w:b w:val="0"/>
          <w:i w:val="0"/>
          <w:sz w:val="22"/>
        </w:rPr>
        <w:t xml:space="preserve"> Per the FY2025 10-K (Note 19, Segment Disclosure), "One customer, including its subsidiaries, accounted for 12.6% and 13.5% of our consolidated revenue in fiscal 2024 and fiscal 2023, respectively. No customer accounted for over 10% of our accounts receivable as of October 31, 2025, and October 31, 2024" (Synopsys FY2025 10-K, Note 19 Segment Disclosure). Notably, the 10-K is silent on whether any customer exceeded 10% in FY2025 itself, implying that no customer crossed the 10% threshold in FY2025 — likely a function of (a) Ansys revenue being added to the consolidated denominator (~$757M of partial-year revenue), and (b) potential softness in the largest pre-existing customer's spend (Synopsys called out "weaker than expected demand from a major foundry customer" in the Design IP segment). Synopsys does not name the &gt;10% customer. Market consensus, based on triangulating Design IP customer disclosures, foundry partner lists, and industry coverage, is that the historical 10%+ customer is most likely TSMC, given Synopsys' deep IP-foundry alignment, though this is not company-confirmed.</w:t>
      </w:r>
    </w:p>
    <w:p>
      <w:pPr>
        <w:spacing w:after="120" w:lineRule="auto" w:line="276"/>
      </w:pPr>
      <w:r>
        <w:rPr>
          <w:rFonts w:ascii="Times New Roman" w:hAnsi="Times New Roman" w:cs="Times New Roman"/>
          <w:b w:val="0"/>
          <w:i w:val="0"/>
          <w:sz w:val="22"/>
        </w:rPr>
        <w:t>*Source: Synopsys FY2025 10-K, Note 19 Segment Disclosure. Synopsys does not disclose top-5 cumulative customer share; only customers &gt;10% are required to be disclosed under ASC 280-10-50-42.*</w:t>
      </w:r>
    </w:p>
    <w:p>
      <w:pPr>
        <w:spacing w:after="120" w:lineRule="auto" w:line="276"/>
      </w:pPr>
      <w:r>
        <w:rPr>
          <w:rFonts w:ascii="Times New Roman" w:hAnsi="Times New Roman" w:cs="Times New Roman"/>
          <w:b w:val="0"/>
          <w:i w:val="0"/>
          <w:sz w:val="22"/>
        </w:rPr>
        <w:t xml:space="preserve">The customer-concentration risk is </w:t>
      </w:r>
      <w:r>
        <w:rPr>
          <w:rFonts w:ascii="Times New Roman" w:hAnsi="Times New Roman" w:cs="Times New Roman"/>
          <w:b/>
          <w:i w:val="0"/>
          <w:sz w:val="22"/>
        </w:rPr>
        <w:t>moderate, not material</w:t>
      </w:r>
      <w:r>
        <w:rPr>
          <w:rFonts w:ascii="Times New Roman" w:hAnsi="Times New Roman" w:cs="Times New Roman"/>
          <w:b w:val="0"/>
          <w:i w:val="0"/>
          <w:sz w:val="22"/>
        </w:rPr>
        <w:t>: with top-1 below 15% and a documented two-year downtrend (13.5% → 12.6% → likely &lt;10%), Synopsys is not single-customer dependent. Contracts are structured as multi-year TSL master agreements with sub-orders, generally two to three years in duration with annual escalators and automatic renewal language — meaningfully higher visibility than PO-by-PO models. The most acute concentration risk is geographic (China) and segment-specific (Design IP foundry exposure), not single-customer.</w:t>
      </w:r>
    </w:p>
    <w:p>
      <w:pPr>
        <w:spacing w:after="120" w:lineRule="auto" w:line="276"/>
      </w:pPr>
      <w:r>
        <w:rPr>
          <w:rFonts w:ascii="Times New Roman" w:hAnsi="Times New Roman" w:cs="Times New Roman"/>
          <w:b/>
          <w:i w:val="0"/>
          <w:sz w:val="22"/>
        </w:rPr>
        <w:t>Distribution channels and sales motion.</w:t>
      </w:r>
      <w:r>
        <w:rPr>
          <w:rFonts w:ascii="Times New Roman" w:hAnsi="Times New Roman" w:cs="Times New Roman"/>
          <w:b w:val="0"/>
          <w:i w:val="0"/>
          <w:sz w:val="22"/>
        </w:rPr>
        <w:t xml:space="preserve"> Synopsys sells direct to end customers globally through a regional sales force; there is effectively no channel / reseller layer for primary EDA software because deals are large ($1M–$100M+ TSL contracts negotiated bilaterally with customer procurement and CTO/CDO offices). Sales cycle for greenfield customers is typically 6–18 months; renewals are negotiated 6–9 months ahead of contract end. The deal architecture commonly bundles EDA software, IP licenses, and emulation hardware into Flexible Spending Account ("FSA") arrangements where the customer commits a total dollar value and pulls down specific product mix during the term — a structure that helps Synopsys lock in multi-year spend while giving customers flexibility on tool mix. Backlog of $11.3B at January 31, 2026 includes $1.9B of non-cancellable FSA commitments (Synopsys Q1-FY2026 10-Q).</w:t>
      </w:r>
    </w:p>
    <w:p>
      <w:pPr>
        <w:spacing w:after="120" w:lineRule="auto" w:line="276"/>
      </w:pPr>
      <w:r>
        <w:rPr>
          <w:rFonts w:ascii="Times New Roman" w:hAnsi="Times New Roman" w:cs="Times New Roman"/>
          <w:b/>
          <w:i w:val="0"/>
          <w:sz w:val="22"/>
        </w:rPr>
        <w:t>Key partnerships.</w:t>
      </w:r>
      <w:r>
        <w:rPr>
          <w:rFonts w:ascii="Times New Roman" w:hAnsi="Times New Roman" w:cs="Times New Roman"/>
          <w:b w:val="0"/>
          <w:i w:val="0"/>
          <w:sz w:val="22"/>
        </w:rPr>
        <w:t xml:space="preserve"> The NVIDIA strategic partnership and $2.0B equity investment announced December 1, 2025 is the single most consequential go-to-market move in Synopsys' modern history — it ties Synopsys' compute-intensive workflows directly to NVIDIA CUDA, positions Synopsys as the default EDA partner on accelerated computing infrastructure, and creates a natural cross-sell motion as NVIDIA-built reference systems propagate through hyperscaler chip teams (NVIDIA and Synopsys Announce Strategic Partnership, 2025-12-01). Beyond NVIDIA, Synopsys maintains deep foundry partnerships — formal "Reference Flows" and PDK certification programs with TSMC, Samsung Foundry, Intel Foundry, GlobalFoundries, UMC, and others — that are critical for ensuring Synopsys tools are pre-validated for new process nodes on day one. Cloud partnerships include the EDA SaaS offering with Microsoft Azure (the industry's first), plus availability of EDA workloads on AWS and Google Cloud.</w:t>
      </w:r>
    </w:p>
    <w:p>
      <w:pPr>
        <w:spacing w:after="120" w:lineRule="auto" w:line="276"/>
      </w:pPr>
      <w:r>
        <w:rPr>
          <w:rFonts w:ascii="Times New Roman" w:hAnsi="Times New Roman" w:cs="Times New Roman"/>
          <w:b/>
          <w:i w:val="0"/>
          <w:sz w:val="22"/>
        </w:rPr>
        <w:t>Customer case studies (named wins).</w:t>
      </w:r>
      <w:r>
        <w:rPr>
          <w:rFonts w:ascii="Times New Roman" w:hAnsi="Times New Roman" w:cs="Times New Roman"/>
          <w:b w:val="0"/>
          <w:i w:val="0"/>
          <w:sz w:val="22"/>
        </w:rPr>
        <w:t xml:space="preserve"> Synopsys does not regularly disclose named customer wins in filings, but recent partnership press releases name Intel (process-node co-development), Samsung Foundry (3DIC and SF2 reference flows), Arm (joint IP/EDA optimization), NVIDIA (Blackwell-era and beyond), and Microsoft (Azure cloud EDA SaaS). For Ansys, named customers historically include Boeing, GM, Ford, GE, every major aerospace and defense prime, and every Tier-1 automotive OEM.</w:t>
      </w:r>
    </w:p>
    <w:p>
      <w:pPr>
        <w:spacing w:after="120" w:lineRule="auto" w:line="276"/>
      </w:pPr>
      <w:r>
        <w:rPr>
          <w:rFonts w:ascii="Times New Roman" w:hAnsi="Times New Roman" w:cs="Times New Roman"/>
          <w:b w:val="0"/>
          <w:i w:val="0"/>
          <w:sz w:val="22"/>
        </w:rPr>
        <w:t>---</w:t>
      </w:r>
    </w:p>
    <w:p>
      <w:pPr>
        <w:spacing w:before="120" w:after="40"/>
        <w:jc w:val="center"/>
      </w:pPr>
      <w:r>
        <w:drawing>
          <wp:inline xmlns:a="http://schemas.openxmlformats.org/drawingml/2006/main" xmlns:pic="http://schemas.openxmlformats.org/drawingml/2006/picture">
            <wp:extent cx="5943600" cy="4559968"/>
            <wp:docPr id="10" name="Picture 10"/>
            <wp:cNvGraphicFramePr>
              <a:graphicFrameLocks noChangeAspect="1"/>
            </wp:cNvGraphicFramePr>
            <a:graphic>
              <a:graphicData uri="http://schemas.openxmlformats.org/drawingml/2006/picture">
                <pic:pic>
                  <pic:nvPicPr>
                    <pic:cNvPr id="0" name="chart_09_customer_segments.png"/>
                    <pic:cNvPicPr/>
                  </pic:nvPicPr>
                  <pic:blipFill>
                    <a:blip r:embed="rId18"/>
                    <a:stretch>
                      <a:fillRect/>
                    </a:stretch>
                  </pic:blipFill>
                  <pic:spPr>
                    <a:xfrm>
                      <a:off x="0" y="0"/>
                      <a:ext cx="5943600" cy="4559968"/>
                    </a:xfrm>
                    <a:prstGeom prst="rect"/>
                  </pic:spPr>
                </pic:pic>
              </a:graphicData>
            </a:graphic>
          </wp:inline>
        </w:drawing>
      </w:r>
    </w:p>
    <w:p>
      <w:pPr>
        <w:spacing w:after="160"/>
        <w:jc w:val="center"/>
      </w:pPr>
      <w:r>
        <w:rPr>
          <w:rFonts w:ascii="Times New Roman" w:hAnsi="Times New Roman" w:cs="Times New Roman"/>
          <w:b w:val="0"/>
          <w:i/>
          <w:color w:val="595959"/>
          <w:sz w:val="18"/>
        </w:rPr>
        <w:t>Customer concentration FY2025E</w:t>
      </w:r>
    </w:p>
    <w:p>
      <w:pPr>
        <w:spacing w:before="120" w:after="40"/>
        <w:jc w:val="center"/>
      </w:pPr>
      <w:r>
        <w:drawing>
          <wp:inline xmlns:a="http://schemas.openxmlformats.org/drawingml/2006/main" xmlns:pic="http://schemas.openxmlformats.org/drawingml/2006/picture">
            <wp:extent cx="5943600" cy="3083726"/>
            <wp:docPr id="11" name="Picture 11"/>
            <wp:cNvGraphicFramePr>
              <a:graphicFrameLocks noChangeAspect="1"/>
            </wp:cNvGraphicFramePr>
            <a:graphic>
              <a:graphicData uri="http://schemas.openxmlformats.org/drawingml/2006/picture">
                <pic:pic>
                  <pic:nvPicPr>
                    <pic:cNvPr id="0" name="chart_04_revenue_by_geography.png"/>
                    <pic:cNvPicPr/>
                  </pic:nvPicPr>
                  <pic:blipFill>
                    <a:blip r:embed="rId19"/>
                    <a:stretch>
                      <a:fillRect/>
                    </a:stretch>
                  </pic:blipFill>
                  <pic:spPr>
                    <a:xfrm>
                      <a:off x="0" y="0"/>
                      <a:ext cx="5943600" cy="3083726"/>
                    </a:xfrm>
                    <a:prstGeom prst="rect"/>
                  </pic:spPr>
                </pic:pic>
              </a:graphicData>
            </a:graphic>
          </wp:inline>
        </w:drawing>
      </w:r>
    </w:p>
    <w:p>
      <w:pPr>
        <w:spacing w:after="160"/>
        <w:jc w:val="center"/>
      </w:pPr>
      <w:r>
        <w:rPr>
          <w:rFonts w:ascii="Times New Roman" w:hAnsi="Times New Roman" w:cs="Times New Roman"/>
          <w:b w:val="0"/>
          <w:i/>
          <w:color w:val="595959"/>
          <w:sz w:val="18"/>
        </w:rPr>
        <w:t>Revenue by geography FY2021–FY2025</w:t>
      </w:r>
    </w:p>
    <w:p>
      <w:pPr>
        <w:spacing w:before="120" w:after="40"/>
        <w:jc w:val="center"/>
      </w:pPr>
      <w:r>
        <w:drawing>
          <wp:inline xmlns:a="http://schemas.openxmlformats.org/drawingml/2006/main" xmlns:pic="http://schemas.openxmlformats.org/drawingml/2006/picture">
            <wp:extent cx="5943600" cy="3190108"/>
            <wp:docPr id="12" name="Picture 12"/>
            <wp:cNvGraphicFramePr>
              <a:graphicFrameLocks noChangeAspect="1"/>
            </wp:cNvGraphicFramePr>
            <a:graphic>
              <a:graphicData uri="http://schemas.openxmlformats.org/drawingml/2006/picture">
                <pic:pic>
                  <pic:nvPicPr>
                    <pic:cNvPr id="0" name="chart_21_backlog.png"/>
                    <pic:cNvPicPr/>
                  </pic:nvPicPr>
                  <pic:blipFill>
                    <a:blip r:embed="rId20"/>
                    <a:stretch>
                      <a:fillRect/>
                    </a:stretch>
                  </pic:blipFill>
                  <pic:spPr>
                    <a:xfrm>
                      <a:off x="0" y="0"/>
                      <a:ext cx="5943600" cy="3190108"/>
                    </a:xfrm>
                    <a:prstGeom prst="rect"/>
                  </pic:spPr>
                </pic:pic>
              </a:graphicData>
            </a:graphic>
          </wp:inline>
        </w:drawing>
      </w:r>
    </w:p>
    <w:p>
      <w:pPr>
        <w:spacing w:after="160"/>
        <w:jc w:val="center"/>
      </w:pPr>
      <w:r>
        <w:rPr>
          <w:rFonts w:ascii="Times New Roman" w:hAnsi="Times New Roman" w:cs="Times New Roman"/>
          <w:b w:val="0"/>
          <w:i/>
          <w:color w:val="595959"/>
          <w:sz w:val="18"/>
        </w:rPr>
        <w:t>Year-end backlog (RPO)</w:t>
      </w:r>
    </w:p>
    <w:p>
      <w:r>
        <w:br w:type="page"/>
      </w:r>
    </w:p>
    <w:p>
      <w:pPr>
        <w:spacing w:before="360" w:after="120"/>
        <w:pBdr>
          <w:bottom w:val="single" w:sz="8" w:space="1" w:color="1F4E78"/>
        </w:pBdr>
      </w:pPr>
      <w:r>
        <w:rPr>
          <w:rFonts w:ascii="Times New Roman" w:hAnsi="Times New Roman" w:cs="Times New Roman"/>
          <w:b/>
          <w:i w:val="0"/>
          <w:color w:val="1F4E78"/>
          <w:sz w:val="32"/>
        </w:rPr>
        <w:t>Industry Overview</w:t>
      </w:r>
    </w:p>
    <w:p>
      <w:pPr>
        <w:spacing w:after="120" w:lineRule="auto" w:line="276"/>
      </w:pPr>
      <w:r>
        <w:rPr>
          <w:rFonts w:ascii="Times New Roman" w:hAnsi="Times New Roman" w:cs="Times New Roman"/>
          <w:b/>
          <w:i w:val="0"/>
          <w:sz w:val="22"/>
        </w:rPr>
        <w:t>Industry definition.</w:t>
      </w:r>
      <w:r>
        <w:rPr>
          <w:rFonts w:ascii="Times New Roman" w:hAnsi="Times New Roman" w:cs="Times New Roman"/>
          <w:b w:val="0"/>
          <w:i w:val="0"/>
          <w:sz w:val="22"/>
        </w:rPr>
        <w:t xml:space="preserve"> Electronic Design Automation (EDA) is the software, hardware, and services used to design, verify, manufacture, and validate integrated circuits and the electronic systems that incorporate them. The broader "engineering simulation" industry — which Synopsys-with-Ansys now spans — adds physics-based simulation across mechanical, electromagnetic, fluid, thermal, optical, and embedded-software domains. NAICS classifications include 511210 (Software Publishers) and 541512 (Computer Systems Design Services). The adjacent semiconductor IP industry (NAICS 511210 / 541512 partial) is increasingly viewed as part of the same value chain.</w:t>
      </w:r>
    </w:p>
    <w:p>
      <w:pPr>
        <w:spacing w:after="120" w:lineRule="auto" w:line="276"/>
      </w:pPr>
      <w:r>
        <w:rPr>
          <w:rFonts w:ascii="Times New Roman" w:hAnsi="Times New Roman" w:cs="Times New Roman"/>
          <w:b/>
          <w:i w:val="0"/>
          <w:sz w:val="22"/>
        </w:rPr>
        <w:t>Market size and structure.</w:t>
      </w:r>
      <w:r>
        <w:rPr>
          <w:rFonts w:ascii="Times New Roman" w:hAnsi="Times New Roman" w:cs="Times New Roman"/>
          <w:b w:val="0"/>
          <w:i w:val="0"/>
          <w:sz w:val="22"/>
        </w:rPr>
        <w:t xml:space="preserve"> Estimates for the 2024–2025 global EDA software market range from $14.5B to $19.2B depending on scope and methodology — variance is largely driven by whether the source includes semiconductor IP, professional services, and hardware (emulation) or only pure EDA software (Electronic Design Automation Software Market — Precedence Research, 2025; EDA Software Industry Analysis — IBISWorld, 2025). Combined with Ansys' ~$2.5B physics-simulation pre-deal revenue, the Synopsys-defined TAM is now ~$31 billion (Synopsys management estimate, 2023 vintage) — explicitly cited in the Ansys closing release (Synopsys Completes Acquisition of Ansys, 2025-07-17).</w:t>
      </w:r>
    </w:p>
    <w:p>
      <w:pPr>
        <w:spacing w:after="120" w:lineRule="auto" w:line="276"/>
      </w:pPr>
      <w:r>
        <w:rPr>
          <w:rFonts w:ascii="Times New Roman" w:hAnsi="Times New Roman" w:cs="Times New Roman"/>
          <w:b/>
          <w:i w:val="0"/>
          <w:sz w:val="22"/>
        </w:rPr>
        <w:t>Growth rates.</w:t>
      </w:r>
      <w:r>
        <w:rPr>
          <w:rFonts w:ascii="Times New Roman" w:hAnsi="Times New Roman" w:cs="Times New Roman"/>
          <w:b w:val="0"/>
          <w:i w:val="0"/>
          <w:sz w:val="22"/>
        </w:rPr>
        <w:t xml:space="preserve"> Historical EDA growth has been mid-to-high single digits over 2015–2022 with acceleration to low double digits 2022–2025 as the AI infrastructure buildout pulled forward chip design starts. Forecasted CAGR through 2030–2032 sits in the 10–12% range across multiple third-party forecasts (Electronic Design Automation Market Size &amp; Forecast to 2032 — Persistence Market Research). The AI-physics-simulation tailwind suggests upside vs. these baselines — Ansys' segment growth in particular has reaccelerated as digital-twin demand from automotive, aerospace, and high-tech sectors compounds.</w:t>
      </w:r>
    </w:p>
    <w:p>
      <w:pPr>
        <w:spacing w:after="120" w:lineRule="auto" w:line="276"/>
      </w:pPr>
      <w:r>
        <w:rPr>
          <w:rFonts w:ascii="Times New Roman" w:hAnsi="Times New Roman" w:cs="Times New Roman"/>
          <w:b/>
          <w:i w:val="0"/>
          <w:sz w:val="22"/>
        </w:rPr>
        <w:t>Key trends and drivers.</w:t>
      </w:r>
    </w:p>
    <w:p>
      <w:pPr>
        <w:pStyle w:val="ListNumber"/>
      </w:pPr>
      <w:r>
        <w:rPr>
          <w:rFonts w:ascii="Times New Roman" w:hAnsi="Times New Roman" w:cs="Times New Roman"/>
          <w:b w:val="0"/>
          <w:i w:val="0"/>
          <w:sz w:val="22"/>
        </w:rPr>
        <w:t>*AI-driven chip design.* Hyperscaler custom silicon (Google TPU, Amazon Trainium, Microsoft Cobalt, Meta MTIA), merchant AI (NVIDIA, AMD MI series), and a flood of AI-accelerator startups have materially expanded the number of chip designs in flight and the EDA dollar spend per design. Synopsys management has consistently called this the dominant tailwind in 2024–2025.</w:t>
      </w:r>
    </w:p>
    <w:p>
      <w:pPr>
        <w:pStyle w:val="ListNumber"/>
      </w:pPr>
      <w:r>
        <w:rPr>
          <w:rFonts w:ascii="Times New Roman" w:hAnsi="Times New Roman" w:cs="Times New Roman"/>
          <w:b w:val="0"/>
          <w:i w:val="0"/>
          <w:sz w:val="22"/>
        </w:rPr>
        <w:t>*AI as a tool inside EDA.* Synopsys.ai and Cadence's Cerebrus and JedAI have shifted EDA from rules-driven optimization to ML-driven design-space exploration, compressing turnaround time by 30–50% on representative blocks and supporting price-mix uplift as customers adopt premium AI-enabled tiers.</w:t>
      </w:r>
    </w:p>
    <w:p>
      <w:pPr>
        <w:pStyle w:val="ListNumber"/>
      </w:pPr>
      <w:r>
        <w:rPr>
          <w:rFonts w:ascii="Times New Roman" w:hAnsi="Times New Roman" w:cs="Times New Roman"/>
          <w:b w:val="0"/>
          <w:i w:val="0"/>
          <w:sz w:val="22"/>
        </w:rPr>
        <w:t>*Advanced-node and multi-die.* 3nm production ramped in 2024, 2nm samples in 2025–2026, and chiplet/2.5D/3D architectures (CoWoS at TSMC, I-Cube at Samsung) require entirely new toolchains for thermal, timing, signal-integrity, and mechanical co-design — playing directly into the Synopsys-Ansys "silicon to systems" thesis.</w:t>
      </w:r>
    </w:p>
    <w:p>
      <w:pPr>
        <w:pStyle w:val="ListNumber"/>
      </w:pPr>
      <w:r>
        <w:rPr>
          <w:rFonts w:ascii="Times New Roman" w:hAnsi="Times New Roman" w:cs="Times New Roman"/>
          <w:b w:val="0"/>
          <w:i w:val="0"/>
          <w:sz w:val="22"/>
        </w:rPr>
        <w:t>*Cloud and SaaS EDA.* Microsoft Azure–Synopsys partnership, AWS / Google Cloud EDA AMIs, and emerging burst-compute and ML-acceleration workloads on cloud GPUs are shifting customer infrastructure budgets toward consumption-based models, with EDA SaaS arrangements still &lt;10% of industry revenue but growing fastest.</w:t>
      </w:r>
    </w:p>
    <w:p>
      <w:pPr>
        <w:pStyle w:val="ListNumber"/>
      </w:pPr>
      <w:r>
        <w:rPr>
          <w:rFonts w:ascii="Times New Roman" w:hAnsi="Times New Roman" w:cs="Times New Roman"/>
          <w:b w:val="0"/>
          <w:i w:val="0"/>
          <w:sz w:val="22"/>
        </w:rPr>
        <w:t>*Geopolitical bifurcation.* The May 2025 BIS export-control letters and prior 2022/2023 EAR-Sec 744.17 restrictions have effectively partitioned the EDA market into a "US/allies" tier where Synopsys / Cadence / Siemens compete freely and a "China" tier where shipments are constrained — particularly to entity-listed customers (SMIC, YMTC, CXMT, Huawei HiSilicon and affiliates). Chinese domestic EDA (Empyrean, Primarius, Semitronix, X-Epic) is rapidly building scale but remains years behind on advanced nodes.</w:t>
      </w:r>
    </w:p>
    <w:p>
      <w:pPr>
        <w:spacing w:after="120" w:lineRule="auto" w:line="276"/>
      </w:pPr>
      <w:r>
        <w:rPr>
          <w:rFonts w:ascii="Times New Roman" w:hAnsi="Times New Roman" w:cs="Times New Roman"/>
          <w:b/>
          <w:i w:val="0"/>
          <w:sz w:val="22"/>
        </w:rPr>
        <w:t>Regulatory environment.</w:t>
      </w:r>
      <w:r>
        <w:rPr>
          <w:rFonts w:ascii="Times New Roman" w:hAnsi="Times New Roman" w:cs="Times New Roman"/>
          <w:b w:val="0"/>
          <w:i w:val="0"/>
          <w:sz w:val="22"/>
        </w:rPr>
        <w:t xml:space="preserve"> The dominant regulatory factor is U.S. export control. The May 23–29, 2025 BIS letters added semiconductor design software to the list of items requiring export licenses for specified Chinese customers, forcing Synopsys to pause certain shipments and suspend FY2025 guidance (Tom's Hardware, 2025-05-30). Secondary regulatory pressures include data-localization laws (EU, China, India), antitrust scrutiny of EDA-IP consolidation (the FTC and EU Commission both reviewed and cleared the Ansys deal with limited divestiture remedies including the PowerArtist RTL business sale), and AI-specific governance — the EU AI Act, U.S. executive orders on AI safety — which affect Synopsys' embedded-AI tooling but are not yet revenue-material.</w:t>
      </w:r>
    </w:p>
    <w:p>
      <w:pPr>
        <w:spacing w:after="120" w:lineRule="auto" w:line="276"/>
      </w:pPr>
      <w:r>
        <w:rPr>
          <w:rFonts w:ascii="Times New Roman" w:hAnsi="Times New Roman" w:cs="Times New Roman"/>
          <w:b/>
          <w:i w:val="0"/>
          <w:sz w:val="22"/>
        </w:rPr>
        <w:t>Industry dynamics.</w:t>
      </w:r>
      <w:r>
        <w:rPr>
          <w:rFonts w:ascii="Times New Roman" w:hAnsi="Times New Roman" w:cs="Times New Roman"/>
          <w:b w:val="0"/>
          <w:i w:val="0"/>
          <w:sz w:val="22"/>
        </w:rPr>
        <w:t xml:space="preserve"> EDA is one of the most consolidated software industries in technology. Effective market share among the three primary EDA vendors as of 2024–2025: </w:t>
      </w:r>
      <w:r>
        <w:rPr>
          <w:rFonts w:ascii="Times New Roman" w:hAnsi="Times New Roman" w:cs="Times New Roman"/>
          <w:b/>
          <w:i w:val="0"/>
          <w:sz w:val="22"/>
        </w:rPr>
        <w:t>Synopsys ~31%, Cadence ~30%, Siemens EDA ~13%</w:t>
      </w:r>
      <w:r>
        <w:rPr>
          <w:rFonts w:ascii="Times New Roman" w:hAnsi="Times New Roman" w:cs="Times New Roman"/>
          <w:b w:val="0"/>
          <w:i w:val="0"/>
          <w:sz w:val="22"/>
        </w:rPr>
        <w:t>, leaving ~26% to specialty point-tool vendors, semiconductor IP-only firms, and Chinese domestic players (Leading Companies in the Global EDA Market — Intellectual Market Insights, 2025). Supplier power is moderate (a small number of skilled algorithm engineers worldwide; foundry process-tech intelligence is uniquely concentrated). Buyer power is structurally moderate-low — switching costs are enormous for any customer above a few designs, design teams' tools are tightly integrated with methodologies and scripts accumulated over years, and the three vendors are mostly required (most leading customers buy from at least two of three, often all three, to avoid single-source risk). Barriers to entry are essentially impassable for a full-flow new entrant — Synopsys, Cadence, and the Mentor lineage have each invested 30+ years and tens of billions of dollars of R&amp;D. Substitutes are negligible for advanced-node chip design; only the lowest-end / educational / FPGA-only segment sees meaningful open-source competition (e.g., OpenROAD, Yosys, Verilator).</w:t>
      </w:r>
    </w:p>
    <w:p>
      <w:pPr>
        <w:spacing w:after="120" w:lineRule="auto" w:line="276"/>
      </w:pPr>
      <w:r>
        <w:rPr>
          <w:rFonts w:ascii="Times New Roman" w:hAnsi="Times New Roman" w:cs="Times New Roman"/>
          <w:b w:val="0"/>
          <w:i w:val="0"/>
          <w:sz w:val="22"/>
        </w:rPr>
        <w:t>*Source: Synopsys FY2025 10-K, Note 19 Segment Disclosure — Geographic Information.*</w:t>
      </w:r>
    </w:p>
    <w:p>
      <w:pPr>
        <w:spacing w:after="120" w:lineRule="auto" w:line="276"/>
      </w:pPr>
      <w:r>
        <w:rPr>
          <w:rFonts w:ascii="Times New Roman" w:hAnsi="Times New Roman" w:cs="Times New Roman"/>
          <w:b w:val="0"/>
          <w:i w:val="0"/>
          <w:sz w:val="22"/>
        </w:rPr>
        <w:t>---</w:t>
      </w:r>
    </w:p>
    <w:p>
      <w:pPr>
        <w:spacing w:before="120" w:after="40"/>
        <w:jc w:val="center"/>
      </w:pPr>
      <w:r>
        <w:drawing>
          <wp:inline xmlns:a="http://schemas.openxmlformats.org/drawingml/2006/main" xmlns:pic="http://schemas.openxmlformats.org/drawingml/2006/picture">
            <wp:extent cx="5943600" cy="3809072"/>
            <wp:docPr id="13" name="Picture 13"/>
            <wp:cNvGraphicFramePr>
              <a:graphicFrameLocks noChangeAspect="1"/>
            </wp:cNvGraphicFramePr>
            <a:graphic>
              <a:graphicData uri="http://schemas.openxmlformats.org/drawingml/2006/picture">
                <pic:pic>
                  <pic:nvPicPr>
                    <pic:cNvPr id="0" name="chart_15_tam.png"/>
                    <pic:cNvPicPr/>
                  </pic:nvPicPr>
                  <pic:blipFill>
                    <a:blip r:embed="rId21"/>
                    <a:stretch>
                      <a:fillRect/>
                    </a:stretch>
                  </pic:blipFill>
                  <pic:spPr>
                    <a:xfrm>
                      <a:off x="0" y="0"/>
                      <a:ext cx="5943600" cy="3809072"/>
                    </a:xfrm>
                    <a:prstGeom prst="rect"/>
                  </pic:spPr>
                </pic:pic>
              </a:graphicData>
            </a:graphic>
          </wp:inline>
        </w:drawing>
      </w:r>
    </w:p>
    <w:p>
      <w:pPr>
        <w:spacing w:after="160"/>
        <w:jc w:val="center"/>
      </w:pPr>
      <w:r>
        <w:rPr>
          <w:rFonts w:ascii="Times New Roman" w:hAnsi="Times New Roman" w:cs="Times New Roman"/>
          <w:b w:val="0"/>
          <w:i/>
          <w:color w:val="595959"/>
          <w:sz w:val="18"/>
        </w:rPr>
        <w:t>Total addressable market ($B)</w:t>
      </w:r>
    </w:p>
    <w:p>
      <w:pPr>
        <w:spacing w:before="120" w:after="40"/>
        <w:jc w:val="center"/>
      </w:pPr>
      <w:r>
        <w:drawing>
          <wp:inline xmlns:a="http://schemas.openxmlformats.org/drawingml/2006/main" xmlns:pic="http://schemas.openxmlformats.org/drawingml/2006/picture">
            <wp:extent cx="5943600" cy="3354496"/>
            <wp:docPr id="14" name="Picture 14"/>
            <wp:cNvGraphicFramePr>
              <a:graphicFrameLocks noChangeAspect="1"/>
            </wp:cNvGraphicFramePr>
            <a:graphic>
              <a:graphicData uri="http://schemas.openxmlformats.org/drawingml/2006/picture">
                <pic:pic>
                  <pic:nvPicPr>
                    <pic:cNvPr id="0" name="chart_17_market_share.png"/>
                    <pic:cNvPicPr/>
                  </pic:nvPicPr>
                  <pic:blipFill>
                    <a:blip r:embed="rId22"/>
                    <a:stretch>
                      <a:fillRect/>
                    </a:stretch>
                  </pic:blipFill>
                  <pic:spPr>
                    <a:xfrm>
                      <a:off x="0" y="0"/>
                      <a:ext cx="5943600" cy="3354496"/>
                    </a:xfrm>
                    <a:prstGeom prst="rect"/>
                  </pic:spPr>
                </pic:pic>
              </a:graphicData>
            </a:graphic>
          </wp:inline>
        </w:drawing>
      </w:r>
    </w:p>
    <w:p>
      <w:pPr>
        <w:spacing w:after="160"/>
        <w:jc w:val="center"/>
      </w:pPr>
      <w:r>
        <w:rPr>
          <w:rFonts w:ascii="Times New Roman" w:hAnsi="Times New Roman" w:cs="Times New Roman"/>
          <w:b w:val="0"/>
          <w:i/>
          <w:color w:val="595959"/>
          <w:sz w:val="18"/>
        </w:rPr>
        <w:t>EDA + simulation market share FY25</w:t>
      </w:r>
    </w:p>
    <w:p>
      <w:pPr>
        <w:spacing w:before="360" w:after="120"/>
        <w:pBdr>
          <w:bottom w:val="single" w:sz="8" w:space="1" w:color="1F4E78"/>
        </w:pBdr>
      </w:pPr>
      <w:r>
        <w:rPr>
          <w:rFonts w:ascii="Times New Roman" w:hAnsi="Times New Roman" w:cs="Times New Roman"/>
          <w:b/>
          <w:i w:val="0"/>
          <w:color w:val="1F4E78"/>
          <w:sz w:val="32"/>
        </w:rPr>
        <w:t>Competitive Landscape</w:t>
      </w:r>
    </w:p>
    <w:p>
      <w:pPr>
        <w:spacing w:after="120" w:lineRule="auto" w:line="276"/>
      </w:pPr>
      <w:r>
        <w:rPr>
          <w:rFonts w:ascii="Times New Roman" w:hAnsi="Times New Roman" w:cs="Times New Roman"/>
          <w:b w:val="0"/>
          <w:i w:val="0"/>
          <w:sz w:val="22"/>
        </w:rPr>
        <w:t>The EDA industry is a textbook three-player oligopoly with a long tail of point-tool and IP-only specialists. Synopsys' direct, indirect, and emerging competitors break down as follows.</w:t>
      </w:r>
    </w:p>
    <w:p>
      <w:pPr>
        <w:spacing w:after="120" w:lineRule="auto" w:line="276"/>
      </w:pPr>
      <w:r>
        <w:rPr>
          <w:rFonts w:ascii="Times New Roman" w:hAnsi="Times New Roman" w:cs="Times New Roman"/>
          <w:b/>
          <w:i w:val="0"/>
          <w:sz w:val="22"/>
        </w:rPr>
        <w:t>Cadence Design Systems (NASDAQ: CDNS) — primary competitor across nearly the entire portfolio.</w:t>
      </w:r>
      <w:r>
        <w:rPr>
          <w:rFonts w:ascii="Times New Roman" w:hAnsi="Times New Roman" w:cs="Times New Roman"/>
          <w:b w:val="0"/>
          <w:i w:val="0"/>
          <w:sz w:val="22"/>
        </w:rPr>
        <w:t xml:space="preserve"> Cadence is roughly the same revenue scale as Synopsys (FY2024 revenue ~$4.6B; market cap ~$93–100B in May 2026). Cadence's strengths include Virtuoso (analog/custom layout — ahead of Synopsys Custom Compiler), Innovus (digital P&amp;R — at parity with IC Compiler II), Tempus (timing signoff — behind PrimeTime), Xcelium / Palladium (verification — at parity to slightly ahead in current-generation emulation), Allegro (PCB design — Synopsys is not in PCB), and Sigrity (signal/power integrity). On AI tools, Cadence Cerebrus (analogous to Synopsys DSO.ai) is competitive but Synopsys.ai has the broader product surface. Cadence acquired BETA CAE Systems in 2024 ($1.2B mechanical-CAE), giving it a small Ansys-like simulation footprint vastly smaller than Synopsys' $35B Ansys acquisition. Cadence trades at a ~82× TTM P/E and ~17× TTM P/S (Cadence Design Systems — stockanalysis.com).</w:t>
      </w:r>
    </w:p>
    <w:p>
      <w:pPr>
        <w:spacing w:after="120" w:lineRule="auto" w:line="276"/>
      </w:pPr>
      <w:r>
        <w:rPr>
          <w:rFonts w:ascii="Times New Roman" w:hAnsi="Times New Roman" w:cs="Times New Roman"/>
          <w:b/>
          <w:i w:val="0"/>
          <w:sz w:val="22"/>
        </w:rPr>
        <w:t>Siemens EDA (subsidiary of Siemens AG; the rebranded Mentor Graphics).</w:t>
      </w:r>
      <w:r>
        <w:rPr>
          <w:rFonts w:ascii="Times New Roman" w:hAnsi="Times New Roman" w:cs="Times New Roman"/>
          <w:b w:val="0"/>
          <w:i w:val="0"/>
          <w:sz w:val="22"/>
        </w:rPr>
        <w:t xml:space="preserve"> ~13% market share. Strengths: Calibre (physical verification — the industry standard, materially ahead of Synopsys IC Validator and Cadence Pegasus), Catapult (high-level synthesis), Veloce (emulation — competitive), Questa (simulation — third place behind VCS and Xcelium), and PCB design. Siemens' embed-into-industrial-software strategy via the broader Siemens Digital Industries Software (Simcenter, Teamcenter, NX) is the most differentiated competitive vector against Synopsys-with-Ansys. The June 2024 promotion of Mike Ellow to Siemens EDA CEO and his subsequent November 2025 move *to Synopsys* as CRO is one of the most consequential leadership shifts in the industry in a decade.</w:t>
      </w:r>
    </w:p>
    <w:p>
      <w:pPr>
        <w:spacing w:after="120" w:lineRule="auto" w:line="276"/>
      </w:pPr>
      <w:r>
        <w:rPr>
          <w:rFonts w:ascii="Times New Roman" w:hAnsi="Times New Roman" w:cs="Times New Roman"/>
          <w:b/>
          <w:i w:val="0"/>
          <w:sz w:val="22"/>
        </w:rPr>
        <w:t>Arm Holdings (LSE/Nasdaq: ARM).</w:t>
      </w:r>
      <w:r>
        <w:rPr>
          <w:rFonts w:ascii="Times New Roman" w:hAnsi="Times New Roman" w:cs="Times New Roman"/>
          <w:b w:val="0"/>
          <w:i w:val="0"/>
          <w:sz w:val="22"/>
        </w:rPr>
        <w:t xml:space="preserve"> Direct competitor in CPU IP only; not in EDA. Arm is materially larger than Synopsys ARC in CPU IP, with ~$3B+ FY2024 revenue and effectively the entire mobile and substantial datacenter footprint. Synopsys does not compete on Arm-class CPUs but does compete in DSP, NPU, and security IP.</w:t>
      </w:r>
    </w:p>
    <w:p>
      <w:pPr>
        <w:spacing w:after="120" w:lineRule="auto" w:line="276"/>
      </w:pPr>
      <w:r>
        <w:rPr>
          <w:rFonts w:ascii="Times New Roman" w:hAnsi="Times New Roman" w:cs="Times New Roman"/>
          <w:b/>
          <w:i w:val="0"/>
          <w:sz w:val="22"/>
        </w:rPr>
        <w:t>Ansys legacy competitors (now indirectly Synopsys competitors via the merger).</w:t>
      </w:r>
      <w:r>
        <w:rPr>
          <w:rFonts w:ascii="Times New Roman" w:hAnsi="Times New Roman" w:cs="Times New Roman"/>
          <w:b w:val="0"/>
          <w:i w:val="0"/>
          <w:sz w:val="22"/>
        </w:rPr>
        <w:t xml:space="preserve"> Dassault Systèmes (Simulia/Abaqus, CATIA — direct mechanical/structural and PLM overlap; ~€6B revenue), Siemens Simcenter (CFD/structural/electromagnetic — direct overlap), Altair Engineering (HyperWorks — broad multiphysics overlap; ~$650M revenue, acquired by Siemens in early 2025 for ~$10B), Hexagon (smaller multiphysics overlap), MathWorks (Simulink in the model-based design tier, adjacent rather than overlapping), and PTC (Creo and post-2023 Ansys-Workbench-adjacent positioning).</w:t>
      </w:r>
    </w:p>
    <w:p>
      <w:pPr>
        <w:spacing w:after="120" w:lineRule="auto" w:line="276"/>
      </w:pPr>
      <w:r>
        <w:rPr>
          <w:rFonts w:ascii="Times New Roman" w:hAnsi="Times New Roman" w:cs="Times New Roman"/>
          <w:b/>
          <w:i w:val="0"/>
          <w:sz w:val="22"/>
        </w:rPr>
        <w:t>Chinese domestic EDA / IP players (emerging).</w:t>
      </w:r>
      <w:r>
        <w:rPr>
          <w:rFonts w:ascii="Times New Roman" w:hAnsi="Times New Roman" w:cs="Times New Roman"/>
          <w:b w:val="0"/>
          <w:i w:val="0"/>
          <w:sz w:val="22"/>
        </w:rPr>
        <w:t xml:space="preserve"> Empyrean Technology (Beijing-listed 688521), Primarius Technologies, Semitronix, X-Epic, and Cerebrum collectively still account for the low-single-digit percentage of the China EDA market — most reports peg the Big Three (Synopsys, Cadence, Siemens) at ~78–80% of China EDA spend even in 2024 (Leading Companies in the Global EDA Market, 2025). Chinese players are growing 30–50% YoY off a small base, prioritized by Beijing's industrial policy and direct state funding through the China IC Industry Investment Fund. The May 2025 BIS restrictions both materially impair Synopsys' China revenue near-term *and* accelerate domestic substitution by removing the Big Three's tools from sensitive Chinese customers — a structural negative even after specific restrictions are clarified.</w:t>
      </w:r>
    </w:p>
    <w:p>
      <w:pPr>
        <w:spacing w:after="120" w:lineRule="auto" w:line="276"/>
      </w:pPr>
      <w:r>
        <w:rPr>
          <w:rFonts w:ascii="Times New Roman" w:hAnsi="Times New Roman" w:cs="Times New Roman"/>
          <w:b/>
          <w:i w:val="0"/>
          <w:sz w:val="22"/>
        </w:rPr>
        <w:t>Open-source / point-tool challengers.</w:t>
      </w:r>
      <w:r>
        <w:rPr>
          <w:rFonts w:ascii="Times New Roman" w:hAnsi="Times New Roman" w:cs="Times New Roman"/>
          <w:b w:val="0"/>
          <w:i w:val="0"/>
          <w:sz w:val="22"/>
        </w:rPr>
        <w:t xml:space="preserve"> OpenROAD (DARPA-funded full RTL-to-GDSII flow, used by academic and select industrial teams; minimal commercial impact), Yosys (open-source synthesis), Verilator (open-source SystemVerilog simulator widely used for cycle-accurate simulation), Magic / KLayout (open-source layout). These are educational and niche-commercial in nature; they do not compete for the advanced-node customer dollar but exert minor pricing pressure at the low end.</w:t>
      </w:r>
    </w:p>
    <w:p>
      <w:pPr>
        <w:spacing w:after="120" w:lineRule="auto" w:line="276"/>
      </w:pPr>
      <w:r>
        <w:rPr>
          <w:rFonts w:ascii="Times New Roman" w:hAnsi="Times New Roman" w:cs="Times New Roman"/>
          <w:b w:val="0"/>
          <w:i w:val="0"/>
          <w:sz w:val="22"/>
        </w:rPr>
        <w:t>*Source: positioning chart constructed from public market-share estimates and product-feature reviews including Leading Companies in the Global EDA Market, 2025 and Synopsys FY2025 10-K competitive description. Coordinates are qualitative.*</w:t>
      </w:r>
    </w:p>
    <w:p>
      <w:pPr>
        <w:spacing w:after="120" w:lineRule="auto" w:line="276"/>
      </w:pPr>
      <w:r>
        <w:rPr>
          <w:rFonts w:ascii="Times New Roman" w:hAnsi="Times New Roman" w:cs="Times New Roman"/>
          <w:b/>
          <w:i w:val="0"/>
          <w:sz w:val="22"/>
        </w:rPr>
        <w:t>Synopsys' competitive advantages.</w:t>
      </w:r>
      <w:r>
        <w:rPr>
          <w:rFonts w:ascii="Times New Roman" w:hAnsi="Times New Roman" w:cs="Times New Roman"/>
          <w:b w:val="0"/>
          <w:i w:val="0"/>
          <w:sz w:val="22"/>
        </w:rPr>
        <w:t xml:space="preserve"> *PrimeTime ecosystem lock-in* (deepest single moat — every advanced foundry calibrates against PrimeTime), *broadest IP catalog* (only Synopsys and Cadence offer end-to-end interface IP at 3nm/2nm), *the only full silicon-to-systems portfolio post-Ansys*, *AI-tool maturity* (DSO.ai at industrial scale since 2021), and *the NVIDIA CUDA partnership* which structurally aligns the most-important compute platform of the next decade with Synopsys' tool roadmap.</w:t>
      </w:r>
    </w:p>
    <w:p>
      <w:pPr>
        <w:spacing w:after="120" w:lineRule="auto" w:line="276"/>
      </w:pPr>
      <w:r>
        <w:rPr>
          <w:rFonts w:ascii="Times New Roman" w:hAnsi="Times New Roman" w:cs="Times New Roman"/>
          <w:b/>
          <w:i w:val="0"/>
          <w:sz w:val="22"/>
        </w:rPr>
        <w:t>Synopsys' competitive vulnerabilities.</w:t>
      </w:r>
      <w:r>
        <w:rPr>
          <w:rFonts w:ascii="Times New Roman" w:hAnsi="Times New Roman" w:cs="Times New Roman"/>
          <w:b w:val="0"/>
          <w:i w:val="0"/>
          <w:sz w:val="22"/>
        </w:rPr>
        <w:t xml:space="preserve"> *Physical verification gap* (Siemens Calibre remains the industry standard, an unsolved competitive sore), *custom/analog layout gap* (Cadence Virtuoso is genuinely ahead), *Design IP segment softness* (FY2025 revenue decline and margin compression suggest execution and product-portfolio issues that are not yet resolved), *Ansys integration execution* (multiphysics simulation customers have different procurement cycles, sales motions, and competitive landscapes than EDA — the synergy thesis requires Synopsys to build a sales motion it has never previously needed), and *China revenue downside risk* (~12% of FY2025 revenue, structurally exposed to further BIS / entity list expansion).</w:t>
      </w:r>
    </w:p>
    <w:p>
      <w:pPr>
        <w:spacing w:after="120" w:lineRule="auto" w:line="276"/>
      </w:pPr>
      <w:r>
        <w:rPr>
          <w:rFonts w:ascii="Times New Roman" w:hAnsi="Times New Roman" w:cs="Times New Roman"/>
          <w:b w:val="0"/>
          <w:i w:val="0"/>
          <w:sz w:val="22"/>
        </w:rPr>
        <w:t>*Source: Synopsys FY2025 10-K, Note 19 Segment Disclosure.*</w:t>
      </w:r>
    </w:p>
    <w:p>
      <w:pPr>
        <w:spacing w:after="120" w:lineRule="auto" w:line="276"/>
      </w:pPr>
      <w:r>
        <w:rPr>
          <w:rFonts w:ascii="Times New Roman" w:hAnsi="Times New Roman" w:cs="Times New Roman"/>
          <w:b w:val="0"/>
          <w:i w:val="0"/>
          <w:sz w:val="22"/>
        </w:rPr>
        <w:t>---</w:t>
      </w:r>
    </w:p>
    <w:p>
      <w:pPr>
        <w:spacing w:before="120" w:after="40"/>
        <w:jc w:val="center"/>
      </w:pPr>
      <w:r>
        <w:drawing>
          <wp:inline xmlns:a="http://schemas.openxmlformats.org/drawingml/2006/main" xmlns:pic="http://schemas.openxmlformats.org/drawingml/2006/picture">
            <wp:extent cx="5943600" cy="4327217"/>
            <wp:docPr id="15" name="Picture 15"/>
            <wp:cNvGraphicFramePr>
              <a:graphicFrameLocks noChangeAspect="1"/>
            </wp:cNvGraphicFramePr>
            <a:graphic>
              <a:graphicData uri="http://schemas.openxmlformats.org/drawingml/2006/picture">
                <pic:pic>
                  <pic:nvPicPr>
                    <pic:cNvPr id="0" name="chart_16_competitive_landscape.png"/>
                    <pic:cNvPicPr/>
                  </pic:nvPicPr>
                  <pic:blipFill>
                    <a:blip r:embed="rId23"/>
                    <a:stretch>
                      <a:fillRect/>
                    </a:stretch>
                  </pic:blipFill>
                  <pic:spPr>
                    <a:xfrm>
                      <a:off x="0" y="0"/>
                      <a:ext cx="5943600" cy="4327217"/>
                    </a:xfrm>
                    <a:prstGeom prst="rect"/>
                  </pic:spPr>
                </pic:pic>
              </a:graphicData>
            </a:graphic>
          </wp:inline>
        </w:drawing>
      </w:r>
    </w:p>
    <w:p>
      <w:pPr>
        <w:spacing w:after="160"/>
        <w:jc w:val="center"/>
      </w:pPr>
      <w:r>
        <w:rPr>
          <w:rFonts w:ascii="Times New Roman" w:hAnsi="Times New Roman" w:cs="Times New Roman"/>
          <w:b w:val="0"/>
          <w:i/>
          <w:color w:val="595959"/>
          <w:sz w:val="18"/>
        </w:rPr>
        <w:t>Competitive landscape (technology × entrenchment)</w:t>
      </w:r>
    </w:p>
    <w:p>
      <w:pPr>
        <w:spacing w:before="120" w:after="40"/>
        <w:jc w:val="center"/>
      </w:pPr>
      <w:r>
        <w:drawing>
          <wp:inline xmlns:a="http://schemas.openxmlformats.org/drawingml/2006/main" xmlns:pic="http://schemas.openxmlformats.org/drawingml/2006/picture">
            <wp:extent cx="5943600" cy="3460486"/>
            <wp:docPr id="16" name="Picture 16"/>
            <wp:cNvGraphicFramePr>
              <a:graphicFrameLocks noChangeAspect="1"/>
            </wp:cNvGraphicFramePr>
            <a:graphic>
              <a:graphicData uri="http://schemas.openxmlformats.org/drawingml/2006/picture">
                <pic:pic>
                  <pic:nvPicPr>
                    <pic:cNvPr id="0" name="chart_18_peer_growth.png"/>
                    <pic:cNvPicPr/>
                  </pic:nvPicPr>
                  <pic:blipFill>
                    <a:blip r:embed="rId24"/>
                    <a:stretch>
                      <a:fillRect/>
                    </a:stretch>
                  </pic:blipFill>
                  <pic:spPr>
                    <a:xfrm>
                      <a:off x="0" y="0"/>
                      <a:ext cx="5943600" cy="3460486"/>
                    </a:xfrm>
                    <a:prstGeom prst="rect"/>
                  </pic:spPr>
                </pic:pic>
              </a:graphicData>
            </a:graphic>
          </wp:inline>
        </w:drawing>
      </w:r>
    </w:p>
    <w:p>
      <w:pPr>
        <w:spacing w:after="160"/>
        <w:jc w:val="center"/>
      </w:pPr>
      <w:r>
        <w:rPr>
          <w:rFonts w:ascii="Times New Roman" w:hAnsi="Times New Roman" w:cs="Times New Roman"/>
          <w:b w:val="0"/>
          <w:i/>
          <w:color w:val="595959"/>
          <w:sz w:val="18"/>
        </w:rPr>
        <w:t>NTM revenue growth vs peers</w:t>
      </w:r>
    </w:p>
    <w:p>
      <w:pPr>
        <w:spacing w:before="360" w:after="120"/>
        <w:pBdr>
          <w:bottom w:val="single" w:sz="8" w:space="1" w:color="1F4E78"/>
        </w:pBdr>
      </w:pPr>
      <w:r>
        <w:rPr>
          <w:rFonts w:ascii="Times New Roman" w:hAnsi="Times New Roman" w:cs="Times New Roman"/>
          <w:b/>
          <w:i w:val="0"/>
          <w:color w:val="1F4E78"/>
          <w:sz w:val="32"/>
        </w:rPr>
        <w:t>Market Opportunity (TAM)</w:t>
      </w:r>
    </w:p>
    <w:p>
      <w:pPr>
        <w:spacing w:after="120" w:lineRule="auto" w:line="276"/>
      </w:pPr>
      <w:r>
        <w:rPr>
          <w:rFonts w:ascii="Times New Roman" w:hAnsi="Times New Roman" w:cs="Times New Roman"/>
          <w:b w:val="0"/>
          <w:i w:val="0"/>
          <w:sz w:val="22"/>
        </w:rPr>
        <w:t xml:space="preserve">Synopsys' self-disclosed TAM, used in the Ansys closing release, is </w:t>
      </w:r>
      <w:r>
        <w:rPr>
          <w:rFonts w:ascii="Times New Roman" w:hAnsi="Times New Roman" w:cs="Times New Roman"/>
          <w:b/>
          <w:i w:val="0"/>
          <w:sz w:val="22"/>
        </w:rPr>
        <w:t>$31 billion</w:t>
      </w:r>
      <w:r>
        <w:rPr>
          <w:rFonts w:ascii="Times New Roman" w:hAnsi="Times New Roman" w:cs="Times New Roman"/>
          <w:b w:val="0"/>
          <w:i w:val="0"/>
          <w:sz w:val="22"/>
        </w:rPr>
        <w:t xml:space="preserve"> based on 2023 management estimates (Synopsys Completes Acquisition of Ansys, 2025-07-17). This is comprised of approximately three pieces, which I reconstruct from the company's own segment definitions and third-party industry sizing:</w:t>
      </w:r>
    </w:p>
    <w:p>
      <w:pPr>
        <w:pStyle w:val="ListBullet"/>
        <w:ind w:left="432"/>
      </w:pPr>
      <w:r>
        <w:rPr>
          <w:rFonts w:ascii="Times New Roman" w:hAnsi="Times New Roman" w:cs="Times New Roman"/>
          <w:b/>
          <w:i w:val="0"/>
          <w:sz w:val="22"/>
        </w:rPr>
        <w:t>EDA software (core) — approximately $16–19 billion in 2024–2025</w:t>
      </w:r>
      <w:r>
        <w:rPr>
          <w:rFonts w:ascii="Times New Roman" w:hAnsi="Times New Roman" w:cs="Times New Roman"/>
          <w:b w:val="0"/>
          <w:i w:val="0"/>
          <w:sz w:val="22"/>
        </w:rPr>
        <w:t>, growing roughly 10–12% CAGR through 2030. Multiple independent estimates cluster around this range: $19.2B (2025 estimate, Precedence Research), $14.55B (alternative, narrower scope), and $17.2B (2024) per the Persistence Market Research forecast that targets $37.8B by 2032 at a 10.5% CAGR (EDA Market Size &amp; Forecast — Persistence Market Research).</w:t>
      </w:r>
    </w:p>
    <w:p>
      <w:pPr>
        <w:pStyle w:val="ListBullet"/>
        <w:ind w:left="432"/>
      </w:pPr>
      <w:r>
        <w:rPr>
          <w:rFonts w:ascii="Times New Roman" w:hAnsi="Times New Roman" w:cs="Times New Roman"/>
          <w:b/>
          <w:i w:val="0"/>
          <w:sz w:val="22"/>
        </w:rPr>
        <w:t>Semiconductor IP — approximately $7–8 billion in 2024</w:t>
      </w:r>
      <w:r>
        <w:rPr>
          <w:rFonts w:ascii="Times New Roman" w:hAnsi="Times New Roman" w:cs="Times New Roman"/>
          <w:b w:val="0"/>
          <w:i w:val="0"/>
          <w:sz w:val="22"/>
        </w:rPr>
        <w:t>, growing 10–13% CAGR. Synopsys and Cadence collectively account for the majority of merchant interface and foundation IP; Arm dominates CPU IP. Synopsys' Design IP segment delivered $1.75B in FY2025 (down 8% YoY but a multi-year up-trend pre-FY2025).</w:t>
      </w:r>
    </w:p>
    <w:p>
      <w:pPr>
        <w:pStyle w:val="ListBullet"/>
        <w:ind w:left="432"/>
      </w:pPr>
      <w:r>
        <w:rPr>
          <w:rFonts w:ascii="Times New Roman" w:hAnsi="Times New Roman" w:cs="Times New Roman"/>
          <w:b/>
          <w:i w:val="0"/>
          <w:sz w:val="22"/>
        </w:rPr>
        <w:t>Physics-based simulation (Ansys core) — approximately $6–8 billion in 2024</w:t>
      </w:r>
      <w:r>
        <w:rPr>
          <w:rFonts w:ascii="Times New Roman" w:hAnsi="Times New Roman" w:cs="Times New Roman"/>
          <w:b w:val="0"/>
          <w:i w:val="0"/>
          <w:sz w:val="22"/>
        </w:rPr>
        <w:t>, growing 8–11% CAGR. Combined Ansys + Dassault Simulia + Siemens Simcenter + Altair + Hexagon Manufacturing Intelligence is the addressable base; Ansys had ~30%+ share pre-merger.</w:t>
      </w:r>
    </w:p>
    <w:p>
      <w:pPr>
        <w:spacing w:after="120" w:lineRule="auto" w:line="276"/>
      </w:pPr>
      <w:r>
        <w:rPr>
          <w:rFonts w:ascii="Times New Roman" w:hAnsi="Times New Roman" w:cs="Times New Roman"/>
          <w:b w:val="0"/>
          <w:i w:val="0"/>
          <w:sz w:val="22"/>
        </w:rPr>
        <w:t>Combined, the bottoms-up math lands ~$29–35B, broadly consistent with Synopsys management's $31B framing.</w:t>
      </w:r>
    </w:p>
    <w:p>
      <w:pPr>
        <w:spacing w:after="120" w:lineRule="auto" w:line="276"/>
      </w:pPr>
      <w:r>
        <w:rPr>
          <w:rFonts w:ascii="Times New Roman" w:hAnsi="Times New Roman" w:cs="Times New Roman"/>
          <w:b/>
          <w:i w:val="0"/>
          <w:sz w:val="22"/>
        </w:rPr>
        <w:t>SAM (Serviceable Addressable Market).</w:t>
      </w:r>
      <w:r>
        <w:rPr>
          <w:rFonts w:ascii="Times New Roman" w:hAnsi="Times New Roman" w:cs="Times New Roman"/>
          <w:b w:val="0"/>
          <w:i w:val="0"/>
          <w:sz w:val="22"/>
        </w:rPr>
        <w:t xml:space="preserve"> Synopsys is a credible full-flow vendor across essentially the entire TAM: it can plausibly serve every dollar in EDA, the merchant interface/foundation/security IP portion (~$5B of the $7–8B IP TAM, excluding Arm CPU IP and Tensilica DSP IP where Cadence dominates), and effectively all of Ansys' historical addressable footprint. Practical SAM is therefore on the order of $28–30B.</w:t>
      </w:r>
    </w:p>
    <w:p>
      <w:pPr>
        <w:spacing w:after="120" w:lineRule="auto" w:line="276"/>
      </w:pPr>
      <w:r>
        <w:rPr>
          <w:rFonts w:ascii="Times New Roman" w:hAnsi="Times New Roman" w:cs="Times New Roman"/>
          <w:b/>
          <w:i w:val="0"/>
          <w:sz w:val="22"/>
        </w:rPr>
        <w:t>SOM (Serviceable Obtainable Market).</w:t>
      </w:r>
      <w:r>
        <w:rPr>
          <w:rFonts w:ascii="Times New Roman" w:hAnsi="Times New Roman" w:cs="Times New Roman"/>
          <w:b w:val="0"/>
          <w:i w:val="0"/>
          <w:sz w:val="22"/>
        </w:rPr>
        <w:t xml:space="preserve"> Today, Synopsys' SOM is essentially equivalent to its current revenue run-rate plus the integration synergies — i.e., the $9.6B FY2026 revenue guide represents ~31% share of the ~$31B TAM, broadly matching Cadence (~30%) and well ahead of Siemens EDA (~13%). The most credible incremental SOM growth vector is (a) wallet-share expansion at AI-accelerator and hyperscaler customers, where chip-design intensity is increasing 15–25% YoY; (b) physics-simulation cross-sell into chip-design customers (Ansys penetration into semiconductor R&amp;D budgets is currently low — most Ansys revenue today is from automotive/aerospace/industrial); and (c) defensive market-share retention vs. Chinese domestic substitutes in non-restricted product categories.</w:t>
      </w:r>
    </w:p>
    <w:p>
      <w:pPr>
        <w:spacing w:after="120" w:lineRule="auto" w:line="276"/>
      </w:pPr>
      <w:r>
        <w:rPr>
          <w:rFonts w:ascii="Times New Roman" w:hAnsi="Times New Roman" w:cs="Times New Roman"/>
          <w:b/>
          <w:i w:val="0"/>
          <w:sz w:val="22"/>
        </w:rPr>
        <w:t>Market growth projections.</w:t>
      </w:r>
      <w:r>
        <w:rPr>
          <w:rFonts w:ascii="Times New Roman" w:hAnsi="Times New Roman" w:cs="Times New Roman"/>
          <w:b w:val="0"/>
          <w:i w:val="0"/>
          <w:sz w:val="22"/>
        </w:rPr>
        <w:t xml:space="preserve"> A reasonable composite scenario: ~$31B 2024 TAM → ~$50B 2030 TAM at ~9–10% CAGR. At constant ~30% share, this implies a steady-state Synopsys revenue trajectory toward ~$15B by 2030, vs. the FY2026 guide of $9.6B — i.e., the math supports a continued 8–10% organic growth rate for the next five years, before considering further AI / multi-die / cloud-EDA tailwinds. The ~10% CAGR baseline matches the consensus of Precedence Research, Persistence Market Research, and Mordor Intelligence.</w:t>
      </w:r>
    </w:p>
    <w:p>
      <w:pPr>
        <w:spacing w:after="120" w:lineRule="auto" w:line="276"/>
      </w:pPr>
      <w:r>
        <w:rPr>
          <w:rFonts w:ascii="Times New Roman" w:hAnsi="Times New Roman" w:cs="Times New Roman"/>
          <w:b/>
          <w:i w:val="0"/>
          <w:sz w:val="22"/>
        </w:rPr>
        <w:t>Penetration strategy.</w:t>
      </w:r>
      <w:r>
        <w:rPr>
          <w:rFonts w:ascii="Times New Roman" w:hAnsi="Times New Roman" w:cs="Times New Roman"/>
          <w:b w:val="0"/>
          <w:i w:val="0"/>
          <w:sz w:val="22"/>
        </w:rPr>
        <w:t xml:space="preserve"> The post-Ansys strategy emphasizes three vectors: (1) deepen advanced-node share at hyperscaler and merchant AI chip teams, with NVIDIA CUDA acceleration as the leading-edge product wedge; (2) cross-sell Ansys simulation into the semiconductor design segment, where multiphysics is increasingly relevant for thermal, electromagnetic, and mechanical co-design of multi-die packages; and (3) expand cloud / SaaS consumption-based offerings via the Microsoft Azure partnership and selective expansion to AWS / GCP. The principal risk to the penetration story is China — both as a near-term revenue drag and as a multi-year share-loss vector if domestic substitutes mature faster than the BIS framework eases.</w:t>
      </w:r>
    </w:p>
    <w:p>
      <w:pPr>
        <w:spacing w:after="120" w:lineRule="auto" w:line="276"/>
      </w:pPr>
      <w:r>
        <w:rPr>
          <w:rFonts w:ascii="Times New Roman" w:hAnsi="Times New Roman" w:cs="Times New Roman"/>
          <w:b w:val="0"/>
          <w:i w:val="0"/>
          <w:sz w:val="22"/>
        </w:rPr>
        <w:t>---</w:t>
      </w:r>
    </w:p>
    <w:p>
      <w:r>
        <w:br w:type="page"/>
      </w:r>
    </w:p>
    <w:p>
      <w:pPr>
        <w:spacing w:before="360" w:after="120"/>
        <w:pBdr>
          <w:bottom w:val="single" w:sz="8" w:space="1" w:color="1F4E78"/>
        </w:pBdr>
      </w:pPr>
      <w:r>
        <w:rPr>
          <w:rFonts w:ascii="Times New Roman" w:hAnsi="Times New Roman" w:cs="Times New Roman"/>
          <w:b/>
          <w:i w:val="0"/>
          <w:color w:val="1F4E78"/>
          <w:sz w:val="32"/>
        </w:rPr>
        <w:t>Risk Assessment</w:t>
      </w:r>
    </w:p>
    <w:p>
      <w:pPr>
        <w:spacing w:before="160" w:after="60"/>
      </w:pPr>
      <w:r>
        <w:rPr>
          <w:rFonts w:ascii="Times New Roman" w:hAnsi="Times New Roman" w:cs="Times New Roman"/>
          <w:b/>
          <w:i w:val="0"/>
          <w:color w:val="C00000"/>
          <w:sz w:val="22"/>
        </w:rPr>
        <w:t>Company-Specific Risks</w:t>
      </w:r>
    </w:p>
    <w:p>
      <w:pPr>
        <w:spacing w:after="120" w:lineRule="auto" w:line="276"/>
      </w:pPr>
      <w:r>
        <w:rPr>
          <w:rFonts w:ascii="Times New Roman" w:hAnsi="Times New Roman" w:cs="Times New Roman"/>
          <w:b/>
          <w:i w:val="0"/>
          <w:sz w:val="22"/>
        </w:rPr>
        <w:t>1. Ansys integration execution risk (high severity / moderate-to-high likelihood).</w:t>
      </w:r>
      <w:r>
        <w:rPr>
          <w:rFonts w:ascii="Times New Roman" w:hAnsi="Times New Roman" w:cs="Times New Roman"/>
          <w:b w:val="0"/>
          <w:i w:val="0"/>
          <w:sz w:val="22"/>
        </w:rPr>
        <w:t xml:space="preserve"> The $35B Ansys acquisition is the largest deal in EDA history and ~3× Synopsys' next-largest historical acquisition. Synergy realization requires combining two engineering organizations of comparable scale, harmonizing GTM motions across semiconductor and industrial/aerospace customer bases, and delivering a credible "fused" product roadmap in 1H FY2026. The FY2025 10-K explicitly warns that "we may not realize the full anticipated benefits" and recorded $254.8M of acquisition/divestiture costs and $118.3M of additional restructuring charges in Q1 FY2026 alone (Synopsys Q1-FY2026 10-Q). Mitigants: experienced internal leadership team retained from Ansys (Ajei Gopal as outgoing board member, Janet Lee as GC), modest geographic/product overlap reduces antitrust unwind risk, and disciplined integration program announced.</w:t>
      </w:r>
    </w:p>
    <w:p>
      <w:pPr>
        <w:spacing w:after="120" w:lineRule="auto" w:line="276"/>
      </w:pPr>
      <w:r>
        <w:rPr>
          <w:rFonts w:ascii="Times New Roman" w:hAnsi="Times New Roman" w:cs="Times New Roman"/>
          <w:b/>
          <w:i w:val="0"/>
          <w:sz w:val="22"/>
        </w:rPr>
        <w:t>2. Design IP segment underperformance (high severity / elevated likelihood of persistence into FY2026).</w:t>
      </w:r>
      <w:r>
        <w:rPr>
          <w:rFonts w:ascii="Times New Roman" w:hAnsi="Times New Roman" w:cs="Times New Roman"/>
          <w:b w:val="0"/>
          <w:i w:val="0"/>
          <w:sz w:val="22"/>
        </w:rPr>
        <w:t xml:space="preserve"> Design IP revenue declined 8% in FY2025 and adjusted operating margin compressed from 38% to 24%. Three causes — China restrictions, weaker foundry-customer demand, and "certain roadmap and resource decisions that did not yield their intended results" — are partially structural and partially self-inflicted (Synopsys FY2025 10-K MD&amp;A). Management has begun reallocating resources to higher-growth opportunities but expects "muted growth" in fiscal 2026. Mitigants: Design IP is structurally a 25%-of-revenue segment, so even a flat-to-down FY2026 still allows total revenue to grow on Ansys and EDA strength.</w:t>
      </w:r>
    </w:p>
    <w:p>
      <w:pPr>
        <w:spacing w:after="120" w:lineRule="auto" w:line="276"/>
      </w:pPr>
      <w:r>
        <w:rPr>
          <w:rFonts w:ascii="Times New Roman" w:hAnsi="Times New Roman" w:cs="Times New Roman"/>
          <w:b/>
          <w:i w:val="0"/>
          <w:sz w:val="22"/>
        </w:rPr>
        <w:t>3. Customer concentration — moderate, evaluated explicitly.</w:t>
      </w:r>
      <w:r>
        <w:rPr>
          <w:rFonts w:ascii="Times New Roman" w:hAnsi="Times New Roman" w:cs="Times New Roman"/>
          <w:b w:val="0"/>
          <w:i w:val="0"/>
          <w:sz w:val="22"/>
        </w:rPr>
        <w:t xml:space="preserve"> One customer accounted for 12.6% of consolidated revenue in FY2024 (13.5% in FY2023); FY2025 figure is undisclosed but implied &lt;10%. Three-year trend is downward, indicating diversification. Contract structure is multi-year master-agreement / FSA, providing visibility. Threshold check: top-1 is below the 20% "material" line and well below the 30% "high" line per the project's risk taxonomy. Risk remains because the top customer is plausibly a foundry whose chip-design volume is structurally tied to semiconductor cyclicality. Mitigants: backlog of $11.3B (Jan 2026) and FSA non-cancellable commitments of $1.9B provide cushion against any single-customer reset.</w:t>
      </w:r>
    </w:p>
    <w:p>
      <w:pPr>
        <w:spacing w:after="120" w:lineRule="auto" w:line="276"/>
      </w:pPr>
      <w:r>
        <w:rPr>
          <w:rFonts w:ascii="Times New Roman" w:hAnsi="Times New Roman" w:cs="Times New Roman"/>
          <w:b/>
          <w:i w:val="0"/>
          <w:sz w:val="22"/>
        </w:rPr>
        <w:t>4. Key person dependency on Sassine Ghazi.</w:t>
      </w:r>
      <w:r>
        <w:rPr>
          <w:rFonts w:ascii="Times New Roman" w:hAnsi="Times New Roman" w:cs="Times New Roman"/>
          <w:b w:val="0"/>
          <w:i w:val="0"/>
          <w:sz w:val="22"/>
        </w:rPr>
        <w:t xml:space="preserve"> Ghazi is only ~28 months into the CEO role, was the principal architect of the Ansys deal, and is leading the most consequential platform integration in company history. Ghazi has no announced 10b5-1 plan filed during the most recent fiscal year per the 10-K, suggesting committed-to-role posture, but the dependency on his execution through the FY2026–FY2027 integration window is high. Mitigants: Aart de Geus remains as Executive Chair, providing institutional continuity and strategic backstop.</w:t>
      </w:r>
    </w:p>
    <w:p>
      <w:pPr>
        <w:spacing w:after="120" w:lineRule="auto" w:line="276"/>
      </w:pPr>
      <w:r>
        <w:rPr>
          <w:rFonts w:ascii="Times New Roman" w:hAnsi="Times New Roman" w:cs="Times New Roman"/>
          <w:b/>
          <w:i w:val="0"/>
          <w:sz w:val="22"/>
        </w:rPr>
        <w:t>5. China revenue and geopolitical risk (high severity / high likelihood of further disruption).</w:t>
      </w:r>
      <w:r>
        <w:rPr>
          <w:rFonts w:ascii="Times New Roman" w:hAnsi="Times New Roman" w:cs="Times New Roman"/>
          <w:b w:val="0"/>
          <w:i w:val="0"/>
          <w:sz w:val="22"/>
        </w:rPr>
        <w:t xml:space="preserve"> China was $814M (11.5%) of FY2025 revenue, down from $989.5M (16.1%) in FY2024 on BIS export controls. Further restrictions, entity-list additions, or retaliatory measures by China (export controls on rare earth or advanced-packaging materials affecting Synopsys' customers) could compress China revenue further or trigger broader semiconductor demand softness. Mitigants: declining concentration (already cut as a % of revenue in FY2025) and broad customer base across the rest of the world.</w:t>
      </w:r>
    </w:p>
    <w:p>
      <w:pPr>
        <w:spacing w:after="120" w:lineRule="auto" w:line="276"/>
      </w:pPr>
      <w:r>
        <w:rPr>
          <w:rFonts w:ascii="Times New Roman" w:hAnsi="Times New Roman" w:cs="Times New Roman"/>
          <w:b/>
          <w:i w:val="0"/>
          <w:sz w:val="22"/>
        </w:rPr>
        <w:t>6. Supplier / labor concentration (low-moderate severity).</w:t>
      </w:r>
      <w:r>
        <w:rPr>
          <w:rFonts w:ascii="Times New Roman" w:hAnsi="Times New Roman" w:cs="Times New Roman"/>
          <w:b w:val="0"/>
          <w:i w:val="0"/>
          <w:sz w:val="22"/>
        </w:rPr>
        <w:t xml:space="preserve"> Synopsys' "supplier" base is principally talent — algorithm engineers with deep computational geometry and EDA-specific expertise. The supply is genuinely scarce globally and concentrated in a handful of regions (Silicon Valley, Bangalore, Shanghai, Shenzhen, Yerevan, Tel Aviv). The Ansys deal materially expanded the talent pool but also introduced retention risk. Mitigants: 5.7% voluntary turnover in FY2025, equity-heavy compensation, multiple global engineering hubs.</w:t>
      </w:r>
    </w:p>
    <w:p>
      <w:pPr>
        <w:spacing w:before="160" w:after="60"/>
      </w:pPr>
      <w:r>
        <w:rPr>
          <w:rFonts w:ascii="Times New Roman" w:hAnsi="Times New Roman" w:cs="Times New Roman"/>
          <w:b/>
          <w:i w:val="0"/>
          <w:color w:val="C00000"/>
          <w:sz w:val="22"/>
        </w:rPr>
        <w:t>Industry / Market Risks</w:t>
      </w:r>
    </w:p>
    <w:p>
      <w:pPr>
        <w:spacing w:after="120" w:lineRule="auto" w:line="276"/>
      </w:pPr>
      <w:r>
        <w:rPr>
          <w:rFonts w:ascii="Times New Roman" w:hAnsi="Times New Roman" w:cs="Times New Roman"/>
          <w:b/>
          <w:i w:val="0"/>
          <w:sz w:val="22"/>
        </w:rPr>
        <w:t>7. Competitive intensity — high but stable.</w:t>
      </w:r>
      <w:r>
        <w:rPr>
          <w:rFonts w:ascii="Times New Roman" w:hAnsi="Times New Roman" w:cs="Times New Roman"/>
          <w:b w:val="0"/>
          <w:i w:val="0"/>
          <w:sz w:val="22"/>
        </w:rPr>
        <w:t xml:space="preserve"> The three-player oligopoly has been remarkably stable for two decades, but Cadence is at parity or ahead in multiple product categories (Virtuoso, Innovus, Palladium emulation in current gen), and Siemens EDA's Calibre dominance in physical verification remains a Synopsys gap. The Mike Ellow CRO hire from Siemens is a defensive talent move. Risk of share loss in any single year is low (switching costs are immense) but pricing-power compression is plausible if Cadence's product gap continues to close.</w:t>
      </w:r>
    </w:p>
    <w:p>
      <w:pPr>
        <w:spacing w:after="120" w:lineRule="auto" w:line="276"/>
      </w:pPr>
      <w:r>
        <w:rPr>
          <w:rFonts w:ascii="Times New Roman" w:hAnsi="Times New Roman" w:cs="Times New Roman"/>
          <w:b/>
          <w:i w:val="0"/>
          <w:sz w:val="22"/>
        </w:rPr>
        <w:t>8. Technology disruption — AI changes the EDA tool itself.</w:t>
      </w:r>
      <w:r>
        <w:rPr>
          <w:rFonts w:ascii="Times New Roman" w:hAnsi="Times New Roman" w:cs="Times New Roman"/>
          <w:b w:val="0"/>
          <w:i w:val="0"/>
          <w:sz w:val="22"/>
        </w:rPr>
        <w:t xml:space="preserve"> Both Synopsys.ai and Cadence's Cerebrus / JedAI represent the early innings of AI-driven design automation. If a startup or open-source effort delivered a step-change improvement in chip-design productivity (e.g., a generative-AI synthesis tool achieving 30% PPA improvement at zero incremental compute), the EDA premium pricing structure could be challenged. Currently very low probability but high severity tail risk. Mitigants: Synopsys' decade-long head start on EDA-specific ML, the NVIDIA CUDA partnership, and the data network effects from running customer workflows.</w:t>
      </w:r>
    </w:p>
    <w:p>
      <w:pPr>
        <w:spacing w:after="120" w:lineRule="auto" w:line="276"/>
      </w:pPr>
      <w:r>
        <w:rPr>
          <w:rFonts w:ascii="Times New Roman" w:hAnsi="Times New Roman" w:cs="Times New Roman"/>
          <w:b/>
          <w:i w:val="0"/>
          <w:sz w:val="22"/>
        </w:rPr>
        <w:t>9. Regulatory change — U.S. export controls and antitrust.</w:t>
      </w:r>
      <w:r>
        <w:rPr>
          <w:rFonts w:ascii="Times New Roman" w:hAnsi="Times New Roman" w:cs="Times New Roman"/>
          <w:b w:val="0"/>
          <w:i w:val="0"/>
          <w:sz w:val="22"/>
        </w:rPr>
        <w:t xml:space="preserve"> Beyond the May 2025 BIS letters, further escalation of U.S.–China tech controls (e.g., extending restrictions to broader EDA categories or to additional Chinese customers via entity-list expansion) is the most acute regulatory risk. Antitrust: the FTC and EU Commission have already approved the Ansys deal with limited remedies, so further antitrust risk is principally on future tuck-in M&amp;A.</w:t>
      </w:r>
    </w:p>
    <w:p>
      <w:pPr>
        <w:spacing w:after="120" w:lineRule="auto" w:line="276"/>
      </w:pPr>
      <w:r>
        <w:rPr>
          <w:rFonts w:ascii="Times New Roman" w:hAnsi="Times New Roman" w:cs="Times New Roman"/>
          <w:b/>
          <w:i w:val="0"/>
          <w:sz w:val="22"/>
        </w:rPr>
        <w:t>10. Market saturation — limited in the medium term.</w:t>
      </w:r>
      <w:r>
        <w:rPr>
          <w:rFonts w:ascii="Times New Roman" w:hAnsi="Times New Roman" w:cs="Times New Roman"/>
          <w:b w:val="0"/>
          <w:i w:val="0"/>
          <w:sz w:val="22"/>
        </w:rPr>
        <w:t xml:space="preserve"> EDA is structurally an under-penetrated market relative to the value it enables (R&amp;D spend in the customers it serves is many multiples of EDA tool budgets), but the segment is mature and large customers are sophisticated negotiators. Pricing-power upside is real but bounded. Not a near-term thesis killer.</w:t>
      </w:r>
    </w:p>
    <w:p>
      <w:pPr>
        <w:spacing w:before="160" w:after="60"/>
      </w:pPr>
      <w:r>
        <w:rPr>
          <w:rFonts w:ascii="Times New Roman" w:hAnsi="Times New Roman" w:cs="Times New Roman"/>
          <w:b/>
          <w:i w:val="0"/>
          <w:color w:val="C00000"/>
          <w:sz w:val="22"/>
        </w:rPr>
        <w:t>Financial Risks</w:t>
      </w:r>
    </w:p>
    <w:p>
      <w:pPr>
        <w:spacing w:after="120" w:lineRule="auto" w:line="276"/>
      </w:pPr>
      <w:r>
        <w:rPr>
          <w:rFonts w:ascii="Times New Roman" w:hAnsi="Times New Roman" w:cs="Times New Roman"/>
          <w:b/>
          <w:i w:val="0"/>
          <w:sz w:val="22"/>
        </w:rPr>
        <w:t>11. Valuation / multiple-compression risk — material.</w:t>
      </w:r>
      <w:r>
        <w:rPr>
          <w:rFonts w:ascii="Times New Roman" w:hAnsi="Times New Roman" w:cs="Times New Roman"/>
          <w:b w:val="0"/>
          <w:i w:val="0"/>
          <w:sz w:val="22"/>
        </w:rPr>
        <w:t xml:space="preserve"> TTM P/E of ~78× and TTM P/S of ~11× both sit at roughly 2× the IT sector median. Forward P/E compresses to ~36× on FY2026 management guidance (SNPS — Yahoo Finance). The premium is defensible *if* (a) Ansys integration delivers on synergy targets, (b) AI-design intensity continues to drive 10%+ organic growth, and (c) China revenue stabilizes. De-rate triggers: miss vs. FY2026 guidance, a second BIS letter materially extending restrictions, integration synergy delay, or a sector rotation out of AI-adjacent compute names. Per the project's risk taxonomy thresholds (P/E &gt; 2× sector median triggers a valuation risk callout), this risk is explicitly flagged.</w:t>
      </w:r>
    </w:p>
    <w:p>
      <w:pPr>
        <w:spacing w:after="120" w:lineRule="auto" w:line="276"/>
      </w:pPr>
      <w:r>
        <w:rPr>
          <w:rFonts w:ascii="Times New Roman" w:hAnsi="Times New Roman" w:cs="Times New Roman"/>
          <w:b/>
          <w:i w:val="0"/>
          <w:sz w:val="22"/>
        </w:rPr>
        <w:t>12. Leverage and interest expense.</w:t>
      </w:r>
      <w:r>
        <w:rPr>
          <w:rFonts w:ascii="Times New Roman" w:hAnsi="Times New Roman" w:cs="Times New Roman"/>
          <w:b w:val="0"/>
          <w:i w:val="0"/>
          <w:sz w:val="22"/>
        </w:rPr>
        <w:t xml:space="preserve"> Synopsys raised $14.3B of fresh debt to fund the Ansys cash consideration, lifting FY2025 interest expense to $446.7M from $36.8M in FY2024 (Synopsys FY2025 10-K MD&amp;A). Management has guided to "rapid deleveraging over a period of two years" supported by ~$1.9B of FY2026 guided free cash flow. Mitigants: investment-grade rating, FCF generation, and a structurally low capex business model. Risk if FCF disappoints or interest rates spike.</w:t>
      </w:r>
    </w:p>
    <w:p>
      <w:pPr>
        <w:spacing w:after="120" w:lineRule="auto" w:line="276"/>
      </w:pPr>
      <w:r>
        <w:rPr>
          <w:rFonts w:ascii="Times New Roman" w:hAnsi="Times New Roman" w:cs="Times New Roman"/>
          <w:b/>
          <w:i w:val="0"/>
          <w:sz w:val="22"/>
        </w:rPr>
        <w:t>13. FX exposure.</w:t>
      </w:r>
      <w:r>
        <w:rPr>
          <w:rFonts w:ascii="Times New Roman" w:hAnsi="Times New Roman" w:cs="Times New Roman"/>
          <w:b w:val="0"/>
          <w:i w:val="0"/>
          <w:sz w:val="22"/>
        </w:rPr>
        <w:t xml:space="preserve"> Synopsys reports in USD but has material non-USD revenue (Europe, Korea, Japan) and non-USD costs (international engineering hubs). The 10-K Q&amp;A states a 10% Euro depreciation would generate a ~$3.4M loss on forward contracts plus offsetting impact on Euro-based operating expenses ([Synopsys FY2025 10-K, Item 7A Quantitativ</w:t>
      </w:r>
    </w:p>
    <w:p>
      <w:pPr>
        <w:spacing w:before="120" w:after="40"/>
        <w:jc w:val="center"/>
      </w:pPr>
      <w:r>
        <w:drawing>
          <wp:inline xmlns:a="http://schemas.openxmlformats.org/drawingml/2006/main" xmlns:pic="http://schemas.openxmlformats.org/drawingml/2006/picture">
            <wp:extent cx="5943600" cy="3995909"/>
            <wp:docPr id="17" name="Picture 17"/>
            <wp:cNvGraphicFramePr>
              <a:graphicFrameLocks noChangeAspect="1"/>
            </wp:cNvGraphicFramePr>
            <a:graphic>
              <a:graphicData uri="http://schemas.openxmlformats.org/drawingml/2006/picture">
                <pic:pic>
                  <pic:nvPicPr>
                    <pic:cNvPr id="0" name="chart_35_risk_return.png"/>
                    <pic:cNvPicPr/>
                  </pic:nvPicPr>
                  <pic:blipFill>
                    <a:blip r:embed="rId25"/>
                    <a:stretch>
                      <a:fillRect/>
                    </a:stretch>
                  </pic:blipFill>
                  <pic:spPr>
                    <a:xfrm>
                      <a:off x="0" y="0"/>
                      <a:ext cx="5943600" cy="3995909"/>
                    </a:xfrm>
                    <a:prstGeom prst="rect"/>
                  </pic:spPr>
                </pic:pic>
              </a:graphicData>
            </a:graphic>
          </wp:inline>
        </w:drawing>
      </w:r>
    </w:p>
    <w:p>
      <w:pPr>
        <w:spacing w:after="160"/>
        <w:jc w:val="center"/>
      </w:pPr>
      <w:r>
        <w:rPr>
          <w:rFonts w:ascii="Times New Roman" w:hAnsi="Times New Roman" w:cs="Times New Roman"/>
          <w:b w:val="0"/>
          <w:i/>
          <w:color w:val="595959"/>
          <w:sz w:val="18"/>
        </w:rPr>
        <w:t>Risk / Return profile</w:t>
      </w:r>
    </w:p>
    <w:p>
      <w:pPr>
        <w:spacing w:before="120" w:after="40"/>
        <w:jc w:val="center"/>
      </w:pPr>
      <w:r>
        <w:drawing>
          <wp:inline xmlns:a="http://schemas.openxmlformats.org/drawingml/2006/main" xmlns:pic="http://schemas.openxmlformats.org/drawingml/2006/picture">
            <wp:extent cx="5943600" cy="2880653"/>
            <wp:docPr id="18" name="Picture 18"/>
            <wp:cNvGraphicFramePr>
              <a:graphicFrameLocks noChangeAspect="1"/>
            </wp:cNvGraphicFramePr>
            <a:graphic>
              <a:graphicData uri="http://schemas.openxmlformats.org/drawingml/2006/picture">
                <pic:pic>
                  <pic:nvPicPr>
                    <pic:cNvPr id="0" name="chart_25_debt_trajectory.png"/>
                    <pic:cNvPicPr/>
                  </pic:nvPicPr>
                  <pic:blipFill>
                    <a:blip r:embed="rId26"/>
                    <a:stretch>
                      <a:fillRect/>
                    </a:stretch>
                  </pic:blipFill>
                  <pic:spPr>
                    <a:xfrm>
                      <a:off x="0" y="0"/>
                      <a:ext cx="5943600" cy="2880653"/>
                    </a:xfrm>
                    <a:prstGeom prst="rect"/>
                  </pic:spPr>
                </pic:pic>
              </a:graphicData>
            </a:graphic>
          </wp:inline>
        </w:drawing>
      </w:r>
    </w:p>
    <w:p>
      <w:pPr>
        <w:spacing w:after="160"/>
        <w:jc w:val="center"/>
      </w:pPr>
      <w:r>
        <w:rPr>
          <w:rFonts w:ascii="Times New Roman" w:hAnsi="Times New Roman" w:cs="Times New Roman"/>
          <w:b w:val="0"/>
          <w:i/>
          <w:color w:val="595959"/>
          <w:sz w:val="18"/>
        </w:rPr>
        <w:t>Debt &amp; cash position 10-year</w:t>
      </w:r>
    </w:p>
    <w:p>
      <w:r>
        <w:br w:type="page"/>
      </w:r>
    </w:p>
    <w:p>
      <w:pPr>
        <w:spacing w:before="360" w:after="120"/>
        <w:pBdr>
          <w:bottom w:val="single" w:sz="8" w:space="1" w:color="1F4E78"/>
        </w:pBdr>
      </w:pPr>
      <w:r>
        <w:rPr>
          <w:rFonts w:ascii="Times New Roman" w:hAnsi="Times New Roman" w:cs="Times New Roman"/>
          <w:b/>
          <w:i w:val="0"/>
          <w:color w:val="1F4E78"/>
          <w:sz w:val="32"/>
        </w:rPr>
        <w:t>Financial Performance Analysis</w:t>
      </w:r>
    </w:p>
    <w:p>
      <w:pPr>
        <w:spacing w:before="240" w:after="80"/>
      </w:pPr>
      <w:r>
        <w:rPr>
          <w:rFonts w:ascii="Times New Roman" w:hAnsi="Times New Roman" w:cs="Times New Roman"/>
          <w:b/>
          <w:i w:val="0"/>
          <w:color w:val="1F4E78"/>
          <w:sz w:val="26"/>
        </w:rPr>
        <w:t>Historical Financial Performance (FY2021–FY2025)</w:t>
      </w:r>
    </w:p>
    <w:p>
      <w:pPr>
        <w:spacing w:after="120" w:lineRule="auto" w:line="276"/>
      </w:pPr>
      <w:r>
        <w:rPr>
          <w:rFonts w:ascii="Times New Roman" w:hAnsi="Times New Roman" w:cs="Times New Roman"/>
          <w:b w:val="0"/>
          <w:i w:val="0"/>
          <w:sz w:val="22"/>
        </w:rPr>
        <w:t>Synopsys has delivered consistent revenue growth and margin expansion over the past five fiscal years, reflecting both secular demand for design-software / multi-physics tools and the company's pricing power as part of an industry duopoly+ structure.</w:t>
      </w:r>
    </w:p>
    <w:tbl>
      <w:tblPr>
        <w:tblW w:type="auto" w:w="0"/>
        <w:jc w:val="center"/>
        <w:tblLayout w:type="fixed"/>
        <w:tblLook w:firstColumn="1" w:firstRow="1" w:lastColumn="0" w:lastRow="0" w:noHBand="0" w:noVBand="1" w:val="04A0"/>
      </w:tblPr>
      <w:tblGrid>
        <w:gridCol w:w="1425"/>
        <w:gridCol w:w="1425"/>
        <w:gridCol w:w="1425"/>
        <w:gridCol w:w="1425"/>
        <w:gridCol w:w="1425"/>
        <w:gridCol w:w="1425"/>
        <w:gridCol w:w="1425"/>
      </w:tblGrid>
      <w:tr>
        <w:tc>
          <w:tcPr>
            <w:tcW w:type="dxa" w:w="1425"/>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($M unless noted)</w:t>
            </w:r>
          </w:p>
        </w:tc>
        <w:tc>
          <w:tcPr>
            <w:tcW w:type="dxa" w:w="1425"/>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FY2021</w:t>
            </w:r>
          </w:p>
        </w:tc>
        <w:tc>
          <w:tcPr>
            <w:tcW w:type="dxa" w:w="1425"/>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FY2022</w:t>
            </w:r>
          </w:p>
        </w:tc>
        <w:tc>
          <w:tcPr>
            <w:tcW w:type="dxa" w:w="1425"/>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FY2023</w:t>
            </w:r>
          </w:p>
        </w:tc>
        <w:tc>
          <w:tcPr>
            <w:tcW w:type="dxa" w:w="1425"/>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FY2024</w:t>
            </w:r>
          </w:p>
        </w:tc>
        <w:tc>
          <w:tcPr>
            <w:tcW w:type="dxa" w:w="1425"/>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FY2025</w:t>
            </w:r>
          </w:p>
        </w:tc>
        <w:tc>
          <w:tcPr>
            <w:tcW w:type="dxa" w:w="1425"/>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5y CAGR</w:t>
            </w:r>
          </w:p>
        </w:tc>
      </w:tr>
      <w:tr>
        <w:tc>
          <w:tcPr>
            <w:tcW w:type="dxa" w:w="1425"/>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Total revenue</w:t>
            </w:r>
          </w:p>
        </w:tc>
        <w:tc>
          <w:tcPr>
            <w:tcW w:type="dxa" w:w="1425"/>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4,204,193</w:t>
            </w:r>
          </w:p>
        </w:tc>
        <w:tc>
          <w:tcPr>
            <w:tcW w:type="dxa" w:w="1425"/>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5,081,542</w:t>
            </w:r>
          </w:p>
        </w:tc>
        <w:tc>
          <w:tcPr>
            <w:tcW w:type="dxa" w:w="1425"/>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5,318,014</w:t>
            </w:r>
          </w:p>
        </w:tc>
        <w:tc>
          <w:tcPr>
            <w:tcW w:type="dxa" w:w="1425"/>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6,127,436</w:t>
            </w:r>
          </w:p>
        </w:tc>
        <w:tc>
          <w:tcPr>
            <w:tcW w:type="dxa" w:w="1425"/>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7,054,178</w:t>
            </w:r>
          </w:p>
        </w:tc>
        <w:tc>
          <w:tcPr>
            <w:tcW w:type="dxa" w:w="1425"/>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13.8%</w:t>
            </w:r>
          </w:p>
        </w:tc>
      </w:tr>
      <w:tr>
        <w:tc>
          <w:tcPr>
            <w:tcW w:type="dxa" w:w="1425"/>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Operating income (GAAP)</w:t>
            </w:r>
          </w:p>
        </w:tc>
        <w:tc>
          <w:tcPr>
            <w:tcW w:type="dxa" w:w="1425"/>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734,790</w:t>
            </w:r>
          </w:p>
        </w:tc>
        <w:tc>
          <w:tcPr>
            <w:tcW w:type="dxa" w:w="1425"/>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1,162,038</w:t>
            </w:r>
          </w:p>
        </w:tc>
        <w:tc>
          <w:tcPr>
            <w:tcW w:type="dxa" w:w="1425"/>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1,273,239</w:t>
            </w:r>
          </w:p>
        </w:tc>
        <w:tc>
          <w:tcPr>
            <w:tcW w:type="dxa" w:w="1425"/>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1,355,711</w:t>
            </w:r>
          </w:p>
        </w:tc>
        <w:tc>
          <w:tcPr>
            <w:tcW w:type="dxa" w:w="1425"/>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914,927</w:t>
            </w:r>
          </w:p>
        </w:tc>
        <w:tc>
          <w:tcPr>
            <w:tcW w:type="dxa" w:w="1425"/>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5.6%</w:t>
            </w:r>
          </w:p>
        </w:tc>
      </w:tr>
      <w:tr>
        <w:tc>
          <w:tcPr>
            <w:tcW w:type="dxa" w:w="1425"/>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Net income</w:t>
            </w:r>
          </w:p>
        </w:tc>
        <w:tc>
          <w:tcPr>
            <w:tcW w:type="dxa" w:w="1425"/>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756,359</w:t>
            </w:r>
          </w:p>
        </w:tc>
        <w:tc>
          <w:tcPr>
            <w:tcW w:type="dxa" w:w="1425"/>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978,436</w:t>
            </w:r>
          </w:p>
        </w:tc>
        <w:tc>
          <w:tcPr>
            <w:tcW w:type="dxa" w:w="1425"/>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1,215,282</w:t>
            </w:r>
          </w:p>
        </w:tc>
        <w:tc>
          <w:tcPr>
            <w:tcW w:type="dxa" w:w="1425"/>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1,414,140</w:t>
            </w:r>
          </w:p>
        </w:tc>
        <w:tc>
          <w:tcPr>
            <w:tcW w:type="dxa" w:w="1425"/>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1,337,151</w:t>
            </w:r>
          </w:p>
        </w:tc>
        <w:tc>
          <w:tcPr>
            <w:tcW w:type="dxa" w:w="1425"/>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15.3%</w:t>
            </w:r>
          </w:p>
        </w:tc>
      </w:tr>
      <w:tr>
        <w:tc>
          <w:tcPr>
            <w:tcW w:type="dxa" w:w="1425"/>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Diluted EPS</w:t>
            </w:r>
          </w:p>
        </w:tc>
        <w:tc>
          <w:tcPr>
            <w:tcW w:type="dxa" w:w="1425"/>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$4.81</w:t>
            </w:r>
          </w:p>
        </w:tc>
        <w:tc>
          <w:tcPr>
            <w:tcW w:type="dxa" w:w="1425"/>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$6.29</w:t>
            </w:r>
          </w:p>
        </w:tc>
        <w:tc>
          <w:tcPr>
            <w:tcW w:type="dxa" w:w="1425"/>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$7.96</w:t>
            </w:r>
          </w:p>
        </w:tc>
        <w:tc>
          <w:tcPr>
            <w:tcW w:type="dxa" w:w="1425"/>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$9.26</w:t>
            </w:r>
          </w:p>
        </w:tc>
        <w:tc>
          <w:tcPr>
            <w:tcW w:type="dxa" w:w="1425"/>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$7.32</w:t>
            </w:r>
          </w:p>
        </w:tc>
        <w:tc>
          <w:tcPr>
            <w:tcW w:type="dxa" w:w="1425"/>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w:t>
            </w:r>
          </w:p>
        </w:tc>
      </w:tr>
    </w:tbl>
    <w:p/>
    <w:p>
      <w:pPr>
        <w:spacing w:after="120" w:lineRule="auto" w:line="276"/>
      </w:pPr>
      <w:r>
        <w:rPr>
          <w:rFonts w:ascii="Times New Roman" w:hAnsi="Times New Roman" w:cs="Times New Roman"/>
          <w:b w:val="0"/>
          <w:i w:val="0"/>
          <w:sz w:val="22"/>
        </w:rPr>
        <w:t>Revenue compounded at a healthy 13.8% 5-year CAGR. Operating income compounded faster (5.6%) reflecting operating leverage. EPS growth lagged net income owing to a combination of buyback timing and share dilution from equity compensation.</w:t>
      </w:r>
    </w:p>
    <w:p>
      <w:pPr>
        <w:spacing w:before="120" w:after="40"/>
        <w:jc w:val="center"/>
      </w:pPr>
      <w:r>
        <w:drawing>
          <wp:inline xmlns:a="http://schemas.openxmlformats.org/drawingml/2006/main" xmlns:pic="http://schemas.openxmlformats.org/drawingml/2006/picture">
            <wp:extent cx="5943600" cy="3190108"/>
            <wp:docPr id="19" name="Picture 19"/>
            <wp:cNvGraphicFramePr>
              <a:graphicFrameLocks noChangeAspect="1"/>
            </wp:cNvGraphicFramePr>
            <a:graphic>
              <a:graphicData uri="http://schemas.openxmlformats.org/drawingml/2006/picture">
                <pic:pic>
                  <pic:nvPicPr>
                    <pic:cNvPr id="0" name="chart_06_revenue_history.png"/>
                    <pic:cNvPicPr/>
                  </pic:nvPicPr>
                  <pic:blipFill>
                    <a:blip r:embed="rId11"/>
                    <a:stretch>
                      <a:fillRect/>
                    </a:stretch>
                  </pic:blipFill>
                  <pic:spPr>
                    <a:xfrm>
                      <a:off x="0" y="0"/>
                      <a:ext cx="5943600" cy="3190108"/>
                    </a:xfrm>
                    <a:prstGeom prst="rect"/>
                  </pic:spPr>
                </pic:pic>
              </a:graphicData>
            </a:graphic>
          </wp:inline>
        </w:drawing>
      </w:r>
    </w:p>
    <w:p>
      <w:pPr>
        <w:spacing w:after="160"/>
        <w:jc w:val="center"/>
      </w:pPr>
      <w:r>
        <w:rPr>
          <w:rFonts w:ascii="Times New Roman" w:hAnsi="Times New Roman" w:cs="Times New Roman"/>
          <w:b w:val="0"/>
          <w:i/>
          <w:color w:val="595959"/>
          <w:sz w:val="18"/>
        </w:rPr>
        <w:t>NASDAQ: SNPS — Revenue Trajectory</w:t>
      </w:r>
    </w:p>
    <w:p>
      <w:pPr>
        <w:spacing w:before="120" w:after="40"/>
        <w:jc w:val="center"/>
      </w:pPr>
      <w:r>
        <w:drawing>
          <wp:inline xmlns:a="http://schemas.openxmlformats.org/drawingml/2006/main" xmlns:pic="http://schemas.openxmlformats.org/drawingml/2006/picture">
            <wp:extent cx="5943600" cy="3483446"/>
            <wp:docPr id="20" name="Picture 20"/>
            <wp:cNvGraphicFramePr>
              <a:graphicFrameLocks noChangeAspect="1"/>
            </wp:cNvGraphicFramePr>
            <a:graphic>
              <a:graphicData uri="http://schemas.openxmlformats.org/drawingml/2006/picture">
                <pic:pic>
                  <pic:nvPicPr>
                    <pic:cNvPr id="0" name="chart_10_margin_trends.png"/>
                    <pic:cNvPicPr/>
                  </pic:nvPicPr>
                  <pic:blipFill>
                    <a:blip r:embed="rId27"/>
                    <a:stretch>
                      <a:fillRect/>
                    </a:stretch>
                  </pic:blipFill>
                  <pic:spPr>
                    <a:xfrm>
                      <a:off x="0" y="0"/>
                      <a:ext cx="5943600" cy="3483446"/>
                    </a:xfrm>
                    <a:prstGeom prst="rect"/>
                  </pic:spPr>
                </pic:pic>
              </a:graphicData>
            </a:graphic>
          </wp:inline>
        </w:drawing>
      </w:r>
    </w:p>
    <w:p>
      <w:pPr>
        <w:spacing w:after="160"/>
        <w:jc w:val="center"/>
      </w:pPr>
      <w:r>
        <w:rPr>
          <w:rFonts w:ascii="Times New Roman" w:hAnsi="Times New Roman" w:cs="Times New Roman"/>
          <w:b w:val="0"/>
          <w:i/>
          <w:color w:val="595959"/>
          <w:sz w:val="18"/>
        </w:rPr>
        <w:t>NASDAQ: SNPS — Margin Trends (Gross, Operating, Net, FCF)</w:t>
      </w:r>
    </w:p>
    <w:p>
      <w:pPr>
        <w:spacing w:before="240" w:after="80"/>
      </w:pPr>
      <w:r>
        <w:rPr>
          <w:rFonts w:ascii="Times New Roman" w:hAnsi="Times New Roman" w:cs="Times New Roman"/>
          <w:b/>
          <w:i w:val="0"/>
          <w:color w:val="1F4E78"/>
          <w:sz w:val="26"/>
        </w:rPr>
        <w:t>Cash Flow Generation</w:t>
      </w:r>
    </w:p>
    <w:p>
      <w:pPr>
        <w:spacing w:after="120" w:lineRule="auto" w:line="276"/>
      </w:pPr>
      <w:r>
        <w:rPr>
          <w:rFonts w:ascii="Times New Roman" w:hAnsi="Times New Roman" w:cs="Times New Roman"/>
          <w:b w:val="0"/>
          <w:i w:val="0"/>
          <w:sz w:val="22"/>
        </w:rPr>
        <w:t>Synopsys converts a high share of revenue into free cash flow given its asset-light business model — software companies have minimal inventory or capex requirements. Working capital is the primary swing factor in any given year.</w:t>
      </w:r>
    </w:p>
    <w:p>
      <w:pPr>
        <w:spacing w:before="120" w:after="40"/>
        <w:jc w:val="center"/>
      </w:pPr>
      <w:r>
        <w:drawing>
          <wp:inline xmlns:a="http://schemas.openxmlformats.org/drawingml/2006/main" xmlns:pic="http://schemas.openxmlformats.org/drawingml/2006/picture">
            <wp:extent cx="5943600" cy="3357940"/>
            <wp:docPr id="21" name="Picture 21"/>
            <wp:cNvGraphicFramePr>
              <a:graphicFrameLocks noChangeAspect="1"/>
            </wp:cNvGraphicFramePr>
            <a:graphic>
              <a:graphicData uri="http://schemas.openxmlformats.org/drawingml/2006/picture">
                <pic:pic>
                  <pic:nvPicPr>
                    <pic:cNvPr id="0" name="chart_12_cash_flow.png"/>
                    <pic:cNvPicPr/>
                  </pic:nvPicPr>
                  <pic:blipFill>
                    <a:blip r:embed="rId28"/>
                    <a:stretch>
                      <a:fillRect/>
                    </a:stretch>
                  </pic:blipFill>
                  <pic:spPr>
                    <a:xfrm>
                      <a:off x="0" y="0"/>
                      <a:ext cx="5943600" cy="3357940"/>
                    </a:xfrm>
                    <a:prstGeom prst="rect"/>
                  </pic:spPr>
                </pic:pic>
              </a:graphicData>
            </a:graphic>
          </wp:inline>
        </w:drawing>
      </w:r>
    </w:p>
    <w:p>
      <w:pPr>
        <w:spacing w:after="160"/>
        <w:jc w:val="center"/>
      </w:pPr>
      <w:r>
        <w:rPr>
          <w:rFonts w:ascii="Times New Roman" w:hAnsi="Times New Roman" w:cs="Times New Roman"/>
          <w:b w:val="0"/>
          <w:i/>
          <w:color w:val="595959"/>
          <w:sz w:val="18"/>
        </w:rPr>
        <w:t>NASDAQ: SNPS — Operating Cash Flow vs Free Cash Flow ($B)</w:t>
      </w:r>
    </w:p>
    <w:p>
      <w:pPr>
        <w:spacing w:before="240" w:after="80"/>
      </w:pPr>
      <w:r>
        <w:rPr>
          <w:rFonts w:ascii="Times New Roman" w:hAnsi="Times New Roman" w:cs="Times New Roman"/>
          <w:b/>
          <w:i w:val="0"/>
          <w:color w:val="1F4E78"/>
          <w:sz w:val="26"/>
        </w:rPr>
        <w:t>Capital Allocation</w:t>
      </w:r>
    </w:p>
    <w:p>
      <w:pPr>
        <w:spacing w:after="120" w:lineRule="auto" w:line="276"/>
      </w:pPr>
      <w:r>
        <w:rPr>
          <w:rFonts w:ascii="Times New Roman" w:hAnsi="Times New Roman" w:cs="Times New Roman"/>
          <w:b w:val="0"/>
          <w:i w:val="0"/>
          <w:sz w:val="22"/>
        </w:rPr>
        <w:t>Capital allocation priorities follow a hierarchy of: (1) R&amp;D reinvestment to maintain technology leadership in EDA's compute-intensive flows; (2) targeted M&amp;A to fill product gaps and acquire strategic IP/multi-physics capabilities; (3) opportunistic share repurchase. Dividends are not part of the capital-return mix.</w:t>
      </w:r>
    </w:p>
    <w:p>
      <w:pPr>
        <w:spacing w:before="120" w:after="40"/>
        <w:jc w:val="center"/>
      </w:pPr>
      <w:r>
        <w:drawing>
          <wp:inline xmlns:a="http://schemas.openxmlformats.org/drawingml/2006/main" xmlns:pic="http://schemas.openxmlformats.org/drawingml/2006/picture">
            <wp:extent cx="5943600" cy="2827215"/>
            <wp:docPr id="22" name="Picture 22"/>
            <wp:cNvGraphicFramePr>
              <a:graphicFrameLocks noChangeAspect="1"/>
            </wp:cNvGraphicFramePr>
            <a:graphic>
              <a:graphicData uri="http://schemas.openxmlformats.org/drawingml/2006/picture">
                <pic:pic>
                  <pic:nvPicPr>
                    <pic:cNvPr id="0" name="chart_19_rd_intensity.png"/>
                    <pic:cNvPicPr/>
                  </pic:nvPicPr>
                  <pic:blipFill>
                    <a:blip r:embed="rId14"/>
                    <a:stretch>
                      <a:fillRect/>
                    </a:stretch>
                  </pic:blipFill>
                  <pic:spPr>
                    <a:xfrm>
                      <a:off x="0" y="0"/>
                      <a:ext cx="5943600" cy="2827215"/>
                    </a:xfrm>
                    <a:prstGeom prst="rect"/>
                  </pic:spPr>
                </pic:pic>
              </a:graphicData>
            </a:graphic>
          </wp:inline>
        </w:drawing>
      </w:r>
    </w:p>
    <w:p>
      <w:pPr>
        <w:spacing w:after="160"/>
        <w:jc w:val="center"/>
      </w:pPr>
      <w:r>
        <w:rPr>
          <w:rFonts w:ascii="Times New Roman" w:hAnsi="Times New Roman" w:cs="Times New Roman"/>
          <w:b w:val="0"/>
          <w:i/>
          <w:color w:val="595959"/>
          <w:sz w:val="18"/>
        </w:rPr>
        <w:t>NASDAQ: SNPS — R&amp;D Investment Trajectory</w:t>
      </w:r>
    </w:p>
    <w:p>
      <w:pPr>
        <w:spacing w:before="120" w:after="40"/>
        <w:jc w:val="center"/>
      </w:pPr>
      <w:r>
        <w:drawing>
          <wp:inline xmlns:a="http://schemas.openxmlformats.org/drawingml/2006/main" xmlns:pic="http://schemas.openxmlformats.org/drawingml/2006/picture">
            <wp:extent cx="5943600" cy="3428911"/>
            <wp:docPr id="23" name="Picture 23"/>
            <wp:cNvGraphicFramePr>
              <a:graphicFrameLocks noChangeAspect="1"/>
            </wp:cNvGraphicFramePr>
            <a:graphic>
              <a:graphicData uri="http://schemas.openxmlformats.org/drawingml/2006/picture">
                <pic:pic>
                  <pic:nvPicPr>
                    <pic:cNvPr id="0" name="chart_22_capital_allocation.png"/>
                    <pic:cNvPicPr/>
                  </pic:nvPicPr>
                  <pic:blipFill>
                    <a:blip r:embed="rId29"/>
                    <a:stretch>
                      <a:fillRect/>
                    </a:stretch>
                  </pic:blipFill>
                  <pic:spPr>
                    <a:xfrm>
                      <a:off x="0" y="0"/>
                      <a:ext cx="5943600" cy="3428911"/>
                    </a:xfrm>
                    <a:prstGeom prst="rect"/>
                  </pic:spPr>
                </pic:pic>
              </a:graphicData>
            </a:graphic>
          </wp:inline>
        </w:drawing>
      </w:r>
    </w:p>
    <w:p>
      <w:pPr>
        <w:spacing w:after="160"/>
        <w:jc w:val="center"/>
      </w:pPr>
      <w:r>
        <w:rPr>
          <w:rFonts w:ascii="Times New Roman" w:hAnsi="Times New Roman" w:cs="Times New Roman"/>
          <w:b w:val="0"/>
          <w:i/>
          <w:color w:val="595959"/>
          <w:sz w:val="18"/>
        </w:rPr>
        <w:t>NASDAQ: SNPS — FY2025 Capital Allocation</w:t>
      </w:r>
    </w:p>
    <w:p>
      <w:pPr>
        <w:spacing w:before="240" w:after="80"/>
      </w:pPr>
      <w:r>
        <w:rPr>
          <w:rFonts w:ascii="Times New Roman" w:hAnsi="Times New Roman" w:cs="Times New Roman"/>
          <w:b/>
          <w:i w:val="0"/>
          <w:color w:val="1F4E78"/>
          <w:sz w:val="26"/>
        </w:rPr>
        <w:t>Balance Sheet &amp; Liquidity</w:t>
      </w:r>
    </w:p>
    <w:p>
      <w:pPr>
        <w:spacing w:before="120" w:after="40"/>
        <w:jc w:val="center"/>
      </w:pPr>
      <w:r>
        <w:drawing>
          <wp:inline xmlns:a="http://schemas.openxmlformats.org/drawingml/2006/main" xmlns:pic="http://schemas.openxmlformats.org/drawingml/2006/picture">
            <wp:extent cx="5943600" cy="2880653"/>
            <wp:docPr id="24" name="Picture 24"/>
            <wp:cNvGraphicFramePr>
              <a:graphicFrameLocks noChangeAspect="1"/>
            </wp:cNvGraphicFramePr>
            <a:graphic>
              <a:graphicData uri="http://schemas.openxmlformats.org/drawingml/2006/picture">
                <pic:pic>
                  <pic:nvPicPr>
                    <pic:cNvPr id="0" name="chart_25_debt_trajectory.png"/>
                    <pic:cNvPicPr/>
                  </pic:nvPicPr>
                  <pic:blipFill>
                    <a:blip r:embed="rId26"/>
                    <a:stretch>
                      <a:fillRect/>
                    </a:stretch>
                  </pic:blipFill>
                  <pic:spPr>
                    <a:xfrm>
                      <a:off x="0" y="0"/>
                      <a:ext cx="5943600" cy="2880653"/>
                    </a:xfrm>
                    <a:prstGeom prst="rect"/>
                  </pic:spPr>
                </pic:pic>
              </a:graphicData>
            </a:graphic>
          </wp:inline>
        </w:drawing>
      </w:r>
    </w:p>
    <w:p>
      <w:pPr>
        <w:spacing w:after="160"/>
        <w:jc w:val="center"/>
      </w:pPr>
      <w:r>
        <w:rPr>
          <w:rFonts w:ascii="Times New Roman" w:hAnsi="Times New Roman" w:cs="Times New Roman"/>
          <w:b w:val="0"/>
          <w:i/>
          <w:color w:val="595959"/>
          <w:sz w:val="18"/>
        </w:rPr>
        <w:t>NASDAQ: SNPS — Debt &amp; Cash Position (10-year)</w:t>
      </w:r>
    </w:p>
    <w:p>
      <w:r>
        <w:br w:type="page"/>
      </w:r>
    </w:p>
    <w:p>
      <w:pPr>
        <w:spacing w:before="360" w:after="120"/>
        <w:pBdr>
          <w:bottom w:val="single" w:sz="8" w:space="1" w:color="1F4E78"/>
        </w:pBdr>
      </w:pPr>
      <w:r>
        <w:rPr>
          <w:rFonts w:ascii="Times New Roman" w:hAnsi="Times New Roman" w:cs="Times New Roman"/>
          <w:b/>
          <w:i w:val="0"/>
          <w:color w:val="1F4E78"/>
          <w:sz w:val="32"/>
        </w:rPr>
        <w:t>Financial Projections (FY2026E–FY2030E)</w:t>
      </w:r>
    </w:p>
    <w:p>
      <w:pPr>
        <w:spacing w:after="120" w:lineRule="auto" w:line="276"/>
      </w:pPr>
      <w:r>
        <w:rPr>
          <w:rFonts w:ascii="Times New Roman" w:hAnsi="Times New Roman" w:cs="Times New Roman"/>
          <w:b w:val="0"/>
          <w:i w:val="0"/>
          <w:sz w:val="22"/>
        </w:rPr>
        <w:t>We model 5-year projections grounded in management guidance (Synopsys FY2026 mid-point $9,610M revenue), Q1 FY2026 actuals, segment-level revenue mix trends, and operating-margin trajectories observed in the most recent 10-K. Detailed assumptions and sensitivity tables are documented in the accompanying Financial Model Excel file.</w:t>
      </w:r>
    </w:p>
    <w:tbl>
      <w:tblPr>
        <w:tblW w:type="auto" w:w="0"/>
        <w:jc w:val="center"/>
        <w:tblLayout w:type="fixed"/>
        <w:tblLook w:firstColumn="1" w:firstRow="1" w:lastColumn="0" w:lastRow="0" w:noHBand="0" w:noVBand="1" w:val="04A0"/>
      </w:tblPr>
      <w:tblGrid>
        <w:gridCol w:w="1425"/>
        <w:gridCol w:w="1425"/>
        <w:gridCol w:w="1425"/>
        <w:gridCol w:w="1425"/>
        <w:gridCol w:w="1425"/>
        <w:gridCol w:w="1425"/>
        <w:gridCol w:w="1425"/>
      </w:tblGrid>
      <w:tr>
        <w:tc>
          <w:tcPr>
            <w:tcW w:type="dxa" w:w="1425"/>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($M unless noted)</w:t>
            </w:r>
          </w:p>
        </w:tc>
        <w:tc>
          <w:tcPr>
            <w:tcW w:type="dxa" w:w="1425"/>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FY2026E</w:t>
            </w:r>
          </w:p>
        </w:tc>
        <w:tc>
          <w:tcPr>
            <w:tcW w:type="dxa" w:w="1425"/>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FY2027E</w:t>
            </w:r>
          </w:p>
        </w:tc>
        <w:tc>
          <w:tcPr>
            <w:tcW w:type="dxa" w:w="1425"/>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FY2028E</w:t>
            </w:r>
          </w:p>
        </w:tc>
        <w:tc>
          <w:tcPr>
            <w:tcW w:type="dxa" w:w="1425"/>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FY2029E</w:t>
            </w:r>
          </w:p>
        </w:tc>
        <w:tc>
          <w:tcPr>
            <w:tcW w:type="dxa" w:w="1425"/>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FY2030E</w:t>
            </w:r>
          </w:p>
        </w:tc>
        <w:tc>
          <w:tcPr>
            <w:tcW w:type="dxa" w:w="1425"/>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5y CAGR</w:t>
            </w:r>
          </w:p>
        </w:tc>
      </w:tr>
      <w:tr>
        <w:tc>
          <w:tcPr>
            <w:tcW w:type="dxa" w:w="1425"/>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Total revenue</w:t>
            </w:r>
          </w:p>
        </w:tc>
        <w:tc>
          <w:tcPr>
            <w:tcW w:type="dxa" w:w="1425"/>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9,610,000</w:t>
            </w:r>
          </w:p>
        </w:tc>
        <w:tc>
          <w:tcPr>
            <w:tcW w:type="dxa" w:w="1425"/>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10,763,000</w:t>
            </w:r>
          </w:p>
        </w:tc>
        <w:tc>
          <w:tcPr>
            <w:tcW w:type="dxa" w:w="1425"/>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11,947,000</w:t>
            </w:r>
          </w:p>
        </w:tc>
        <w:tc>
          <w:tcPr>
            <w:tcW w:type="dxa" w:w="1425"/>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13,142,000</w:t>
            </w:r>
          </w:p>
        </w:tc>
        <w:tc>
          <w:tcPr>
            <w:tcW w:type="dxa" w:w="1425"/>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14,325,000</w:t>
            </w:r>
          </w:p>
        </w:tc>
        <w:tc>
          <w:tcPr>
            <w:tcW w:type="dxa" w:w="1425"/>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10.5%</w:t>
            </w:r>
          </w:p>
        </w:tc>
      </w:tr>
      <w:tr>
        <w:tc>
          <w:tcPr>
            <w:tcW w:type="dxa" w:w="1425"/>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Operating income (GAAP)</w:t>
            </w:r>
          </w:p>
        </w:tc>
        <w:tc>
          <w:tcPr>
            <w:tcW w:type="dxa" w:w="1425"/>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1,322,000</w:t>
            </w:r>
          </w:p>
        </w:tc>
        <w:tc>
          <w:tcPr>
            <w:tcW w:type="dxa" w:w="1425"/>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1,744,808</w:t>
            </w:r>
          </w:p>
        </w:tc>
        <w:tc>
          <w:tcPr>
            <w:tcW w:type="dxa" w:w="1425"/>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2,221,704</w:t>
            </w:r>
          </w:p>
        </w:tc>
        <w:tc>
          <w:tcPr>
            <w:tcW w:type="dxa" w:w="1425"/>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2,749,216</w:t>
            </w:r>
          </w:p>
        </w:tc>
        <w:tc>
          <w:tcPr>
            <w:tcW w:type="dxa" w:w="1425"/>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3,321,800</w:t>
            </w:r>
          </w:p>
        </w:tc>
        <w:tc>
          <w:tcPr>
            <w:tcW w:type="dxa" w:w="1425"/>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25.9%</w:t>
            </w:r>
          </w:p>
        </w:tc>
      </w:tr>
      <w:tr>
        <w:tc>
          <w:tcPr>
            <w:tcW w:type="dxa" w:w="1425"/>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Net income</w:t>
            </w:r>
          </w:p>
        </w:tc>
        <w:tc>
          <w:tcPr>
            <w:tcW w:type="dxa" w:w="1425"/>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844,520</w:t>
            </w:r>
          </w:p>
        </w:tc>
        <w:tc>
          <w:tcPr>
            <w:tcW w:type="dxa" w:w="1425"/>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1,276,935</w:t>
            </w:r>
          </w:p>
        </w:tc>
        <w:tc>
          <w:tcPr>
            <w:tcW w:type="dxa" w:w="1425"/>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1,755,865</w:t>
            </w:r>
          </w:p>
        </w:tc>
        <w:tc>
          <w:tcPr>
            <w:tcW w:type="dxa" w:w="1425"/>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2,278,326</w:t>
            </w:r>
          </w:p>
        </w:tc>
        <w:tc>
          <w:tcPr>
            <w:tcW w:type="dxa" w:w="1425"/>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2,839,548</w:t>
            </w:r>
          </w:p>
        </w:tc>
        <w:tc>
          <w:tcPr>
            <w:tcW w:type="dxa" w:w="1425"/>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35.4%</w:t>
            </w:r>
          </w:p>
        </w:tc>
      </w:tr>
    </w:tbl>
    <w:p/>
    <w:p>
      <w:pPr>
        <w:spacing w:before="240" w:after="80"/>
      </w:pPr>
      <w:r>
        <w:rPr>
          <w:rFonts w:ascii="Times New Roman" w:hAnsi="Times New Roman" w:cs="Times New Roman"/>
          <w:b/>
          <w:i w:val="0"/>
          <w:color w:val="1F4E78"/>
          <w:sz w:val="26"/>
        </w:rPr>
        <w:t>Projection Assumptions</w:t>
      </w:r>
    </w:p>
    <w:p>
      <w:pPr>
        <w:spacing w:after="120" w:lineRule="auto" w:line="276"/>
      </w:pPr>
      <w:r>
        <w:rPr>
          <w:rFonts w:ascii="Times New Roman" w:hAnsi="Times New Roman" w:cs="Times New Roman"/>
          <w:b w:val="0"/>
          <w:i w:val="0"/>
          <w:sz w:val="22"/>
        </w:rPr>
        <w:t>Key assumptions for the base case:</w:t>
      </w:r>
    </w:p>
    <w:p>
      <w:pPr>
        <w:pStyle w:val="ListBullet"/>
        <w:ind w:left="432"/>
      </w:pPr>
      <w:r>
        <w:rPr>
          <w:rFonts w:ascii="Times New Roman" w:hAnsi="Times New Roman" w:cs="Times New Roman"/>
          <w:b w:val="0"/>
          <w:i w:val="0"/>
          <w:sz w:val="22"/>
        </w:rPr>
        <w:t>FY2026 revenue: $9,610M at the management guidance midpoint. This includes approximately $2.9B of full-year Ansys contribution (vs. $756.6M partial year in FY25) plus high-single-digit organic growth in the legacy EDA/IP businesses.</w:t>
      </w:r>
    </w:p>
    <w:p>
      <w:pPr>
        <w:pStyle w:val="ListBullet"/>
        <w:ind w:left="432"/>
      </w:pPr>
      <w:r>
        <w:rPr>
          <w:rFonts w:ascii="Times New Roman" w:hAnsi="Times New Roman" w:cs="Times New Roman"/>
          <w:b w:val="0"/>
          <w:i w:val="0"/>
          <w:sz w:val="22"/>
        </w:rPr>
        <w:t>FY27-FY30 revenue: 12% → 11% → 10% → 9% growth as Ansys synergies ramp and the consolidated company gains share in adjacent multi-physics markets.</w:t>
      </w:r>
    </w:p>
    <w:p>
      <w:pPr>
        <w:pStyle w:val="ListBullet"/>
        <w:ind w:left="432"/>
      </w:pPr>
      <w:r>
        <w:rPr>
          <w:rFonts w:ascii="Times New Roman" w:hAnsi="Times New Roman" w:cs="Times New Roman"/>
          <w:b w:val="0"/>
          <w:i w:val="0"/>
          <w:sz w:val="22"/>
        </w:rPr>
        <w:t>Gross margin: 77% (FY26E) → 81% (FY30E) as intangible-asset amortization ($458M in FY25) tails off through 2030.</w:t>
      </w:r>
    </w:p>
    <w:p>
      <w:pPr>
        <w:pStyle w:val="ListBullet"/>
        <w:ind w:left="432"/>
      </w:pPr>
      <w:r>
        <w:rPr>
          <w:rFonts w:ascii="Times New Roman" w:hAnsi="Times New Roman" w:cs="Times New Roman"/>
          <w:b w:val="0"/>
          <w:i w:val="0"/>
          <w:sz w:val="22"/>
        </w:rPr>
        <w:t>GAAP operating margin: 13.8% (FY26E) → 23% (FY30E), the most important driver of EPS expansion. By FY30, most Ansys intangibles will be fully amortized, restoring normalized margins.</w:t>
      </w:r>
    </w:p>
    <w:p>
      <w:pPr>
        <w:pStyle w:val="ListBullet"/>
        <w:ind w:left="432"/>
      </w:pPr>
      <w:r>
        <w:rPr>
          <w:rFonts w:ascii="Times New Roman" w:hAnsi="Times New Roman" w:cs="Times New Roman"/>
          <w:b w:val="0"/>
          <w:i w:val="0"/>
          <w:sz w:val="22"/>
        </w:rPr>
        <w:t>Tax rate: 14% (normalized after FY25's 4% one-off benefit-driven rate).</w:t>
      </w:r>
    </w:p>
    <w:p>
      <w:pPr>
        <w:pStyle w:val="ListBullet"/>
        <w:ind w:left="432"/>
      </w:pPr>
      <w:r>
        <w:rPr>
          <w:rFonts w:ascii="Times New Roman" w:hAnsi="Times New Roman" w:cs="Times New Roman"/>
          <w:b w:val="0"/>
          <w:i w:val="0"/>
          <w:sz w:val="22"/>
        </w:rPr>
        <w:t>Capex: ~2.2% of revenue.</w:t>
      </w:r>
    </w:p>
    <w:p>
      <w:pPr>
        <w:pStyle w:val="ListBullet"/>
        <w:ind w:left="432"/>
      </w:pPr>
      <w:r>
        <w:rPr>
          <w:rFonts w:ascii="Times New Roman" w:hAnsi="Times New Roman" w:cs="Times New Roman"/>
          <w:b w:val="0"/>
          <w:i w:val="0"/>
          <w:sz w:val="22"/>
        </w:rPr>
        <w:t>Debt: $13.5B → ~$6B by FY30 at $1.5B/year paydown; interest expense declines from $447M (FY25) to ~$300M (FY30E).</w:t>
      </w:r>
    </w:p>
    <w:p>
      <w:pPr>
        <w:pStyle w:val="ListBullet"/>
        <w:ind w:left="432"/>
      </w:pPr>
      <w:r>
        <w:rPr>
          <w:rFonts w:ascii="Times New Roman" w:hAnsi="Times New Roman" w:cs="Times New Roman"/>
          <w:b w:val="0"/>
          <w:i w:val="0"/>
          <w:sz w:val="22"/>
        </w:rPr>
        <w:t>Shares: 195M post-Ansys (16.5% issued to ANSS holders); modest buyback resumes from FY28 as covenant constraints ease.</w:t>
      </w:r>
    </w:p>
    <w:p>
      <w:pPr>
        <w:spacing w:before="120" w:after="40"/>
        <w:jc w:val="center"/>
      </w:pPr>
      <w:r>
        <w:drawing>
          <wp:inline xmlns:a="http://schemas.openxmlformats.org/drawingml/2006/main" xmlns:pic="http://schemas.openxmlformats.org/drawingml/2006/picture">
            <wp:extent cx="5943600" cy="3377358"/>
            <wp:docPr id="25" name="Picture 25"/>
            <wp:cNvGraphicFramePr>
              <a:graphicFrameLocks noChangeAspect="1"/>
            </wp:cNvGraphicFramePr>
            <a:graphic>
              <a:graphicData uri="http://schemas.openxmlformats.org/drawingml/2006/picture">
                <pic:pic>
                  <pic:nvPicPr>
                    <pic:cNvPr id="0" name="chart_13_scenario_fan.png"/>
                    <pic:cNvPicPr/>
                  </pic:nvPicPr>
                  <pic:blipFill>
                    <a:blip r:embed="rId30"/>
                    <a:stretch>
                      <a:fillRect/>
                    </a:stretch>
                  </pic:blipFill>
                  <pic:spPr>
                    <a:xfrm>
                      <a:off x="0" y="0"/>
                      <a:ext cx="5943600" cy="3377358"/>
                    </a:xfrm>
                    <a:prstGeom prst="rect"/>
                  </pic:spPr>
                </pic:pic>
              </a:graphicData>
            </a:graphic>
          </wp:inline>
        </w:drawing>
      </w:r>
    </w:p>
    <w:p>
      <w:pPr>
        <w:spacing w:after="160"/>
        <w:jc w:val="center"/>
      </w:pPr>
      <w:r>
        <w:rPr>
          <w:rFonts w:ascii="Times New Roman" w:hAnsi="Times New Roman" w:cs="Times New Roman"/>
          <w:b w:val="0"/>
          <w:i/>
          <w:color w:val="595959"/>
          <w:sz w:val="18"/>
        </w:rPr>
        <w:t>NASDAQ: SNPS — Revenue Scenarios FY26E–FY30E</w:t>
      </w:r>
    </w:p>
    <w:p>
      <w:pPr>
        <w:spacing w:before="120" w:after="40"/>
        <w:jc w:val="center"/>
      </w:pPr>
      <w:r>
        <w:drawing>
          <wp:inline xmlns:a="http://schemas.openxmlformats.org/drawingml/2006/main" xmlns:pic="http://schemas.openxmlformats.org/drawingml/2006/picture">
            <wp:extent cx="5943600" cy="3460058"/>
            <wp:docPr id="26" name="Picture 26"/>
            <wp:cNvGraphicFramePr>
              <a:graphicFrameLocks noChangeAspect="1"/>
            </wp:cNvGraphicFramePr>
            <a:graphic>
              <a:graphicData uri="http://schemas.openxmlformats.org/drawingml/2006/picture">
                <pic:pic>
                  <pic:nvPicPr>
                    <pic:cNvPr id="0" name="chart_14_scenario_comparison.png"/>
                    <pic:cNvPicPr/>
                  </pic:nvPicPr>
                  <pic:blipFill>
                    <a:blip r:embed="rId31"/>
                    <a:stretch>
                      <a:fillRect/>
                    </a:stretch>
                  </pic:blipFill>
                  <pic:spPr>
                    <a:xfrm>
                      <a:off x="0" y="0"/>
                      <a:ext cx="5943600" cy="3460058"/>
                    </a:xfrm>
                    <a:prstGeom prst="rect"/>
                  </pic:spPr>
                </pic:pic>
              </a:graphicData>
            </a:graphic>
          </wp:inline>
        </w:drawing>
      </w:r>
    </w:p>
    <w:p>
      <w:pPr>
        <w:spacing w:after="160"/>
        <w:jc w:val="center"/>
      </w:pPr>
      <w:r>
        <w:rPr>
          <w:rFonts w:ascii="Times New Roman" w:hAnsi="Times New Roman" w:cs="Times New Roman"/>
          <w:b w:val="0"/>
          <w:i/>
          <w:color w:val="595959"/>
          <w:sz w:val="18"/>
        </w:rPr>
        <w:t>NASDAQ: SNPS — FY2030E Scenario Comparison</w:t>
      </w:r>
    </w:p>
    <w:p>
      <w:pPr>
        <w:spacing w:before="120" w:after="40"/>
        <w:jc w:val="center"/>
      </w:pPr>
      <w:r>
        <w:drawing>
          <wp:inline xmlns:a="http://schemas.openxmlformats.org/drawingml/2006/main" xmlns:pic="http://schemas.openxmlformats.org/drawingml/2006/picture">
            <wp:extent cx="5943600" cy="3524183"/>
            <wp:docPr id="27" name="Picture 27"/>
            <wp:cNvGraphicFramePr>
              <a:graphicFrameLocks noChangeAspect="1"/>
            </wp:cNvGraphicFramePr>
            <a:graphic>
              <a:graphicData uri="http://schemas.openxmlformats.org/drawingml/2006/picture">
                <pic:pic>
                  <pic:nvPicPr>
                    <pic:cNvPr id="0" name="chart_26_revenue_mix_evolution.png"/>
                    <pic:cNvPicPr/>
                  </pic:nvPicPr>
                  <pic:blipFill>
                    <a:blip r:embed="rId17"/>
                    <a:stretch>
                      <a:fillRect/>
                    </a:stretch>
                  </pic:blipFill>
                  <pic:spPr>
                    <a:xfrm>
                      <a:off x="0" y="0"/>
                      <a:ext cx="5943600" cy="3524183"/>
                    </a:xfrm>
                    <a:prstGeom prst="rect"/>
                  </pic:spPr>
                </pic:pic>
              </a:graphicData>
            </a:graphic>
          </wp:inline>
        </w:drawing>
      </w:r>
    </w:p>
    <w:p>
      <w:pPr>
        <w:spacing w:after="160"/>
        <w:jc w:val="center"/>
      </w:pPr>
      <w:r>
        <w:rPr>
          <w:rFonts w:ascii="Times New Roman" w:hAnsi="Times New Roman" w:cs="Times New Roman"/>
          <w:b w:val="0"/>
          <w:i/>
          <w:color w:val="595959"/>
          <w:sz w:val="18"/>
        </w:rPr>
        <w:t>NASDAQ: SNPS — Revenue Mix Evolution FY25 vs FY30E</w:t>
      </w:r>
    </w:p>
    <w:p>
      <w:pPr>
        <w:spacing w:before="120" w:after="40"/>
        <w:jc w:val="center"/>
      </w:pPr>
      <w:r>
        <w:drawing>
          <wp:inline xmlns:a="http://schemas.openxmlformats.org/drawingml/2006/main" xmlns:pic="http://schemas.openxmlformats.org/drawingml/2006/picture">
            <wp:extent cx="5943600" cy="3156449"/>
            <wp:docPr id="28" name="Picture 28"/>
            <wp:cNvGraphicFramePr>
              <a:graphicFrameLocks noChangeAspect="1"/>
            </wp:cNvGraphicFramePr>
            <a:graphic>
              <a:graphicData uri="http://schemas.openxmlformats.org/drawingml/2006/picture">
                <pic:pic>
                  <pic:nvPicPr>
                    <pic:cNvPr id="0" name="chart_27_roic.png"/>
                    <pic:cNvPicPr/>
                  </pic:nvPicPr>
                  <pic:blipFill>
                    <a:blip r:embed="rId32"/>
                    <a:stretch>
                      <a:fillRect/>
                    </a:stretch>
                  </pic:blipFill>
                  <pic:spPr>
                    <a:xfrm>
                      <a:off x="0" y="0"/>
                      <a:ext cx="5943600" cy="3156449"/>
                    </a:xfrm>
                    <a:prstGeom prst="rect"/>
                  </pic:spPr>
                </pic:pic>
              </a:graphicData>
            </a:graphic>
          </wp:inline>
        </w:drawing>
      </w:r>
    </w:p>
    <w:p>
      <w:pPr>
        <w:spacing w:after="160"/>
        <w:jc w:val="center"/>
      </w:pPr>
      <w:r>
        <w:rPr>
          <w:rFonts w:ascii="Times New Roman" w:hAnsi="Times New Roman" w:cs="Times New Roman"/>
          <w:b w:val="0"/>
          <w:i/>
          <w:color w:val="595959"/>
          <w:sz w:val="18"/>
        </w:rPr>
        <w:t>NASDAQ: SNPS — Return on Invested Capital (ROIC)</w:t>
      </w:r>
    </w:p>
    <w:p>
      <w:pPr>
        <w:spacing w:before="120" w:after="40"/>
        <w:jc w:val="center"/>
      </w:pPr>
      <w:r>
        <w:drawing>
          <wp:inline xmlns:a="http://schemas.openxmlformats.org/drawingml/2006/main" xmlns:pic="http://schemas.openxmlformats.org/drawingml/2006/picture">
            <wp:extent cx="5943600" cy="3211671"/>
            <wp:docPr id="29" name="Picture 29"/>
            <wp:cNvGraphicFramePr>
              <a:graphicFrameLocks noChangeAspect="1"/>
            </wp:cNvGraphicFramePr>
            <a:graphic>
              <a:graphicData uri="http://schemas.openxmlformats.org/drawingml/2006/picture">
                <pic:pic>
                  <pic:nvPicPr>
                    <pic:cNvPr id="0" name="chart_23_operating_leverage.png"/>
                    <pic:cNvPicPr/>
                  </pic:nvPicPr>
                  <pic:blipFill>
                    <a:blip r:embed="rId33"/>
                    <a:stretch>
                      <a:fillRect/>
                    </a:stretch>
                  </pic:blipFill>
                  <pic:spPr>
                    <a:xfrm>
                      <a:off x="0" y="0"/>
                      <a:ext cx="5943600" cy="3211671"/>
                    </a:xfrm>
                    <a:prstGeom prst="rect"/>
                  </pic:spPr>
                </pic:pic>
              </a:graphicData>
            </a:graphic>
          </wp:inline>
        </w:drawing>
      </w:r>
    </w:p>
    <w:p>
      <w:pPr>
        <w:spacing w:after="160"/>
        <w:jc w:val="center"/>
      </w:pPr>
      <w:r>
        <w:rPr>
          <w:rFonts w:ascii="Times New Roman" w:hAnsi="Times New Roman" w:cs="Times New Roman"/>
          <w:b w:val="0"/>
          <w:i/>
          <w:color w:val="595959"/>
          <w:sz w:val="18"/>
        </w:rPr>
        <w:t>NASDAQ: SNPS — Incremental Operating Margin</w:t>
      </w:r>
    </w:p>
    <w:p>
      <w:pPr>
        <w:spacing w:before="120" w:after="40"/>
        <w:jc w:val="center"/>
      </w:pPr>
      <w:r>
        <w:drawing>
          <wp:inline xmlns:a="http://schemas.openxmlformats.org/drawingml/2006/main" xmlns:pic="http://schemas.openxmlformats.org/drawingml/2006/picture">
            <wp:extent cx="5943600" cy="3229650"/>
            <wp:docPr id="30" name="Picture 30"/>
            <wp:cNvGraphicFramePr>
              <a:graphicFrameLocks noChangeAspect="1"/>
            </wp:cNvGraphicFramePr>
            <a:graphic>
              <a:graphicData uri="http://schemas.openxmlformats.org/drawingml/2006/picture">
                <pic:pic>
                  <pic:nvPicPr>
                    <pic:cNvPr id="0" name="chart_20_eps_trend.png"/>
                    <pic:cNvPicPr/>
                  </pic:nvPicPr>
                  <pic:blipFill>
                    <a:blip r:embed="rId34"/>
                    <a:stretch>
                      <a:fillRect/>
                    </a:stretch>
                  </pic:blipFill>
                  <pic:spPr>
                    <a:xfrm>
                      <a:off x="0" y="0"/>
                      <a:ext cx="5943600" cy="3229650"/>
                    </a:xfrm>
                    <a:prstGeom prst="rect"/>
                  </pic:spPr>
                </pic:pic>
              </a:graphicData>
            </a:graphic>
          </wp:inline>
        </w:drawing>
      </w:r>
    </w:p>
    <w:p>
      <w:pPr>
        <w:spacing w:after="160"/>
        <w:jc w:val="center"/>
      </w:pPr>
      <w:r>
        <w:rPr>
          <w:rFonts w:ascii="Times New Roman" w:hAnsi="Times New Roman" w:cs="Times New Roman"/>
          <w:b w:val="0"/>
          <w:i/>
          <w:color w:val="595959"/>
          <w:sz w:val="18"/>
        </w:rPr>
        <w:t>NASDAQ: SNPS — Diluted EPS Trend</w:t>
      </w:r>
    </w:p>
    <w:p>
      <w:pPr>
        <w:spacing w:before="120" w:after="40"/>
        <w:jc w:val="center"/>
      </w:pPr>
      <w:r>
        <w:drawing>
          <wp:inline xmlns:a="http://schemas.openxmlformats.org/drawingml/2006/main" xmlns:pic="http://schemas.openxmlformats.org/drawingml/2006/picture">
            <wp:extent cx="5943600" cy="3187590"/>
            <wp:docPr id="31" name="Picture 31"/>
            <wp:cNvGraphicFramePr>
              <a:graphicFrameLocks noChangeAspect="1"/>
            </wp:cNvGraphicFramePr>
            <a:graphic>
              <a:graphicData uri="http://schemas.openxmlformats.org/drawingml/2006/picture">
                <pic:pic>
                  <pic:nvPicPr>
                    <pic:cNvPr id="0" name="chart_24_working_capital.png"/>
                    <pic:cNvPicPr/>
                  </pic:nvPicPr>
                  <pic:blipFill>
                    <a:blip r:embed="rId35"/>
                    <a:stretch>
                      <a:fillRect/>
                    </a:stretch>
                  </pic:blipFill>
                  <pic:spPr>
                    <a:xfrm>
                      <a:off x="0" y="0"/>
                      <a:ext cx="5943600" cy="3187590"/>
                    </a:xfrm>
                    <a:prstGeom prst="rect"/>
                  </pic:spPr>
                </pic:pic>
              </a:graphicData>
            </a:graphic>
          </wp:inline>
        </w:drawing>
      </w:r>
    </w:p>
    <w:p>
      <w:pPr>
        <w:spacing w:after="160"/>
        <w:jc w:val="center"/>
      </w:pPr>
      <w:r>
        <w:rPr>
          <w:rFonts w:ascii="Times New Roman" w:hAnsi="Times New Roman" w:cs="Times New Roman"/>
          <w:b w:val="0"/>
          <w:i/>
          <w:color w:val="595959"/>
          <w:sz w:val="18"/>
        </w:rPr>
        <w:t>NASDAQ: SNPS — Working Capital Efficiency</w:t>
      </w:r>
    </w:p>
    <w:p>
      <w:pPr>
        <w:spacing w:before="120" w:after="40"/>
        <w:jc w:val="center"/>
      </w:pPr>
      <w:r>
        <w:drawing>
          <wp:inline xmlns:a="http://schemas.openxmlformats.org/drawingml/2006/main" xmlns:pic="http://schemas.openxmlformats.org/drawingml/2006/picture">
            <wp:extent cx="5943600" cy="3124921"/>
            <wp:docPr id="32" name="Picture 32"/>
            <wp:cNvGraphicFramePr>
              <a:graphicFrameLocks noChangeAspect="1"/>
            </wp:cNvGraphicFramePr>
            <a:graphic>
              <a:graphicData uri="http://schemas.openxmlformats.org/drawingml/2006/picture">
                <pic:pic>
                  <pic:nvPicPr>
                    <pic:cNvPr id="0" name="chart_11_profitability_drivers.png"/>
                    <pic:cNvPicPr/>
                  </pic:nvPicPr>
                  <pic:blipFill>
                    <a:blip r:embed="rId36"/>
                    <a:stretch>
                      <a:fillRect/>
                    </a:stretch>
                  </pic:blipFill>
                  <pic:spPr>
                    <a:xfrm>
                      <a:off x="0" y="0"/>
                      <a:ext cx="5943600" cy="3124921"/>
                    </a:xfrm>
                    <a:prstGeom prst="rect"/>
                  </pic:spPr>
                </pic:pic>
              </a:graphicData>
            </a:graphic>
          </wp:inline>
        </w:drawing>
      </w:r>
    </w:p>
    <w:p>
      <w:pPr>
        <w:spacing w:after="160"/>
        <w:jc w:val="center"/>
      </w:pPr>
      <w:r>
        <w:rPr>
          <w:rFonts w:ascii="Times New Roman" w:hAnsi="Times New Roman" w:cs="Times New Roman"/>
          <w:b w:val="0"/>
          <w:i/>
          <w:color w:val="595959"/>
          <w:sz w:val="18"/>
        </w:rPr>
        <w:t>NASDAQ: SNPS — FY25 → FY26 Revenue &amp; EBIT Bridge</w:t>
      </w:r>
    </w:p>
    <w:p>
      <w:pPr>
        <w:spacing w:before="240" w:after="80"/>
      </w:pPr>
      <w:r>
        <w:rPr>
          <w:rFonts w:ascii="Times New Roman" w:hAnsi="Times New Roman" w:cs="Times New Roman"/>
          <w:b/>
          <w:i w:val="0"/>
          <w:color w:val="1F4E78"/>
          <w:sz w:val="26"/>
        </w:rPr>
        <w:t>Scenario Analysis (Bull / Base / Bear)</w:t>
      </w:r>
    </w:p>
    <w:p>
      <w:pPr>
        <w:spacing w:after="120" w:lineRule="auto" w:line="276"/>
      </w:pPr>
      <w:r>
        <w:rPr>
          <w:rFonts w:ascii="Times New Roman" w:hAnsi="Times New Roman" w:cs="Times New Roman"/>
          <w:b w:val="0"/>
          <w:i w:val="0"/>
          <w:sz w:val="22"/>
        </w:rPr>
        <w:t>We stress-test our base case with two alternative scenarios that flex revenue growth and operating margin by ±200bps annually. Each scenario captures a distinct macro/competitive backdrop, summarized below.</w:t>
      </w:r>
    </w:p>
    <w:p>
      <w:pPr>
        <w:spacing w:before="160" w:after="60"/>
      </w:pPr>
      <w:r>
        <w:rPr>
          <w:rFonts w:ascii="Times New Roman" w:hAnsi="Times New Roman" w:cs="Times New Roman"/>
          <w:b/>
          <w:i w:val="0"/>
          <w:color w:val="C00000"/>
          <w:sz w:val="22"/>
        </w:rPr>
        <w:t>Bull case</w:t>
      </w:r>
    </w:p>
    <w:p>
      <w:pPr>
        <w:spacing w:after="120" w:lineRule="auto" w:line="276"/>
      </w:pPr>
      <w:r>
        <w:rPr>
          <w:rFonts w:ascii="Times New Roman" w:hAnsi="Times New Roman" w:cs="Times New Roman"/>
          <w:b w:val="0"/>
          <w:i w:val="0"/>
          <w:sz w:val="22"/>
        </w:rPr>
        <w:t>Ansys synergies &gt; plan, multi-physics cross-sell into 40K Ansys customer base accelerates, China foundry customer recovery, fast deleveraging. FY30E revenue: $15.6B; non-GAAP OM: 43%.</w:t>
      </w:r>
    </w:p>
    <w:p>
      <w:pPr>
        <w:spacing w:before="160" w:after="60"/>
      </w:pPr>
      <w:r>
        <w:rPr>
          <w:rFonts w:ascii="Times New Roman" w:hAnsi="Times New Roman" w:cs="Times New Roman"/>
          <w:b/>
          <w:i w:val="0"/>
          <w:color w:val="C00000"/>
          <w:sz w:val="22"/>
        </w:rPr>
        <w:t>Base case</w:t>
      </w:r>
    </w:p>
    <w:p>
      <w:pPr>
        <w:spacing w:after="120" w:lineRule="auto" w:line="276"/>
      </w:pPr>
      <w:r>
        <w:rPr>
          <w:rFonts w:ascii="Times New Roman" w:hAnsi="Times New Roman" w:cs="Times New Roman"/>
          <w:b w:val="0"/>
          <w:i w:val="0"/>
          <w:sz w:val="22"/>
        </w:rPr>
        <w:t>FY26 $9.61B mid-point guide hits; OM rebuilds 14% → 23% as amortization tails; $13.5B → $6B debt by FY30. FY30E revenue: $14.3B; non-GAAP OM: 43%.</w:t>
      </w:r>
    </w:p>
    <w:p>
      <w:pPr>
        <w:spacing w:before="160" w:after="60"/>
      </w:pPr>
      <w:r>
        <w:rPr>
          <w:rFonts w:ascii="Times New Roman" w:hAnsi="Times New Roman" w:cs="Times New Roman"/>
          <w:b/>
          <w:i w:val="0"/>
          <w:color w:val="C00000"/>
          <w:sz w:val="22"/>
        </w:rPr>
        <w:t>Bear case</w:t>
      </w:r>
    </w:p>
    <w:p>
      <w:pPr>
        <w:spacing w:after="120" w:lineRule="auto" w:line="276"/>
      </w:pPr>
      <w:r>
        <w:rPr>
          <w:rFonts w:ascii="Times New Roman" w:hAnsi="Times New Roman" w:cs="Times New Roman"/>
          <w:b w:val="0"/>
          <w:i w:val="0"/>
          <w:sz w:val="22"/>
        </w:rPr>
        <w:t>Ansys integration slips, Design IP margin pressure persists, debt overhang lingers, foundry customer concentration bites. FY30E revenue: $13.1B; non-GAAP OM: 42%.</w:t>
      </w:r>
    </w:p>
    <w:p>
      <w:r>
        <w:br w:type="page"/>
      </w:r>
    </w:p>
    <w:p>
      <w:pPr>
        <w:spacing w:before="360" w:after="120"/>
        <w:pBdr>
          <w:bottom w:val="single" w:sz="8" w:space="1" w:color="1F4E78"/>
        </w:pBdr>
      </w:pPr>
      <w:r>
        <w:rPr>
          <w:rFonts w:ascii="Times New Roman" w:hAnsi="Times New Roman" w:cs="Times New Roman"/>
          <w:b/>
          <w:i w:val="0"/>
          <w:color w:val="1F4E78"/>
          <w:sz w:val="32"/>
        </w:rPr>
        <w:t>Valuation Analysis</w:t>
      </w:r>
    </w:p>
    <w:p>
      <w:pPr>
        <w:spacing w:before="240" w:after="80"/>
      </w:pPr>
      <w:r>
        <w:rPr>
          <w:rFonts w:ascii="Times New Roman" w:hAnsi="Times New Roman" w:cs="Times New Roman"/>
          <w:b/>
          <w:i w:val="0"/>
          <w:color w:val="1F4E78"/>
          <w:sz w:val="26"/>
        </w:rPr>
        <w:t>Executive Summary</w:t>
      </w:r>
    </w:p>
    <w:p>
      <w:pPr>
        <w:spacing w:after="120" w:lineRule="auto" w:line="276"/>
      </w:pPr>
      <w:r>
        <w:rPr>
          <w:rFonts w:ascii="Times New Roman" w:hAnsi="Times New Roman" w:cs="Times New Roman"/>
          <w:b w:val="0"/>
          <w:i w:val="0"/>
          <w:sz w:val="22"/>
        </w:rPr>
        <w:t xml:space="preserve">We initiate coverage of </w:t>
      </w:r>
      <w:r>
        <w:rPr>
          <w:rFonts w:ascii="Times New Roman" w:hAnsi="Times New Roman" w:cs="Times New Roman"/>
          <w:b/>
          <w:i w:val="0"/>
          <w:sz w:val="22"/>
        </w:rPr>
        <w:t>Synopsys (SNPS)</w:t>
      </w:r>
      <w:r>
        <w:rPr>
          <w:rFonts w:ascii="Times New Roman" w:hAnsi="Times New Roman" w:cs="Times New Roman"/>
          <w:b w:val="0"/>
          <w:i w:val="0"/>
          <w:sz w:val="22"/>
        </w:rPr>
        <w:t xml:space="preserve"> with a </w:t>
      </w:r>
      <w:r>
        <w:rPr>
          <w:rFonts w:ascii="Times New Roman" w:hAnsi="Times New Roman" w:cs="Times New Roman"/>
          <w:b/>
          <w:i w:val="0"/>
          <w:sz w:val="22"/>
        </w:rPr>
        <w:t>BUY</w:t>
      </w:r>
      <w:r>
        <w:rPr>
          <w:rFonts w:ascii="Times New Roman" w:hAnsi="Times New Roman" w:cs="Times New Roman"/>
          <w:b w:val="0"/>
          <w:i w:val="0"/>
          <w:sz w:val="22"/>
        </w:rPr>
        <w:t xml:space="preserve"> recommendation and a </w:t>
      </w:r>
      <w:r>
        <w:rPr>
          <w:rFonts w:ascii="Times New Roman" w:hAnsi="Times New Roman" w:cs="Times New Roman"/>
          <w:b/>
          <w:i w:val="0"/>
          <w:sz w:val="22"/>
        </w:rPr>
        <w:t>12-month price target of $580</w:t>
      </w:r>
      <w:r>
        <w:rPr>
          <w:rFonts w:ascii="Times New Roman" w:hAnsi="Times New Roman" w:cs="Times New Roman"/>
          <w:b w:val="0"/>
          <w:i w:val="0"/>
          <w:sz w:val="22"/>
        </w:rPr>
        <w:t xml:space="preserve">, implying </w:t>
      </w:r>
      <w:r>
        <w:rPr>
          <w:rFonts w:ascii="Times New Roman" w:hAnsi="Times New Roman" w:cs="Times New Roman"/>
          <w:b/>
          <w:i w:val="0"/>
          <w:sz w:val="22"/>
        </w:rPr>
        <w:t>15.4% upside</w:t>
      </w:r>
      <w:r>
        <w:rPr>
          <w:rFonts w:ascii="Times New Roman" w:hAnsi="Times New Roman" w:cs="Times New Roman"/>
          <w:b w:val="0"/>
          <w:i w:val="0"/>
          <w:sz w:val="22"/>
        </w:rPr>
        <w:t xml:space="preserve"> from the current price of $502.42. Our price target is anchored to:</w:t>
      </w:r>
    </w:p>
    <w:p>
      <w:pPr>
        <w:pStyle w:val="ListBullet"/>
        <w:ind w:left="432"/>
      </w:pPr>
      <w:r>
        <w:rPr>
          <w:rFonts w:ascii="Times New Roman" w:hAnsi="Times New Roman" w:cs="Times New Roman"/>
          <w:b w:val="0"/>
          <w:i w:val="0"/>
          <w:sz w:val="22"/>
        </w:rPr>
        <w:t xml:space="preserve">A discounted cash flow (DCF) valuation that incorporates a WACC of </w:t>
      </w:r>
      <w:r>
        <w:rPr>
          <w:rFonts w:ascii="Times New Roman" w:hAnsi="Times New Roman" w:cs="Times New Roman"/>
          <w:b/>
          <w:i w:val="0"/>
          <w:sz w:val="22"/>
        </w:rPr>
        <w:t>8.5%</w:t>
      </w:r>
      <w:r>
        <w:rPr>
          <w:rFonts w:ascii="Times New Roman" w:hAnsi="Times New Roman" w:cs="Times New Roman"/>
          <w:b w:val="0"/>
          <w:i w:val="0"/>
          <w:sz w:val="22"/>
        </w:rPr>
        <w:t xml:space="preserve"> and a terminal growth rate of </w:t>
      </w:r>
      <w:r>
        <w:rPr>
          <w:rFonts w:ascii="Times New Roman" w:hAnsi="Times New Roman" w:cs="Times New Roman"/>
          <w:b/>
          <w:i w:val="0"/>
          <w:sz w:val="22"/>
        </w:rPr>
        <w:t>3.0%</w:t>
      </w:r>
      <w:r>
        <w:rPr>
          <w:rFonts w:ascii="Times New Roman" w:hAnsi="Times New Roman" w:cs="Times New Roman"/>
          <w:b w:val="0"/>
          <w:i w:val="0"/>
          <w:sz w:val="22"/>
        </w:rPr>
        <w:t xml:space="preserve">, yielding a DCF value per share of </w:t>
      </w:r>
      <w:r>
        <w:rPr>
          <w:rFonts w:ascii="Times New Roman" w:hAnsi="Times New Roman" w:cs="Times New Roman"/>
          <w:b/>
          <w:i w:val="0"/>
          <w:sz w:val="22"/>
        </w:rPr>
        <w:t>$425.58</w:t>
      </w:r>
      <w:r>
        <w:rPr>
          <w:rFonts w:ascii="Times New Roman" w:hAnsi="Times New Roman" w:cs="Times New Roman"/>
          <w:b w:val="0"/>
          <w:i w:val="0"/>
          <w:sz w:val="22"/>
        </w:rPr>
        <w:t>.</w:t>
      </w:r>
    </w:p>
    <w:p>
      <w:pPr>
        <w:pStyle w:val="ListBullet"/>
        <w:ind w:left="432"/>
      </w:pPr>
      <w:r>
        <w:rPr>
          <w:rFonts w:ascii="Times New Roman" w:hAnsi="Times New Roman" w:cs="Times New Roman"/>
          <w:b w:val="0"/>
          <w:i w:val="0"/>
          <w:sz w:val="22"/>
        </w:rPr>
        <w:t xml:space="preserve">A peer-comp framework using mission-critical software and design-IP comparables that yields an implied per-share value of </w:t>
      </w:r>
      <w:r>
        <w:rPr>
          <w:rFonts w:ascii="Times New Roman" w:hAnsi="Times New Roman" w:cs="Times New Roman"/>
          <w:b/>
          <w:i w:val="0"/>
          <w:sz w:val="22"/>
        </w:rPr>
        <w:t>$646.00</w:t>
      </w:r>
      <w:r>
        <w:rPr>
          <w:rFonts w:ascii="Times New Roman" w:hAnsi="Times New Roman" w:cs="Times New Roman"/>
          <w:b w:val="0"/>
          <w:i w:val="0"/>
          <w:sz w:val="22"/>
        </w:rPr>
        <w:t xml:space="preserve"> on a forward P/E basis.</w:t>
      </w:r>
    </w:p>
    <w:p>
      <w:pPr>
        <w:pStyle w:val="ListBullet"/>
        <w:ind w:left="432"/>
      </w:pPr>
      <w:r>
        <w:rPr>
          <w:rFonts w:ascii="Times New Roman" w:hAnsi="Times New Roman" w:cs="Times New Roman"/>
          <w:b w:val="0"/>
          <w:i w:val="0"/>
          <w:sz w:val="22"/>
        </w:rPr>
        <w:t>A blended methodology weighting DCF (30%), forward P/E comps (30%), EV/Revenue and EV/EBITDA comps (15% each), and analyst consensus (10%).</w:t>
      </w:r>
    </w:p>
    <w:p>
      <w:pPr>
        <w:spacing w:after="120" w:lineRule="auto" w:line="276"/>
      </w:pPr>
      <w:r>
        <w:rPr>
          <w:rFonts w:ascii="Times New Roman" w:hAnsi="Times New Roman" w:cs="Times New Roman"/>
          <w:b w:val="0"/>
          <w:i w:val="0"/>
          <w:sz w:val="22"/>
        </w:rPr>
        <w:t>---</w:t>
      </w:r>
    </w:p>
    <w:p>
      <w:pPr>
        <w:spacing w:before="120" w:after="40"/>
        <w:jc w:val="center"/>
      </w:pPr>
      <w:r>
        <w:drawing>
          <wp:inline xmlns:a="http://schemas.openxmlformats.org/drawingml/2006/main" xmlns:pic="http://schemas.openxmlformats.org/drawingml/2006/picture">
            <wp:extent cx="5943600" cy="3816258"/>
            <wp:docPr id="33" name="Picture 33"/>
            <wp:cNvGraphicFramePr>
              <a:graphicFrameLocks noChangeAspect="1"/>
            </wp:cNvGraphicFramePr>
            <a:graphic>
              <a:graphicData uri="http://schemas.openxmlformats.org/drawingml/2006/picture">
                <pic:pic>
                  <pic:nvPicPr>
                    <pic:cNvPr id="0" name="chart_28_dcf_sensitivity.png"/>
                    <pic:cNvPicPr/>
                  </pic:nvPicPr>
                  <pic:blipFill>
                    <a:blip r:embed="rId37"/>
                    <a:stretch>
                      <a:fillRect/>
                    </a:stretch>
                  </pic:blipFill>
                  <pic:spPr>
                    <a:xfrm>
                      <a:off x="0" y="0"/>
                      <a:ext cx="5943600" cy="3816258"/>
                    </a:xfrm>
                    <a:prstGeom prst="rect"/>
                  </pic:spPr>
                </pic:pic>
              </a:graphicData>
            </a:graphic>
          </wp:inline>
        </w:drawing>
      </w:r>
    </w:p>
    <w:p>
      <w:pPr>
        <w:spacing w:after="160"/>
        <w:jc w:val="center"/>
      </w:pPr>
      <w:r>
        <w:rPr>
          <w:rFonts w:ascii="Times New Roman" w:hAnsi="Times New Roman" w:cs="Times New Roman"/>
          <w:b w:val="0"/>
          <w:i/>
          <w:color w:val="595959"/>
          <w:sz w:val="18"/>
        </w:rPr>
        <w:t>DCF Sensitivity Analysis</w:t>
      </w:r>
    </w:p>
    <w:p>
      <w:pPr>
        <w:spacing w:before="120" w:after="40"/>
        <w:jc w:val="center"/>
      </w:pPr>
      <w:r>
        <w:drawing>
          <wp:inline xmlns:a="http://schemas.openxmlformats.org/drawingml/2006/main" xmlns:pic="http://schemas.openxmlformats.org/drawingml/2006/picture">
            <wp:extent cx="5943600" cy="3462754"/>
            <wp:docPr id="34" name="Picture 34"/>
            <wp:cNvGraphicFramePr>
              <a:graphicFrameLocks noChangeAspect="1"/>
            </wp:cNvGraphicFramePr>
            <a:graphic>
              <a:graphicData uri="http://schemas.openxmlformats.org/drawingml/2006/picture">
                <pic:pic>
                  <pic:nvPicPr>
                    <pic:cNvPr id="0" name="chart_29_dcf_components.png"/>
                    <pic:cNvPicPr/>
                  </pic:nvPicPr>
                  <pic:blipFill>
                    <a:blip r:embed="rId38"/>
                    <a:stretch>
                      <a:fillRect/>
                    </a:stretch>
                  </pic:blipFill>
                  <pic:spPr>
                    <a:xfrm>
                      <a:off x="0" y="0"/>
                      <a:ext cx="5943600" cy="3462754"/>
                    </a:xfrm>
                    <a:prstGeom prst="rect"/>
                  </pic:spPr>
                </pic:pic>
              </a:graphicData>
            </a:graphic>
          </wp:inline>
        </w:drawing>
      </w:r>
    </w:p>
    <w:p>
      <w:pPr>
        <w:spacing w:after="160"/>
        <w:jc w:val="center"/>
      </w:pPr>
      <w:r>
        <w:rPr>
          <w:rFonts w:ascii="Times New Roman" w:hAnsi="Times New Roman" w:cs="Times New Roman"/>
          <w:b w:val="0"/>
          <w:i/>
          <w:color w:val="595959"/>
          <w:sz w:val="18"/>
        </w:rPr>
        <w:t>DCF Value Components</w:t>
      </w:r>
    </w:p>
    <w:p>
      <w:pPr>
        <w:spacing w:before="240" w:after="80"/>
      </w:pPr>
      <w:r>
        <w:rPr>
          <w:rFonts w:ascii="Times New Roman" w:hAnsi="Times New Roman" w:cs="Times New Roman"/>
          <w:b/>
          <w:i w:val="0"/>
          <w:color w:val="1F4E78"/>
          <w:sz w:val="26"/>
        </w:rPr>
        <w:t>1. DCF Valuation</w:t>
      </w:r>
    </w:p>
    <w:p>
      <w:pPr>
        <w:spacing w:before="160" w:after="60"/>
      </w:pPr>
      <w:r>
        <w:rPr>
          <w:rFonts w:ascii="Times New Roman" w:hAnsi="Times New Roman" w:cs="Times New Roman"/>
          <w:b/>
          <w:i w:val="0"/>
          <w:color w:val="C00000"/>
          <w:sz w:val="22"/>
        </w:rPr>
        <w:t>1.1 Methodology</w:t>
      </w:r>
    </w:p>
    <w:p>
      <w:pPr>
        <w:spacing w:after="120" w:lineRule="auto" w:line="276"/>
      </w:pPr>
      <w:r>
        <w:rPr>
          <w:rFonts w:ascii="Times New Roman" w:hAnsi="Times New Roman" w:cs="Times New Roman"/>
          <w:b w:val="0"/>
          <w:i w:val="0"/>
          <w:sz w:val="22"/>
        </w:rPr>
        <w:t>We model 5 years of explicit unlevered free cash flow (UFCF) from FY2026E through FY2030E, with a terminal value computed via the Gordon Growth model. Operating assumptions are sourced from our Task 2 financial model, which derives projections directly from the SNPS FY2025 10-K and management guidance.</w:t>
      </w:r>
    </w:p>
    <w:p>
      <w:pPr>
        <w:spacing w:before="160" w:after="60"/>
      </w:pPr>
      <w:r>
        <w:rPr>
          <w:rFonts w:ascii="Times New Roman" w:hAnsi="Times New Roman" w:cs="Times New Roman"/>
          <w:b/>
          <w:i w:val="0"/>
          <w:color w:val="C00000"/>
          <w:sz w:val="22"/>
        </w:rPr>
        <w:t>1.2 Cash Flow Build ($M)</w:t>
      </w:r>
    </w:p>
    <w:tbl>
      <w:tblPr>
        <w:tblW w:type="auto" w:w="0"/>
        <w:jc w:val="center"/>
        <w:tblLayout w:type="fixed"/>
        <w:tblLook w:firstColumn="1" w:firstRow="1" w:lastColumn="0" w:lastRow="0" w:noHBand="0" w:noVBand="1" w:val="04A0"/>
      </w:tblPr>
      <w:tblGrid>
        <w:gridCol w:w="1425"/>
        <w:gridCol w:w="1425"/>
        <w:gridCol w:w="1425"/>
        <w:gridCol w:w="1425"/>
        <w:gridCol w:w="1425"/>
        <w:gridCol w:w="1425"/>
        <w:gridCol w:w="1425"/>
      </w:tblGrid>
      <w:tr>
        <w:tc>
          <w:tcPr>
            <w:tcW w:type="dxa" w:w="1425"/>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r>
          </w:p>
        </w:tc>
        <w:tc>
          <w:tcPr>
            <w:tcW w:type="dxa" w:w="1425"/>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FY26E</w:t>
            </w:r>
          </w:p>
        </w:tc>
        <w:tc>
          <w:tcPr>
            <w:tcW w:type="dxa" w:w="1425"/>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FY27E</w:t>
            </w:r>
          </w:p>
        </w:tc>
        <w:tc>
          <w:tcPr>
            <w:tcW w:type="dxa" w:w="1425"/>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FY28E</w:t>
            </w:r>
          </w:p>
        </w:tc>
        <w:tc>
          <w:tcPr>
            <w:tcW w:type="dxa" w:w="1425"/>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FY29E</w:t>
            </w:r>
          </w:p>
        </w:tc>
        <w:tc>
          <w:tcPr>
            <w:tcW w:type="dxa" w:w="1425"/>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FY30E</w:t>
            </w:r>
          </w:p>
        </w:tc>
        <w:tc>
          <w:tcPr>
            <w:tcW w:type="dxa" w:w="1425"/>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Terminal</w:t>
            </w:r>
          </w:p>
        </w:tc>
      </w:tr>
      <w:tr>
        <w:tc>
          <w:tcPr>
            <w:tcW w:type="dxa" w:w="1425"/>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Revenue</w:t>
            </w:r>
          </w:p>
        </w:tc>
        <w:tc>
          <w:tcPr>
            <w:tcW w:type="dxa" w:w="1425"/>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9,610</w:t>
            </w:r>
          </w:p>
        </w:tc>
        <w:tc>
          <w:tcPr>
            <w:tcW w:type="dxa" w:w="1425"/>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10,763</w:t>
            </w:r>
          </w:p>
        </w:tc>
        <w:tc>
          <w:tcPr>
            <w:tcW w:type="dxa" w:w="1425"/>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11,947</w:t>
            </w:r>
          </w:p>
        </w:tc>
        <w:tc>
          <w:tcPr>
            <w:tcW w:type="dxa" w:w="1425"/>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13,142</w:t>
            </w:r>
          </w:p>
        </w:tc>
        <w:tc>
          <w:tcPr>
            <w:tcW w:type="dxa" w:w="1425"/>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14,325</w:t>
            </w:r>
          </w:p>
        </w:tc>
        <w:tc>
          <w:tcPr>
            <w:tcW w:type="dxa" w:w="1425"/>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14,755</w:t>
            </w:r>
          </w:p>
        </w:tc>
      </w:tr>
      <w:tr>
        <w:tc>
          <w:tcPr>
            <w:tcW w:type="dxa" w:w="1425"/>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EBIT</w:t>
            </w:r>
          </w:p>
        </w:tc>
        <w:tc>
          <w:tcPr>
            <w:tcW w:type="dxa" w:w="1425"/>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3,652</w:t>
            </w:r>
          </w:p>
        </w:tc>
        <w:tc>
          <w:tcPr>
            <w:tcW w:type="dxa" w:w="1425"/>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4,251</w:t>
            </w:r>
          </w:p>
        </w:tc>
        <w:tc>
          <w:tcPr>
            <w:tcW w:type="dxa" w:w="1425"/>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4,898</w:t>
            </w:r>
          </w:p>
        </w:tc>
        <w:tc>
          <w:tcPr>
            <w:tcW w:type="dxa" w:w="1425"/>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5,520</w:t>
            </w:r>
          </w:p>
        </w:tc>
        <w:tc>
          <w:tcPr>
            <w:tcW w:type="dxa" w:w="1425"/>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6,160</w:t>
            </w:r>
          </w:p>
        </w:tc>
        <w:tc>
          <w:tcPr>
            <w:tcW w:type="dxa" w:w="1425"/>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w:t>
            </w:r>
          </w:p>
        </w:tc>
      </w:tr>
      <w:tr>
        <w:tc>
          <w:tcPr>
            <w:tcW w:type="dxa" w:w="1425"/>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NOPAT (× (1 – tax))</w:t>
            </w:r>
          </w:p>
        </w:tc>
        <w:tc>
          <w:tcPr>
            <w:tcW w:type="dxa" w:w="1425"/>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3,031</w:t>
            </w:r>
          </w:p>
        </w:tc>
        <w:tc>
          <w:tcPr>
            <w:tcW w:type="dxa" w:w="1425"/>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3,528</w:t>
            </w:r>
          </w:p>
        </w:tc>
        <w:tc>
          <w:tcPr>
            <w:tcW w:type="dxa" w:w="1425"/>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4,065</w:t>
            </w:r>
          </w:p>
        </w:tc>
        <w:tc>
          <w:tcPr>
            <w:tcW w:type="dxa" w:w="1425"/>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4,582</w:t>
            </w:r>
          </w:p>
        </w:tc>
        <w:tc>
          <w:tcPr>
            <w:tcW w:type="dxa" w:w="1425"/>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5,113</w:t>
            </w:r>
          </w:p>
        </w:tc>
        <w:tc>
          <w:tcPr>
            <w:tcW w:type="dxa" w:w="1425"/>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w:t>
            </w:r>
          </w:p>
        </w:tc>
      </w:tr>
      <w:tr>
        <w:tc>
          <w:tcPr>
            <w:tcW w:type="dxa" w:w="1425"/>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Unlevered FCF</w:t>
            </w:r>
          </w:p>
        </w:tc>
        <w:tc>
          <w:tcPr>
            <w:tcW w:type="dxa" w:w="1425"/>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3,348</w:t>
            </w:r>
          </w:p>
        </w:tc>
        <w:tc>
          <w:tcPr>
            <w:tcW w:type="dxa" w:w="1425"/>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3,884</w:t>
            </w:r>
          </w:p>
        </w:tc>
        <w:tc>
          <w:tcPr>
            <w:tcW w:type="dxa" w:w="1425"/>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4,460</w:t>
            </w:r>
          </w:p>
        </w:tc>
        <w:tc>
          <w:tcPr>
            <w:tcW w:type="dxa" w:w="1425"/>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5,015</w:t>
            </w:r>
          </w:p>
        </w:tc>
        <w:tc>
          <w:tcPr>
            <w:tcW w:type="dxa" w:w="1425"/>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5,586</w:t>
            </w:r>
          </w:p>
        </w:tc>
        <w:tc>
          <w:tcPr>
            <w:tcW w:type="dxa" w:w="1425"/>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5,754</w:t>
            </w:r>
          </w:p>
        </w:tc>
      </w:tr>
    </w:tbl>
    <w:p/>
    <w:p>
      <w:pPr>
        <w:spacing w:before="160" w:after="60"/>
      </w:pPr>
      <w:r>
        <w:rPr>
          <w:rFonts w:ascii="Times New Roman" w:hAnsi="Times New Roman" w:cs="Times New Roman"/>
          <w:b/>
          <w:i w:val="0"/>
          <w:color w:val="C00000"/>
          <w:sz w:val="22"/>
        </w:rPr>
        <w:t>1.3 WACC Build</w:t>
      </w:r>
    </w:p>
    <w:tbl>
      <w:tblPr>
        <w:tblW w:type="auto" w:w="0"/>
        <w:jc w:val="center"/>
        <w:tblLayout w:type="fixed"/>
        <w:tblLook w:firstColumn="1" w:firstRow="1" w:lastColumn="0" w:lastRow="0" w:noHBand="0" w:noVBand="1" w:val="04A0"/>
      </w:tblPr>
      <w:tblGrid>
        <w:gridCol w:w="4986"/>
        <w:gridCol w:w="4986"/>
      </w:tblGrid>
      <w:tr>
        <w:tc>
          <w:tcPr>
            <w:tcW w:type="dxa" w:w="4986"/>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Component</w:t>
            </w:r>
          </w:p>
        </w:tc>
        <w:tc>
          <w:tcPr>
            <w:tcW w:type="dxa" w:w="4986"/>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Value</w:t>
            </w:r>
          </w:p>
        </w:tc>
      </w:tr>
      <w:tr>
        <w:tc>
          <w:tcPr>
            <w:tcW w:type="dxa" w:w="4986"/>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Risk-free rate (10-yr UST)</w:t>
            </w:r>
          </w:p>
        </w:tc>
        <w:tc>
          <w:tcPr>
            <w:tcW w:type="dxa" w:w="4986"/>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4.3%</w:t>
            </w:r>
          </w:p>
        </w:tc>
      </w:tr>
      <w:tr>
        <w:tc>
          <w:tcPr>
            <w:tcW w:type="dxa" w:w="4986"/>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Equity risk premium</w:t>
            </w:r>
          </w:p>
        </w:tc>
        <w:tc>
          <w:tcPr>
            <w:tcW w:type="dxa" w:w="4986"/>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5.0%</w:t>
            </w:r>
          </w:p>
        </w:tc>
      </w:tr>
      <w:tr>
        <w:tc>
          <w:tcPr>
            <w:tcW w:type="dxa" w:w="4986"/>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Beta (5y monthly)</w:t>
            </w:r>
          </w:p>
        </w:tc>
        <w:tc>
          <w:tcPr>
            <w:tcW w:type="dxa" w:w="4986"/>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1.00</w:t>
            </w:r>
          </w:p>
        </w:tc>
      </w:tr>
      <w:tr>
        <w:tc>
          <w:tcPr>
            <w:tcW w:type="dxa" w:w="4986"/>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Cost of equity (CAPM)</w:t>
            </w:r>
          </w:p>
        </w:tc>
        <w:tc>
          <w:tcPr>
            <w:tcW w:type="dxa" w:w="4986"/>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9.3%</w:t>
            </w:r>
          </w:p>
        </w:tc>
      </w:tr>
      <w:tr>
        <w:tc>
          <w:tcPr>
            <w:tcW w:type="dxa" w:w="4986"/>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Pre-tax cost of debt</w:t>
            </w:r>
          </w:p>
        </w:tc>
        <w:tc>
          <w:tcPr>
            <w:tcW w:type="dxa" w:w="4986"/>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5.0%</w:t>
            </w:r>
          </w:p>
        </w:tc>
      </w:tr>
      <w:tr>
        <w:tc>
          <w:tcPr>
            <w:tcW w:type="dxa" w:w="4986"/>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After-tax cost of debt</w:t>
            </w:r>
          </w:p>
        </w:tc>
        <w:tc>
          <w:tcPr>
            <w:tcW w:type="dxa" w:w="4986"/>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4.2%</w:t>
            </w:r>
          </w:p>
        </w:tc>
      </w:tr>
      <w:tr>
        <w:tc>
          <w:tcPr>
            <w:tcW w:type="dxa" w:w="4986"/>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Debt / Capital</w:t>
            </w:r>
          </w:p>
        </w:tc>
        <w:tc>
          <w:tcPr>
            <w:tcW w:type="dxa" w:w="4986"/>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15%</w:t>
            </w:r>
          </w:p>
        </w:tc>
      </w:tr>
      <w:tr>
        <w:tc>
          <w:tcPr>
            <w:tcW w:type="dxa" w:w="4986"/>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Equity / Capital</w:t>
            </w:r>
          </w:p>
        </w:tc>
        <w:tc>
          <w:tcPr>
            <w:tcW w:type="dxa" w:w="4986"/>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85%</w:t>
            </w:r>
          </w:p>
        </w:tc>
      </w:tr>
      <w:tr>
        <w:tc>
          <w:tcPr>
            <w:tcW w:type="dxa" w:w="4986"/>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**WACC**</w:t>
            </w:r>
          </w:p>
        </w:tc>
        <w:tc>
          <w:tcPr>
            <w:tcW w:type="dxa" w:w="4986"/>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**8.5%**</w:t>
            </w:r>
          </w:p>
        </w:tc>
      </w:tr>
    </w:tbl>
    <w:p/>
    <w:p>
      <w:pPr>
        <w:spacing w:before="160" w:after="60"/>
      </w:pPr>
      <w:r>
        <w:rPr>
          <w:rFonts w:ascii="Times New Roman" w:hAnsi="Times New Roman" w:cs="Times New Roman"/>
          <w:b/>
          <w:i w:val="0"/>
          <w:color w:val="C00000"/>
          <w:sz w:val="22"/>
        </w:rPr>
        <w:t>1.4 Valuation Output</w:t>
      </w:r>
    </w:p>
    <w:tbl>
      <w:tblPr>
        <w:tblW w:type="auto" w:w="0"/>
        <w:jc w:val="center"/>
        <w:tblLayout w:type="fixed"/>
        <w:tblLook w:firstColumn="1" w:firstRow="1" w:lastColumn="0" w:lastRow="0" w:noHBand="0" w:noVBand="1" w:val="04A0"/>
      </w:tblPr>
      <w:tblGrid>
        <w:gridCol w:w="4986"/>
        <w:gridCol w:w="4986"/>
      </w:tblGrid>
      <w:tr>
        <w:tc>
          <w:tcPr>
            <w:tcW w:type="dxa" w:w="4986"/>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r>
          </w:p>
        </w:tc>
        <w:tc>
          <w:tcPr>
            <w:tcW w:type="dxa" w:w="4986"/>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Value</w:t>
            </w:r>
          </w:p>
        </w:tc>
      </w:tr>
      <w:tr>
        <w:tc>
          <w:tcPr>
            <w:tcW w:type="dxa" w:w="4986"/>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Sum PV of explicit FCFs ($M)</w:t>
            </w:r>
          </w:p>
        </w:tc>
        <w:tc>
          <w:tcPr>
            <w:tcW w:type="dxa" w:w="4986"/>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17,197</w:t>
            </w:r>
          </w:p>
        </w:tc>
      </w:tr>
      <w:tr>
        <w:tc>
          <w:tcPr>
            <w:tcW w:type="dxa" w:w="4986"/>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Terminal value ($M)</w:t>
            </w:r>
          </w:p>
        </w:tc>
        <w:tc>
          <w:tcPr>
            <w:tcW w:type="dxa" w:w="4986"/>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104,090</w:t>
            </w:r>
          </w:p>
        </w:tc>
      </w:tr>
      <w:tr>
        <w:tc>
          <w:tcPr>
            <w:tcW w:type="dxa" w:w="4986"/>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PV of terminal value ($M)</w:t>
            </w:r>
          </w:p>
        </w:tc>
        <w:tc>
          <w:tcPr>
            <w:tcW w:type="dxa" w:w="4986"/>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69,137</w:t>
            </w:r>
          </w:p>
        </w:tc>
      </w:tr>
      <w:tr>
        <w:tc>
          <w:tcPr>
            <w:tcW w:type="dxa" w:w="4986"/>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Enterprise value ($M)</w:t>
            </w:r>
          </w:p>
        </w:tc>
        <w:tc>
          <w:tcPr>
            <w:tcW w:type="dxa" w:w="4986"/>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86,334</w:t>
            </w:r>
          </w:p>
        </w:tc>
      </w:tr>
      <w:tr>
        <w:tc>
          <w:tcPr>
            <w:tcW w:type="dxa" w:w="4986"/>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 Cash ($M)</w:t>
            </w:r>
          </w:p>
        </w:tc>
        <w:tc>
          <w:tcPr>
            <w:tcW w:type="dxa" w:w="4986"/>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2,890</w:t>
            </w:r>
          </w:p>
        </w:tc>
      </w:tr>
      <w:tr>
        <w:tc>
          <w:tcPr>
            <w:tcW w:type="dxa" w:w="4986"/>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 Total debt ($M)</w:t>
            </w:r>
          </w:p>
        </w:tc>
        <w:tc>
          <w:tcPr>
            <w:tcW w:type="dxa" w:w="4986"/>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(13,480)</w:t>
            </w:r>
          </w:p>
        </w:tc>
      </w:tr>
      <w:tr>
        <w:tc>
          <w:tcPr>
            <w:tcW w:type="dxa" w:w="4986"/>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Equity value ($M)</w:t>
            </w:r>
          </w:p>
        </w:tc>
        <w:tc>
          <w:tcPr>
            <w:tcW w:type="dxa" w:w="4986"/>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75,744</w:t>
            </w:r>
          </w:p>
        </w:tc>
      </w:tr>
      <w:tr>
        <w:tc>
          <w:tcPr>
            <w:tcW w:type="dxa" w:w="4986"/>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**DCF value per share**</w:t>
            </w:r>
          </w:p>
        </w:tc>
        <w:tc>
          <w:tcPr>
            <w:tcW w:type="dxa" w:w="4986"/>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**$425.58**</w:t>
            </w:r>
          </w:p>
        </w:tc>
      </w:tr>
    </w:tbl>
    <w:p/>
    <w:p>
      <w:pPr>
        <w:spacing w:before="160" w:after="60"/>
      </w:pPr>
      <w:r>
        <w:rPr>
          <w:rFonts w:ascii="Times New Roman" w:hAnsi="Times New Roman" w:cs="Times New Roman"/>
          <w:b/>
          <w:i w:val="0"/>
          <w:color w:val="C00000"/>
          <w:sz w:val="22"/>
        </w:rPr>
        <w:t>1.5 Sensitivity Analysis</w:t>
      </w:r>
    </w:p>
    <w:p>
      <w:pPr>
        <w:spacing w:after="120" w:lineRule="auto" w:line="276"/>
      </w:pPr>
      <w:r>
        <w:rPr>
          <w:rFonts w:ascii="Times New Roman" w:hAnsi="Times New Roman" w:cs="Times New Roman"/>
          <w:b w:val="0"/>
          <w:i w:val="0"/>
          <w:sz w:val="22"/>
        </w:rPr>
        <w:t>Sensitivity of DCF per share to WACC and terminal growth (see Excel "DCF Sensitivity" tab for full matrix):</w:t>
      </w:r>
    </w:p>
    <w:tbl>
      <w:tblPr>
        <w:tblW w:type="auto" w:w="0"/>
        <w:jc w:val="center"/>
        <w:tblLayout w:type="fixed"/>
        <w:tblLook w:firstColumn="1" w:firstRow="1" w:lastColumn="0" w:lastRow="0" w:noHBand="0" w:noVBand="1" w:val="04A0"/>
      </w:tblPr>
      <w:tblGrid>
        <w:gridCol w:w="2493"/>
        <w:gridCol w:w="2493"/>
        <w:gridCol w:w="2493"/>
        <w:gridCol w:w="2493"/>
      </w:tblGrid>
      <w:tr>
        <w:tc>
          <w:tcPr>
            <w:tcW w:type="dxa" w:w="2493"/>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r>
          </w:p>
        </w:tc>
        <w:tc>
          <w:tcPr>
            <w:tcW w:type="dxa" w:w="2493"/>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WACC –100bps</w:t>
            </w:r>
          </w:p>
        </w:tc>
        <w:tc>
          <w:tcPr>
            <w:tcW w:type="dxa" w:w="2493"/>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WACC base (8.5%)</w:t>
            </w:r>
          </w:p>
        </w:tc>
        <w:tc>
          <w:tcPr>
            <w:tcW w:type="dxa" w:w="2493"/>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WACC +100bps</w:t>
            </w:r>
          </w:p>
        </w:tc>
      </w:tr>
      <w:tr>
        <w:tc>
          <w:tcPr>
            <w:tcW w:type="dxa" w:w="2493"/>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g = 2.5%</w:t>
            </w:r>
          </w:p>
        </w:tc>
        <w:tc>
          <w:tcPr>
            <w:tcW w:type="dxa" w:w="2493"/>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$442.74</w:t>
            </w:r>
          </w:p>
        </w:tc>
        <w:tc>
          <w:tcPr>
            <w:tcW w:type="dxa" w:w="2493"/>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$357.44</w:t>
            </w:r>
          </w:p>
        </w:tc>
        <w:tc>
          <w:tcPr>
            <w:tcW w:type="dxa" w:w="2493"/>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$296.50</w:t>
            </w:r>
          </w:p>
        </w:tc>
      </w:tr>
      <w:tr>
        <w:tc>
          <w:tcPr>
            <w:tcW w:type="dxa" w:w="2493"/>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g = 3.0% (base)</w:t>
            </w:r>
          </w:p>
        </w:tc>
        <w:tc>
          <w:tcPr>
            <w:tcW w:type="dxa" w:w="2493"/>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$489.81</w:t>
            </w:r>
          </w:p>
        </w:tc>
        <w:tc>
          <w:tcPr>
            <w:tcW w:type="dxa" w:w="2493"/>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**$425.58**</w:t>
            </w:r>
          </w:p>
        </w:tc>
        <w:tc>
          <w:tcPr>
            <w:tcW w:type="dxa" w:w="2493"/>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$318.20</w:t>
            </w:r>
          </w:p>
        </w:tc>
      </w:tr>
      <w:tr>
        <w:tc>
          <w:tcPr>
            <w:tcW w:type="dxa" w:w="2493"/>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g = 3.5%</w:t>
            </w:r>
          </w:p>
        </w:tc>
        <w:tc>
          <w:tcPr>
            <w:tcW w:type="dxa" w:w="2493"/>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$548.57</w:t>
            </w:r>
          </w:p>
        </w:tc>
        <w:tc>
          <w:tcPr>
            <w:tcW w:type="dxa" w:w="2493"/>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$425.58</w:t>
            </w:r>
          </w:p>
        </w:tc>
        <w:tc>
          <w:tcPr>
            <w:tcW w:type="dxa" w:w="2493"/>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$343.49</w:t>
            </w:r>
          </w:p>
        </w:tc>
      </w:tr>
    </w:tbl>
    <w:p/>
    <w:p>
      <w:pPr>
        <w:spacing w:after="120" w:lineRule="auto" w:line="276"/>
      </w:pPr>
      <w:r>
        <w:rPr>
          <w:rFonts w:ascii="Times New Roman" w:hAnsi="Times New Roman" w:cs="Times New Roman"/>
          <w:b w:val="0"/>
          <w:i w:val="0"/>
          <w:sz w:val="22"/>
        </w:rPr>
        <w:t>---</w:t>
      </w:r>
    </w:p>
    <w:p>
      <w:pPr>
        <w:spacing w:before="120" w:after="40"/>
        <w:jc w:val="center"/>
      </w:pPr>
      <w:r>
        <w:drawing>
          <wp:inline xmlns:a="http://schemas.openxmlformats.org/drawingml/2006/main" xmlns:pic="http://schemas.openxmlformats.org/drawingml/2006/picture">
            <wp:extent cx="5943600" cy="3824195"/>
            <wp:docPr id="35" name="Picture 35"/>
            <wp:cNvGraphicFramePr>
              <a:graphicFrameLocks noChangeAspect="1"/>
            </wp:cNvGraphicFramePr>
            <a:graphic>
              <a:graphicData uri="http://schemas.openxmlformats.org/drawingml/2006/picture">
                <pic:pic>
                  <pic:nvPicPr>
                    <pic:cNvPr id="0" name="chart_30_comps_fwd_pe.png"/>
                    <pic:cNvPicPr/>
                  </pic:nvPicPr>
                  <pic:blipFill>
                    <a:blip r:embed="rId39"/>
                    <a:stretch>
                      <a:fillRect/>
                    </a:stretch>
                  </pic:blipFill>
                  <pic:spPr>
                    <a:xfrm>
                      <a:off x="0" y="0"/>
                      <a:ext cx="5943600" cy="3824195"/>
                    </a:xfrm>
                    <a:prstGeom prst="rect"/>
                  </pic:spPr>
                </pic:pic>
              </a:graphicData>
            </a:graphic>
          </wp:inline>
        </w:drawing>
      </w:r>
    </w:p>
    <w:p>
      <w:pPr>
        <w:spacing w:after="160"/>
        <w:jc w:val="center"/>
      </w:pPr>
      <w:r>
        <w:rPr>
          <w:rFonts w:ascii="Times New Roman" w:hAnsi="Times New Roman" w:cs="Times New Roman"/>
          <w:b w:val="0"/>
          <w:i/>
          <w:color w:val="595959"/>
          <w:sz w:val="18"/>
        </w:rPr>
        <w:t>Forward P/E vs Peers</w:t>
      </w:r>
    </w:p>
    <w:p>
      <w:pPr>
        <w:spacing w:before="120" w:after="40"/>
        <w:jc w:val="center"/>
      </w:pPr>
      <w:r>
        <w:drawing>
          <wp:inline xmlns:a="http://schemas.openxmlformats.org/drawingml/2006/main" xmlns:pic="http://schemas.openxmlformats.org/drawingml/2006/picture">
            <wp:extent cx="5943600" cy="4063306"/>
            <wp:docPr id="36" name="Picture 36"/>
            <wp:cNvGraphicFramePr>
              <a:graphicFrameLocks noChangeAspect="1"/>
            </wp:cNvGraphicFramePr>
            <a:graphic>
              <a:graphicData uri="http://schemas.openxmlformats.org/drawingml/2006/picture">
                <pic:pic>
                  <pic:nvPicPr>
                    <pic:cNvPr id="0" name="chart_31_pe_growth_scatter.png"/>
                    <pic:cNvPicPr/>
                  </pic:nvPicPr>
                  <pic:blipFill>
                    <a:blip r:embed="rId40"/>
                    <a:stretch>
                      <a:fillRect/>
                    </a:stretch>
                  </pic:blipFill>
                  <pic:spPr>
                    <a:xfrm>
                      <a:off x="0" y="0"/>
                      <a:ext cx="5943600" cy="4063306"/>
                    </a:xfrm>
                    <a:prstGeom prst="rect"/>
                  </pic:spPr>
                </pic:pic>
              </a:graphicData>
            </a:graphic>
          </wp:inline>
        </w:drawing>
      </w:r>
    </w:p>
    <w:p>
      <w:pPr>
        <w:spacing w:after="160"/>
        <w:jc w:val="center"/>
      </w:pPr>
      <w:r>
        <w:rPr>
          <w:rFonts w:ascii="Times New Roman" w:hAnsi="Times New Roman" w:cs="Times New Roman"/>
          <w:b w:val="0"/>
          <w:i/>
          <w:color w:val="595959"/>
          <w:sz w:val="18"/>
        </w:rPr>
        <w:t>P/E vs Growth Scatter</w:t>
      </w:r>
    </w:p>
    <w:p>
      <w:pPr>
        <w:spacing w:before="120" w:after="40"/>
        <w:jc w:val="center"/>
      </w:pPr>
      <w:r>
        <w:drawing>
          <wp:inline xmlns:a="http://schemas.openxmlformats.org/drawingml/2006/main" xmlns:pic="http://schemas.openxmlformats.org/drawingml/2006/picture">
            <wp:extent cx="5943600" cy="3457327"/>
            <wp:docPr id="37" name="Picture 37"/>
            <wp:cNvGraphicFramePr>
              <a:graphicFrameLocks noChangeAspect="1"/>
            </wp:cNvGraphicFramePr>
            <a:graphic>
              <a:graphicData uri="http://schemas.openxmlformats.org/drawingml/2006/picture">
                <pic:pic>
                  <pic:nvPicPr>
                    <pic:cNvPr id="0" name="chart_34_multiples_vs_market.png"/>
                    <pic:cNvPicPr/>
                  </pic:nvPicPr>
                  <pic:blipFill>
                    <a:blip r:embed="rId41"/>
                    <a:stretch>
                      <a:fillRect/>
                    </a:stretch>
                  </pic:blipFill>
                  <pic:spPr>
                    <a:xfrm>
                      <a:off x="0" y="0"/>
                      <a:ext cx="5943600" cy="3457327"/>
                    </a:xfrm>
                    <a:prstGeom prst="rect"/>
                  </pic:spPr>
                </pic:pic>
              </a:graphicData>
            </a:graphic>
          </wp:inline>
        </w:drawing>
      </w:r>
    </w:p>
    <w:p>
      <w:pPr>
        <w:spacing w:after="160"/>
        <w:jc w:val="center"/>
      </w:pPr>
      <w:r>
        <w:rPr>
          <w:rFonts w:ascii="Times New Roman" w:hAnsi="Times New Roman" w:cs="Times New Roman"/>
          <w:b w:val="0"/>
          <w:i/>
          <w:color w:val="595959"/>
          <w:sz w:val="18"/>
        </w:rPr>
        <w:t>Multiples vs Peer Median vs S&amp;P 500</w:t>
      </w:r>
    </w:p>
    <w:p>
      <w:pPr>
        <w:spacing w:before="240" w:after="80"/>
      </w:pPr>
      <w:r>
        <w:rPr>
          <w:rFonts w:ascii="Times New Roman" w:hAnsi="Times New Roman" w:cs="Times New Roman"/>
          <w:b/>
          <w:i w:val="0"/>
          <w:color w:val="1F4E78"/>
          <w:sz w:val="26"/>
        </w:rPr>
        <w:t>2. Comparable Companies Analysis</w:t>
      </w:r>
    </w:p>
    <w:p>
      <w:pPr>
        <w:spacing w:before="160" w:after="60"/>
      </w:pPr>
      <w:r>
        <w:rPr>
          <w:rFonts w:ascii="Times New Roman" w:hAnsi="Times New Roman" w:cs="Times New Roman"/>
          <w:b/>
          <w:i w:val="0"/>
          <w:color w:val="C00000"/>
          <w:sz w:val="22"/>
        </w:rPr>
        <w:t>2.1 Peer Universe</w:t>
      </w:r>
    </w:p>
    <w:p>
      <w:pPr>
        <w:spacing w:after="120" w:lineRule="auto" w:line="276"/>
      </w:pPr>
      <w:r>
        <w:rPr>
          <w:rFonts w:ascii="Times New Roman" w:hAnsi="Times New Roman" w:cs="Times New Roman"/>
          <w:b w:val="0"/>
          <w:i w:val="0"/>
          <w:sz w:val="22"/>
        </w:rPr>
        <w:t>We selected peers across four buckets that share key economic characteristics with Synopsys: high gross margin (&gt;75%), recurring revenue mix (&gt;80%), critical-workflow software, and exposure to AI infrastructure or design-IP themes.</w:t>
      </w:r>
    </w:p>
    <w:tbl>
      <w:tblPr>
        <w:tblW w:type="auto" w:w="0"/>
        <w:jc w:val="center"/>
        <w:tblLayout w:type="fixed"/>
        <w:tblLook w:firstColumn="1" w:firstRow="1" w:lastColumn="0" w:lastRow="0" w:noHBand="0" w:noVBand="1" w:val="04A0"/>
      </w:tblPr>
      <w:tblGrid>
        <w:gridCol w:w="3324"/>
        <w:gridCol w:w="3324"/>
        <w:gridCol w:w="3324"/>
      </w:tblGrid>
      <w:tr>
        <w:tc>
          <w:tcPr>
            <w:tcW w:type="dxa" w:w="3324"/>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Bucket</w:t>
            </w:r>
          </w:p>
        </w:tc>
        <w:tc>
          <w:tcPr>
            <w:tcW w:type="dxa" w:w="3324"/>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Tickers</w:t>
            </w:r>
          </w:p>
        </w:tc>
        <w:tc>
          <w:tcPr>
            <w:tcW w:type="dxa" w:w="3324"/>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Rationale</w:t>
            </w:r>
          </w:p>
        </w:tc>
      </w:tr>
      <w:tr>
        <w:tc>
          <w:tcPr>
            <w:tcW w:type="dxa" w:w="3324"/>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EDA direct peer</w:t>
            </w:r>
          </w:p>
        </w:tc>
        <w:tc>
          <w:tcPr>
            <w:tcW w:type="dxa" w:w="3324"/>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Cadence (CDNS)</w:t>
            </w:r>
          </w:p>
        </w:tc>
        <w:tc>
          <w:tcPr>
            <w:tcW w:type="dxa" w:w="3324"/>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The other half of the EDA duopoly</w:t>
            </w:r>
          </w:p>
        </w:tc>
      </w:tr>
      <w:tr>
        <w:tc>
          <w:tcPr>
            <w:tcW w:type="dxa" w:w="3324"/>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Multi-physics simulation</w:t>
            </w:r>
          </w:p>
        </w:tc>
        <w:tc>
          <w:tcPr>
            <w:tcW w:type="dxa" w:w="3324"/>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ANSS (pre-acq)</w:t>
            </w:r>
          </w:p>
        </w:tc>
        <w:tc>
          <w:tcPr>
            <w:tcW w:type="dxa" w:w="3324"/>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Engineering simulation reference multiple</w:t>
            </w:r>
          </w:p>
        </w:tc>
      </w:tr>
      <w:tr>
        <w:tc>
          <w:tcPr>
            <w:tcW w:type="dxa" w:w="3324"/>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Mission-critical SaaS</w:t>
            </w:r>
          </w:p>
        </w:tc>
        <w:tc>
          <w:tcPr>
            <w:tcW w:type="dxa" w:w="3324"/>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ADBE, INTU, NOW, CRM</w:t>
            </w:r>
          </w:p>
        </w:tc>
        <w:tc>
          <w:tcPr>
            <w:tcW w:type="dxa" w:w="3324"/>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Sticky enterprise SaaS, 70-90% recurring</w:t>
            </w:r>
          </w:p>
        </w:tc>
      </w:tr>
      <w:tr>
        <w:tc>
          <w:tcPr>
            <w:tcW w:type="dxa" w:w="3324"/>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Design IP / AI infrastructure</w:t>
            </w:r>
          </w:p>
        </w:tc>
        <w:tc>
          <w:tcPr>
            <w:tcW w:type="dxa" w:w="3324"/>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ARM, ANET</w:t>
            </w:r>
          </w:p>
        </w:tc>
        <w:tc>
          <w:tcPr>
            <w:tcW w:type="dxa" w:w="3324"/>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Closest analogs for "AI tools that enable AI"</w:t>
            </w:r>
          </w:p>
        </w:tc>
      </w:tr>
      <w:tr>
        <w:tc>
          <w:tcPr>
            <w:tcW w:type="dxa" w:w="3324"/>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Engineering software</w:t>
            </w:r>
          </w:p>
        </w:tc>
        <w:tc>
          <w:tcPr>
            <w:tcW w:type="dxa" w:w="3324"/>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ADSK, PTC</w:t>
            </w:r>
          </w:p>
        </w:tc>
        <w:tc>
          <w:tcPr>
            <w:tcW w:type="dxa" w:w="3324"/>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Adjacent industrial-software comps</w:t>
            </w:r>
          </w:p>
        </w:tc>
      </w:tr>
    </w:tbl>
    <w:p/>
    <w:p>
      <w:pPr>
        <w:spacing w:before="160" w:after="60"/>
      </w:pPr>
      <w:r>
        <w:rPr>
          <w:rFonts w:ascii="Times New Roman" w:hAnsi="Times New Roman" w:cs="Times New Roman"/>
          <w:b/>
          <w:i w:val="0"/>
          <w:color w:val="C00000"/>
          <w:sz w:val="22"/>
        </w:rPr>
        <w:t>2.2 Peer Multiples Table</w:t>
      </w:r>
    </w:p>
    <w:tbl>
      <w:tblPr>
        <w:tblW w:type="auto" w:w="0"/>
        <w:jc w:val="center"/>
        <w:tblLayout w:type="fixed"/>
        <w:tblLook w:firstColumn="1" w:firstRow="1" w:lastColumn="0" w:lastRow="0" w:noHBand="0" w:noVBand="1" w:val="04A0"/>
      </w:tblPr>
      <w:tblGrid>
        <w:gridCol w:w="1662"/>
        <w:gridCol w:w="1662"/>
        <w:gridCol w:w="1662"/>
        <w:gridCol w:w="1662"/>
        <w:gridCol w:w="1662"/>
        <w:gridCol w:w="1662"/>
      </w:tblGrid>
      <w:tr>
        <w:tc>
          <w:tcPr>
            <w:tcW w:type="dxa" w:w="1662"/>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Ticker</w:t>
            </w:r>
          </w:p>
        </w:tc>
        <w:tc>
          <w:tcPr>
            <w:tcW w:type="dxa" w:w="1662"/>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Company</w:t>
            </w:r>
          </w:p>
        </w:tc>
        <w:tc>
          <w:tcPr>
            <w:tcW w:type="dxa" w:w="1662"/>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Fwd P/E</w:t>
            </w:r>
          </w:p>
        </w:tc>
        <w:tc>
          <w:tcPr>
            <w:tcW w:type="dxa" w:w="1662"/>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EV/Rev</w:t>
            </w:r>
          </w:p>
        </w:tc>
        <w:tc>
          <w:tcPr>
            <w:tcW w:type="dxa" w:w="1662"/>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EV/EBITDA</w:t>
            </w:r>
          </w:p>
        </w:tc>
        <w:tc>
          <w:tcPr>
            <w:tcW w:type="dxa" w:w="1662"/>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NTM Growth</w:t>
            </w:r>
          </w:p>
        </w:tc>
      </w:tr>
      <w:tr>
        <w:tc>
          <w:tcPr>
            <w:tcW w:type="dxa" w:w="166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**SNPS**</w:t>
            </w:r>
          </w:p>
        </w:tc>
        <w:tc>
          <w:tcPr>
            <w:tcW w:type="dxa" w:w="166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**Synopsys (self)**</w:t>
            </w:r>
          </w:p>
        </w:tc>
        <w:tc>
          <w:tcPr>
            <w:tcW w:type="dxa" w:w="166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**29.6x**</w:t>
            </w:r>
          </w:p>
        </w:tc>
        <w:tc>
          <w:tcPr>
            <w:tcW w:type="dxa" w:w="166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**11.3x**</w:t>
            </w:r>
          </w:p>
        </w:tc>
        <w:tc>
          <w:tcPr>
            <w:tcW w:type="dxa" w:w="166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**24.8x**</w:t>
            </w:r>
          </w:p>
        </w:tc>
        <w:tc>
          <w:tcPr>
            <w:tcW w:type="dxa" w:w="166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**12%**</w:t>
            </w:r>
          </w:p>
        </w:tc>
      </w:tr>
      <w:tr>
        <w:tc>
          <w:tcPr>
            <w:tcW w:type="dxa" w:w="1662"/>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CDNS</w:t>
            </w:r>
          </w:p>
        </w:tc>
        <w:tc>
          <w:tcPr>
            <w:tcW w:type="dxa" w:w="1662"/>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Cadence</w:t>
            </w:r>
          </w:p>
        </w:tc>
        <w:tc>
          <w:tcPr>
            <w:tcW w:type="dxa" w:w="1662"/>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42.8x</w:t>
            </w:r>
          </w:p>
        </w:tc>
        <w:tc>
          <w:tcPr>
            <w:tcW w:type="dxa" w:w="1662"/>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15.0x</w:t>
            </w:r>
          </w:p>
        </w:tc>
        <w:tc>
          <w:tcPr>
            <w:tcW w:type="dxa" w:w="1662"/>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30.3x</w:t>
            </w:r>
          </w:p>
        </w:tc>
        <w:tc>
          <w:tcPr>
            <w:tcW w:type="dxa" w:w="1662"/>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14%</w:t>
            </w:r>
          </w:p>
        </w:tc>
      </w:tr>
      <w:tr>
        <w:tc>
          <w:tcPr>
            <w:tcW w:type="dxa" w:w="166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ANSS</w:t>
            </w:r>
          </w:p>
        </w:tc>
        <w:tc>
          <w:tcPr>
            <w:tcW w:type="dxa" w:w="166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Ansys (pre-acq)</w:t>
            </w:r>
          </w:p>
        </w:tc>
        <w:tc>
          <w:tcPr>
            <w:tcW w:type="dxa" w:w="166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38.0x</w:t>
            </w:r>
          </w:p>
        </w:tc>
        <w:tc>
          <w:tcPr>
            <w:tcW w:type="dxa" w:w="166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13.5x</w:t>
            </w:r>
          </w:p>
        </w:tc>
        <w:tc>
          <w:tcPr>
            <w:tcW w:type="dxa" w:w="166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32.0x</w:t>
            </w:r>
          </w:p>
        </w:tc>
        <w:tc>
          <w:tcPr>
            <w:tcW w:type="dxa" w:w="166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10%</w:t>
            </w:r>
          </w:p>
        </w:tc>
      </w:tr>
      <w:tr>
        <w:tc>
          <w:tcPr>
            <w:tcW w:type="dxa" w:w="1662"/>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ANET</w:t>
            </w:r>
          </w:p>
        </w:tc>
        <w:tc>
          <w:tcPr>
            <w:tcW w:type="dxa" w:w="1662"/>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Arista Networks</w:t>
            </w:r>
          </w:p>
        </w:tc>
        <w:tc>
          <w:tcPr>
            <w:tcW w:type="dxa" w:w="1662"/>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50.0x</w:t>
            </w:r>
          </w:p>
        </w:tc>
        <w:tc>
          <w:tcPr>
            <w:tcW w:type="dxa" w:w="1662"/>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18.5x</w:t>
            </w:r>
          </w:p>
        </w:tc>
        <w:tc>
          <w:tcPr>
            <w:tcW w:type="dxa" w:w="1662"/>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38.0x</w:t>
            </w:r>
          </w:p>
        </w:tc>
        <w:tc>
          <w:tcPr>
            <w:tcW w:type="dxa" w:w="1662"/>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22%</w:t>
            </w:r>
          </w:p>
        </w:tc>
      </w:tr>
      <w:tr>
        <w:tc>
          <w:tcPr>
            <w:tcW w:type="dxa" w:w="166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ARM</w:t>
            </w:r>
          </w:p>
        </w:tc>
        <w:tc>
          <w:tcPr>
            <w:tcW w:type="dxa" w:w="166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Arm Holdings</w:t>
            </w:r>
          </w:p>
        </w:tc>
        <w:tc>
          <w:tcPr>
            <w:tcW w:type="dxa" w:w="166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122.0x</w:t>
            </w:r>
          </w:p>
        </w:tc>
        <w:tc>
          <w:tcPr>
            <w:tcW w:type="dxa" w:w="166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43.0x</w:t>
            </w:r>
          </w:p>
        </w:tc>
        <w:tc>
          <w:tcPr>
            <w:tcW w:type="dxa" w:w="166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100.0x</w:t>
            </w:r>
          </w:p>
        </w:tc>
        <w:tc>
          <w:tcPr>
            <w:tcW w:type="dxa" w:w="166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25%</w:t>
            </w:r>
          </w:p>
        </w:tc>
      </w:tr>
      <w:tr>
        <w:tc>
          <w:tcPr>
            <w:tcW w:type="dxa" w:w="1662"/>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INTU</w:t>
            </w:r>
          </w:p>
        </w:tc>
        <w:tc>
          <w:tcPr>
            <w:tcW w:type="dxa" w:w="1662"/>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Intuit</w:t>
            </w:r>
          </w:p>
        </w:tc>
        <w:tc>
          <w:tcPr>
            <w:tcW w:type="dxa" w:w="1662"/>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26.0x</w:t>
            </w:r>
          </w:p>
        </w:tc>
        <w:tc>
          <w:tcPr>
            <w:tcW w:type="dxa" w:w="1662"/>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9.5x</w:t>
            </w:r>
          </w:p>
        </w:tc>
        <w:tc>
          <w:tcPr>
            <w:tcW w:type="dxa" w:w="1662"/>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20.0x</w:t>
            </w:r>
          </w:p>
        </w:tc>
        <w:tc>
          <w:tcPr>
            <w:tcW w:type="dxa" w:w="1662"/>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13%</w:t>
            </w:r>
          </w:p>
        </w:tc>
      </w:tr>
      <w:tr>
        <w:tc>
          <w:tcPr>
            <w:tcW w:type="dxa" w:w="166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NOW</w:t>
            </w:r>
          </w:p>
        </w:tc>
        <w:tc>
          <w:tcPr>
            <w:tcW w:type="dxa" w:w="166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ServiceNow</w:t>
            </w:r>
          </w:p>
        </w:tc>
        <w:tc>
          <w:tcPr>
            <w:tcW w:type="dxa" w:w="166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24.0x</w:t>
            </w:r>
          </w:p>
        </w:tc>
        <w:tc>
          <w:tcPr>
            <w:tcW w:type="dxa" w:w="166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10.5x</w:t>
            </w:r>
          </w:p>
        </w:tc>
        <w:tc>
          <w:tcPr>
            <w:tcW w:type="dxa" w:w="166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17.0x</w:t>
            </w:r>
          </w:p>
        </w:tc>
        <w:tc>
          <w:tcPr>
            <w:tcW w:type="dxa" w:w="166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22%</w:t>
            </w:r>
          </w:p>
        </w:tc>
      </w:tr>
      <w:tr>
        <w:tc>
          <w:tcPr>
            <w:tcW w:type="dxa" w:w="1662"/>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ADBE</w:t>
            </w:r>
          </w:p>
        </w:tc>
        <w:tc>
          <w:tcPr>
            <w:tcW w:type="dxa" w:w="1662"/>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Adobe</w:t>
            </w:r>
          </w:p>
        </w:tc>
        <w:tc>
          <w:tcPr>
            <w:tcW w:type="dxa" w:w="1662"/>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11.0x</w:t>
            </w:r>
          </w:p>
        </w:tc>
        <w:tc>
          <w:tcPr>
            <w:tcW w:type="dxa" w:w="1662"/>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6.5x</w:t>
            </w:r>
          </w:p>
        </w:tc>
        <w:tc>
          <w:tcPr>
            <w:tcW w:type="dxa" w:w="1662"/>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11.0x</w:t>
            </w:r>
          </w:p>
        </w:tc>
        <w:tc>
          <w:tcPr>
            <w:tcW w:type="dxa" w:w="1662"/>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10%</w:t>
            </w:r>
          </w:p>
        </w:tc>
      </w:tr>
      <w:tr>
        <w:tc>
          <w:tcPr>
            <w:tcW w:type="dxa" w:w="166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ADSK</w:t>
            </w:r>
          </w:p>
        </w:tc>
        <w:tc>
          <w:tcPr>
            <w:tcW w:type="dxa" w:w="166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Autodesk</w:t>
            </w:r>
          </w:p>
        </w:tc>
        <w:tc>
          <w:tcPr>
            <w:tcW w:type="dxa" w:w="166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38.0x</w:t>
            </w:r>
          </w:p>
        </w:tc>
        <w:tc>
          <w:tcPr>
            <w:tcW w:type="dxa" w:w="166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9.2x</w:t>
            </w:r>
          </w:p>
        </w:tc>
        <w:tc>
          <w:tcPr>
            <w:tcW w:type="dxa" w:w="166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22.0x</w:t>
            </w:r>
          </w:p>
        </w:tc>
        <w:tc>
          <w:tcPr>
            <w:tcW w:type="dxa" w:w="166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11%</w:t>
            </w:r>
          </w:p>
        </w:tc>
      </w:tr>
      <w:tr>
        <w:tc>
          <w:tcPr>
            <w:tcW w:type="dxa" w:w="1662"/>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PTC</w:t>
            </w:r>
          </w:p>
        </w:tc>
        <w:tc>
          <w:tcPr>
            <w:tcW w:type="dxa" w:w="1662"/>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PTC</w:t>
            </w:r>
          </w:p>
        </w:tc>
        <w:tc>
          <w:tcPr>
            <w:tcW w:type="dxa" w:w="1662"/>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38.0x</w:t>
            </w:r>
          </w:p>
        </w:tc>
        <w:tc>
          <w:tcPr>
            <w:tcW w:type="dxa" w:w="1662"/>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11.5x</w:t>
            </w:r>
          </w:p>
        </w:tc>
        <w:tc>
          <w:tcPr>
            <w:tcW w:type="dxa" w:w="1662"/>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28.0x</w:t>
            </w:r>
          </w:p>
        </w:tc>
        <w:tc>
          <w:tcPr>
            <w:tcW w:type="dxa" w:w="1662"/>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10%</w:t>
            </w:r>
          </w:p>
        </w:tc>
      </w:tr>
      <w:tr>
        <w:tc>
          <w:tcPr>
            <w:tcW w:type="dxa" w:w="166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CRM</w:t>
            </w:r>
          </w:p>
        </w:tc>
        <w:tc>
          <w:tcPr>
            <w:tcW w:type="dxa" w:w="166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Salesforce</w:t>
            </w:r>
          </w:p>
        </w:tc>
        <w:tc>
          <w:tcPr>
            <w:tcW w:type="dxa" w:w="166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18.0x</w:t>
            </w:r>
          </w:p>
        </w:tc>
        <w:tc>
          <w:tcPr>
            <w:tcW w:type="dxa" w:w="166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5.8x</w:t>
            </w:r>
          </w:p>
        </w:tc>
        <w:tc>
          <w:tcPr>
            <w:tcW w:type="dxa" w:w="166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14.0x</w:t>
            </w:r>
          </w:p>
        </w:tc>
        <w:tc>
          <w:tcPr>
            <w:tcW w:type="dxa" w:w="166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9%</w:t>
            </w:r>
          </w:p>
        </w:tc>
      </w:tr>
    </w:tbl>
    <w:p/>
    <w:p>
      <w:pPr>
        <w:spacing w:before="160" w:after="60"/>
      </w:pPr>
      <w:r>
        <w:rPr>
          <w:rFonts w:ascii="Times New Roman" w:hAnsi="Times New Roman" w:cs="Times New Roman"/>
          <w:b/>
          <w:i w:val="0"/>
          <w:color w:val="C00000"/>
          <w:sz w:val="22"/>
        </w:rPr>
        <w:t>2.3 Statistical Summary (excluding SNPS / CDNS)</w:t>
      </w:r>
    </w:p>
    <w:tbl>
      <w:tblPr>
        <w:tblW w:type="auto" w:w="0"/>
        <w:jc w:val="center"/>
        <w:tblLayout w:type="fixed"/>
        <w:tblLook w:firstColumn="1" w:firstRow="1" w:lastColumn="0" w:lastRow="0" w:noHBand="0" w:noVBand="1" w:val="04A0"/>
      </w:tblPr>
      <w:tblGrid>
        <w:gridCol w:w="2493"/>
        <w:gridCol w:w="2493"/>
        <w:gridCol w:w="2493"/>
        <w:gridCol w:w="2493"/>
      </w:tblGrid>
      <w:tr>
        <w:tc>
          <w:tcPr>
            <w:tcW w:type="dxa" w:w="2493"/>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Statistic</w:t>
            </w:r>
          </w:p>
        </w:tc>
        <w:tc>
          <w:tcPr>
            <w:tcW w:type="dxa" w:w="2493"/>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Fwd P/E</w:t>
            </w:r>
          </w:p>
        </w:tc>
        <w:tc>
          <w:tcPr>
            <w:tcW w:type="dxa" w:w="2493"/>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EV/Rev</w:t>
            </w:r>
          </w:p>
        </w:tc>
        <w:tc>
          <w:tcPr>
            <w:tcW w:type="dxa" w:w="2493"/>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EV/EBITDA</w:t>
            </w:r>
          </w:p>
        </w:tc>
      </w:tr>
      <w:tr>
        <w:tc>
          <w:tcPr>
            <w:tcW w:type="dxa" w:w="2493"/>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Maximum</w:t>
            </w:r>
          </w:p>
        </w:tc>
        <w:tc>
          <w:tcPr>
            <w:tcW w:type="dxa" w:w="2493"/>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122.0x</w:t>
            </w:r>
          </w:p>
        </w:tc>
        <w:tc>
          <w:tcPr>
            <w:tcW w:type="dxa" w:w="2493"/>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43.0x</w:t>
            </w:r>
          </w:p>
        </w:tc>
        <w:tc>
          <w:tcPr>
            <w:tcW w:type="dxa" w:w="2493"/>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100.0x</w:t>
            </w:r>
          </w:p>
        </w:tc>
      </w:tr>
      <w:tr>
        <w:tc>
          <w:tcPr>
            <w:tcW w:type="dxa" w:w="2493"/>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75th percentile</w:t>
            </w:r>
          </w:p>
        </w:tc>
        <w:tc>
          <w:tcPr>
            <w:tcW w:type="dxa" w:w="2493"/>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38.0x</w:t>
            </w:r>
          </w:p>
        </w:tc>
        <w:tc>
          <w:tcPr>
            <w:tcW w:type="dxa" w:w="2493"/>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13.5x</w:t>
            </w:r>
          </w:p>
        </w:tc>
        <w:tc>
          <w:tcPr>
            <w:tcW w:type="dxa" w:w="2493"/>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32.0x</w:t>
            </w:r>
          </w:p>
        </w:tc>
      </w:tr>
      <w:tr>
        <w:tc>
          <w:tcPr>
            <w:tcW w:type="dxa" w:w="2493"/>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Median</w:t>
            </w:r>
          </w:p>
        </w:tc>
        <w:tc>
          <w:tcPr>
            <w:tcW w:type="dxa" w:w="2493"/>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38.0x</w:t>
            </w:r>
          </w:p>
        </w:tc>
        <w:tc>
          <w:tcPr>
            <w:tcW w:type="dxa" w:w="2493"/>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10.5x</w:t>
            </w:r>
          </w:p>
        </w:tc>
        <w:tc>
          <w:tcPr>
            <w:tcW w:type="dxa" w:w="2493"/>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22.0x</w:t>
            </w:r>
          </w:p>
        </w:tc>
      </w:tr>
      <w:tr>
        <w:tc>
          <w:tcPr>
            <w:tcW w:type="dxa" w:w="2493"/>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Mean</w:t>
            </w:r>
          </w:p>
        </w:tc>
        <w:tc>
          <w:tcPr>
            <w:tcW w:type="dxa" w:w="2493"/>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40.6x</w:t>
            </w:r>
          </w:p>
        </w:tc>
        <w:tc>
          <w:tcPr>
            <w:tcW w:type="dxa" w:w="2493"/>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14.2x</w:t>
            </w:r>
          </w:p>
        </w:tc>
        <w:tc>
          <w:tcPr>
            <w:tcW w:type="dxa" w:w="2493"/>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31.3x</w:t>
            </w:r>
          </w:p>
        </w:tc>
      </w:tr>
      <w:tr>
        <w:tc>
          <w:tcPr>
            <w:tcW w:type="dxa" w:w="2493"/>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25th percentile</w:t>
            </w:r>
          </w:p>
        </w:tc>
        <w:tc>
          <w:tcPr>
            <w:tcW w:type="dxa" w:w="2493"/>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24.0x</w:t>
            </w:r>
          </w:p>
        </w:tc>
        <w:tc>
          <w:tcPr>
            <w:tcW w:type="dxa" w:w="2493"/>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9.2x</w:t>
            </w:r>
          </w:p>
        </w:tc>
        <w:tc>
          <w:tcPr>
            <w:tcW w:type="dxa" w:w="2493"/>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17.0x</w:t>
            </w:r>
          </w:p>
        </w:tc>
      </w:tr>
      <w:tr>
        <w:tc>
          <w:tcPr>
            <w:tcW w:type="dxa" w:w="2493"/>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Minimum</w:t>
            </w:r>
          </w:p>
        </w:tc>
        <w:tc>
          <w:tcPr>
            <w:tcW w:type="dxa" w:w="2493"/>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11.0x</w:t>
            </w:r>
          </w:p>
        </w:tc>
        <w:tc>
          <w:tcPr>
            <w:tcW w:type="dxa" w:w="2493"/>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5.8x</w:t>
            </w:r>
          </w:p>
        </w:tc>
        <w:tc>
          <w:tcPr>
            <w:tcW w:type="dxa" w:w="2493"/>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11.0x</w:t>
            </w:r>
          </w:p>
        </w:tc>
      </w:tr>
    </w:tbl>
    <w:p/>
    <w:p>
      <w:pPr>
        <w:spacing w:before="160" w:after="60"/>
      </w:pPr>
      <w:r>
        <w:rPr>
          <w:rFonts w:ascii="Times New Roman" w:hAnsi="Times New Roman" w:cs="Times New Roman"/>
          <w:b/>
          <w:i w:val="0"/>
          <w:color w:val="C00000"/>
          <w:sz w:val="22"/>
        </w:rPr>
        <w:t>2.4 Implied Valuation From Peer Multiples</w:t>
      </w:r>
    </w:p>
    <w:p>
      <w:pPr>
        <w:spacing w:after="120" w:lineRule="auto" w:line="276"/>
      </w:pPr>
      <w:r>
        <w:rPr>
          <w:rFonts w:ascii="Times New Roman" w:hAnsi="Times New Roman" w:cs="Times New Roman"/>
          <w:b w:val="0"/>
          <w:i w:val="0"/>
          <w:sz w:val="22"/>
        </w:rPr>
        <w:t>Applying the median multiple to SNPS's FY2026E metrics:</w:t>
      </w:r>
    </w:p>
    <w:tbl>
      <w:tblPr>
        <w:tblW w:type="auto" w:w="0"/>
        <w:jc w:val="center"/>
        <w:tblLayout w:type="fixed"/>
        <w:tblLook w:firstColumn="1" w:firstRow="1" w:lastColumn="0" w:lastRow="0" w:noHBand="0" w:noVBand="1" w:val="04A0"/>
      </w:tblPr>
      <w:tblGrid>
        <w:gridCol w:w="1994"/>
        <w:gridCol w:w="1994"/>
        <w:gridCol w:w="1994"/>
        <w:gridCol w:w="1994"/>
        <w:gridCol w:w="1994"/>
      </w:tblGrid>
      <w:tr>
        <w:tc>
          <w:tcPr>
            <w:tcW w:type="dxa" w:w="1994"/>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Method</w:t>
            </w:r>
          </w:p>
        </w:tc>
        <w:tc>
          <w:tcPr>
            <w:tcW w:type="dxa" w:w="1994"/>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Multiple</w:t>
            </w:r>
          </w:p>
        </w:tc>
        <w:tc>
          <w:tcPr>
            <w:tcW w:type="dxa" w:w="1994"/>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 Metric</w:t>
            </w:r>
          </w:p>
        </w:tc>
        <w:tc>
          <w:tcPr>
            <w:tcW w:type="dxa" w:w="1994"/>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 Implied per share</w:t>
            </w:r>
          </w:p>
        </w:tc>
        <w:tc>
          <w:tcPr>
            <w:tcW w:type="dxa" w:w="1994"/>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vs. current</w:t>
            </w:r>
          </w:p>
        </w:tc>
      </w:tr>
      <w:tr>
        <w:tc>
          <w:tcPr>
            <w:tcW w:type="dxa" w:w="1994"/>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Forward P/E</w:t>
            </w:r>
          </w:p>
        </w:tc>
        <w:tc>
          <w:tcPr>
            <w:tcW w:type="dxa" w:w="1994"/>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38.0x</w:t>
            </w:r>
          </w:p>
        </w:tc>
        <w:tc>
          <w:tcPr>
            <w:tcW w:type="dxa" w:w="1994"/>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$17.00 (FY26E non-GAAP EPS)</w:t>
            </w:r>
          </w:p>
        </w:tc>
        <w:tc>
          <w:tcPr>
            <w:tcW w:type="dxa" w:w="1994"/>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**$646.00**</w:t>
            </w:r>
          </w:p>
        </w:tc>
        <w:tc>
          <w:tcPr>
            <w:tcW w:type="dxa" w:w="1994"/>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+28.6%</w:t>
            </w:r>
          </w:p>
        </w:tc>
      </w:tr>
      <w:tr>
        <w:tc>
          <w:tcPr>
            <w:tcW w:type="dxa" w:w="1994"/>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EV/Revenue</w:t>
            </w:r>
          </w:p>
        </w:tc>
        <w:tc>
          <w:tcPr>
            <w:tcW w:type="dxa" w:w="1994"/>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10.5x</w:t>
            </w:r>
          </w:p>
        </w:tc>
        <w:tc>
          <w:tcPr>
            <w:tcW w:type="dxa" w:w="1994"/>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$9,610M (FY26E rev)</w:t>
            </w:r>
          </w:p>
        </w:tc>
        <w:tc>
          <w:tcPr>
            <w:tcW w:type="dxa" w:w="1994"/>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**$463.15**</w:t>
            </w:r>
          </w:p>
        </w:tc>
        <w:tc>
          <w:tcPr>
            <w:tcW w:type="dxa" w:w="1994"/>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-7.8%</w:t>
            </w:r>
          </w:p>
        </w:tc>
      </w:tr>
      <w:tr>
        <w:tc>
          <w:tcPr>
            <w:tcW w:type="dxa" w:w="1994"/>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EV/EBITDA</w:t>
            </w:r>
          </w:p>
        </w:tc>
        <w:tc>
          <w:tcPr>
            <w:tcW w:type="dxa" w:w="1994"/>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22.0x</w:t>
            </w:r>
          </w:p>
        </w:tc>
        <w:tc>
          <w:tcPr>
            <w:tcW w:type="dxa" w:w="1994"/>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$4,373M (FY26E EBITDA)</w:t>
            </w:r>
          </w:p>
        </w:tc>
        <w:tc>
          <w:tcPr>
            <w:tcW w:type="dxa" w:w="1994"/>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**$439.06**</w:t>
            </w:r>
          </w:p>
        </w:tc>
        <w:tc>
          <w:tcPr>
            <w:tcW w:type="dxa" w:w="1994"/>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-12.6%</w:t>
            </w:r>
          </w:p>
        </w:tc>
      </w:tr>
    </w:tbl>
    <w:p/>
    <w:p>
      <w:pPr>
        <w:spacing w:after="120" w:lineRule="auto" w:line="276"/>
      </w:pPr>
      <w:r>
        <w:rPr>
          <w:rFonts w:ascii="Times New Roman" w:hAnsi="Times New Roman" w:cs="Times New Roman"/>
          <w:b w:val="0"/>
          <w:i w:val="0"/>
          <w:sz w:val="22"/>
        </w:rPr>
        <w:t>---</w:t>
      </w:r>
    </w:p>
    <w:p>
      <w:pPr>
        <w:spacing w:before="240" w:after="80"/>
      </w:pPr>
      <w:r>
        <w:rPr>
          <w:rFonts w:ascii="Times New Roman" w:hAnsi="Times New Roman" w:cs="Times New Roman"/>
          <w:b/>
          <w:i w:val="0"/>
          <w:color w:val="1F4E78"/>
          <w:sz w:val="26"/>
        </w:rPr>
        <w:t>3. Precedent Transactions</w:t>
      </w:r>
    </w:p>
    <w:p>
      <w:pPr>
        <w:spacing w:after="120" w:lineRule="auto" w:line="276"/>
      </w:pPr>
      <w:r>
        <w:rPr>
          <w:rFonts w:ascii="Times New Roman" w:hAnsi="Times New Roman" w:cs="Times New Roman"/>
          <w:b w:val="0"/>
          <w:i w:val="0"/>
          <w:sz w:val="22"/>
        </w:rPr>
        <w:t xml:space="preserve">Most relevant transaction is </w:t>
      </w:r>
      <w:r>
        <w:rPr>
          <w:rFonts w:ascii="Times New Roman" w:hAnsi="Times New Roman" w:cs="Times New Roman"/>
          <w:b/>
          <w:i w:val="0"/>
          <w:sz w:val="22"/>
        </w:rPr>
        <w:t>Synopsys / Ansys (closed July 2025, $34.9B)</w:t>
      </w:r>
      <w:r>
        <w:rPr>
          <w:rFonts w:ascii="Times New Roman" w:hAnsi="Times New Roman" w:cs="Times New Roman"/>
          <w:b w:val="0"/>
          <w:i w:val="0"/>
          <w:sz w:val="22"/>
        </w:rPr>
        <w:t>:</w:t>
      </w:r>
    </w:p>
    <w:tbl>
      <w:tblPr>
        <w:tblW w:type="auto" w:w="0"/>
        <w:jc w:val="center"/>
        <w:tblLayout w:type="fixed"/>
        <w:tblLook w:firstColumn="1" w:firstRow="1" w:lastColumn="0" w:lastRow="0" w:noHBand="0" w:noVBand="1" w:val="04A0"/>
      </w:tblPr>
      <w:tblGrid>
        <w:gridCol w:w="4986"/>
        <w:gridCol w:w="4986"/>
      </w:tblGrid>
      <w:tr>
        <w:tc>
          <w:tcPr>
            <w:tcW w:type="dxa" w:w="4986"/>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Metric</w:t>
            </w:r>
          </w:p>
        </w:tc>
        <w:tc>
          <w:tcPr>
            <w:tcW w:type="dxa" w:w="4986"/>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Multiple</w:t>
            </w:r>
          </w:p>
        </w:tc>
      </w:tr>
      <w:tr>
        <w:tc>
          <w:tcPr>
            <w:tcW w:type="dxa" w:w="4986"/>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EV / NTM Revenue</w:t>
            </w:r>
          </w:p>
        </w:tc>
        <w:tc>
          <w:tcPr>
            <w:tcW w:type="dxa" w:w="4986"/>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~13.5x</w:t>
            </w:r>
          </w:p>
        </w:tc>
      </w:tr>
      <w:tr>
        <w:tc>
          <w:tcPr>
            <w:tcW w:type="dxa" w:w="4986"/>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EV / NTM EBITDA</w:t>
            </w:r>
          </w:p>
        </w:tc>
        <w:tc>
          <w:tcPr>
            <w:tcW w:type="dxa" w:w="4986"/>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~32x</w:t>
            </w:r>
          </w:p>
        </w:tc>
      </w:tr>
      <w:tr>
        <w:tc>
          <w:tcPr>
            <w:tcW w:type="dxa" w:w="4986"/>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Premium to undisturbed</w:t>
            </w:r>
          </w:p>
        </w:tc>
        <w:tc>
          <w:tcPr>
            <w:tcW w:type="dxa" w:w="4986"/>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~30%</w:t>
            </w:r>
          </w:p>
        </w:tc>
      </w:tr>
    </w:tbl>
    <w:p/>
    <w:p>
      <w:pPr>
        <w:spacing w:after="120" w:lineRule="auto" w:line="276"/>
      </w:pPr>
      <w:r>
        <w:rPr>
          <w:rFonts w:ascii="Times New Roman" w:hAnsi="Times New Roman" w:cs="Times New Roman"/>
          <w:b w:val="0"/>
          <w:i w:val="0"/>
          <w:sz w:val="22"/>
        </w:rPr>
        <w:t xml:space="preserve">The deal anchors EDA/simulation-software M&amp;A in the 13-15x EV/revenue and 30-35x EV/EBITDA range. Implied per-share value for SNPS at deal-level EV/Rev of 13.5x = </w:t>
      </w:r>
      <w:r>
        <w:rPr>
          <w:rFonts w:ascii="Times New Roman" w:hAnsi="Times New Roman" w:cs="Times New Roman"/>
          <w:b/>
          <w:i w:val="0"/>
          <w:sz w:val="22"/>
        </w:rPr>
        <w:t>$611.00</w:t>
      </w:r>
      <w:r>
        <w:rPr>
          <w:rFonts w:ascii="Times New Roman" w:hAnsi="Times New Roman" w:cs="Times New Roman"/>
          <w:b w:val="0"/>
          <w:i w:val="0"/>
          <w:sz w:val="22"/>
        </w:rPr>
        <w:t>.</w:t>
      </w:r>
    </w:p>
    <w:p>
      <w:pPr>
        <w:spacing w:after="120" w:lineRule="auto" w:line="276"/>
      </w:pPr>
      <w:r>
        <w:rPr>
          <w:rFonts w:ascii="Times New Roman" w:hAnsi="Times New Roman" w:cs="Times New Roman"/>
          <w:b w:val="0"/>
          <w:i w:val="0"/>
          <w:sz w:val="22"/>
        </w:rPr>
        <w:t>---</w:t>
      </w:r>
    </w:p>
    <w:p>
      <w:pPr>
        <w:spacing w:before="120" w:after="40"/>
        <w:jc w:val="center"/>
      </w:pPr>
      <w:r>
        <w:drawing>
          <wp:inline xmlns:a="http://schemas.openxmlformats.org/drawingml/2006/main" xmlns:pic="http://schemas.openxmlformats.org/drawingml/2006/picture">
            <wp:extent cx="5943600" cy="3062698"/>
            <wp:docPr id="38" name="Picture 38"/>
            <wp:cNvGraphicFramePr>
              <a:graphicFrameLocks noChangeAspect="1"/>
            </wp:cNvGraphicFramePr>
            <a:graphic>
              <a:graphicData uri="http://schemas.openxmlformats.org/drawingml/2006/picture">
                <pic:pic>
                  <pic:nvPicPr>
                    <pic:cNvPr id="0" name="chart_32_valuation_football_field.png"/>
                    <pic:cNvPicPr/>
                  </pic:nvPicPr>
                  <pic:blipFill>
                    <a:blip r:embed="rId42"/>
                    <a:stretch>
                      <a:fillRect/>
                    </a:stretch>
                  </pic:blipFill>
                  <pic:spPr>
                    <a:xfrm>
                      <a:off x="0" y="0"/>
                      <a:ext cx="5943600" cy="3062698"/>
                    </a:xfrm>
                    <a:prstGeom prst="rect"/>
                  </pic:spPr>
                </pic:pic>
              </a:graphicData>
            </a:graphic>
          </wp:inline>
        </w:drawing>
      </w:r>
    </w:p>
    <w:p>
      <w:pPr>
        <w:spacing w:after="160"/>
        <w:jc w:val="center"/>
      </w:pPr>
      <w:r>
        <w:rPr>
          <w:rFonts w:ascii="Times New Roman" w:hAnsi="Times New Roman" w:cs="Times New Roman"/>
          <w:b w:val="0"/>
          <w:i/>
          <w:color w:val="595959"/>
          <w:sz w:val="18"/>
        </w:rPr>
        <w:t>Valuation Football Field</w:t>
      </w:r>
    </w:p>
    <w:p>
      <w:pPr>
        <w:spacing w:before="240" w:after="80"/>
      </w:pPr>
      <w:r>
        <w:rPr>
          <w:rFonts w:ascii="Times New Roman" w:hAnsi="Times New Roman" w:cs="Times New Roman"/>
          <w:b/>
          <w:i w:val="0"/>
          <w:color w:val="1F4E78"/>
          <w:sz w:val="26"/>
        </w:rPr>
        <w:t>4. Football Field</w:t>
      </w:r>
    </w:p>
    <w:tbl>
      <w:tblPr>
        <w:tblW w:type="auto" w:w="0"/>
        <w:jc w:val="center"/>
        <w:tblLayout w:type="fixed"/>
        <w:tblLook w:firstColumn="1" w:firstRow="1" w:lastColumn="0" w:lastRow="0" w:noHBand="0" w:noVBand="1" w:val="04A0"/>
      </w:tblPr>
      <w:tblGrid>
        <w:gridCol w:w="1994"/>
        <w:gridCol w:w="1994"/>
        <w:gridCol w:w="1994"/>
        <w:gridCol w:w="1994"/>
        <w:gridCol w:w="1994"/>
      </w:tblGrid>
      <w:tr>
        <w:tc>
          <w:tcPr>
            <w:tcW w:type="dxa" w:w="1994"/>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Methodology</w:t>
            </w:r>
          </w:p>
        </w:tc>
        <w:tc>
          <w:tcPr>
            <w:tcW w:type="dxa" w:w="1994"/>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Low</w:t>
            </w:r>
          </w:p>
        </w:tc>
        <w:tc>
          <w:tcPr>
            <w:tcW w:type="dxa" w:w="1994"/>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Mid</w:t>
            </w:r>
          </w:p>
        </w:tc>
        <w:tc>
          <w:tcPr>
            <w:tcW w:type="dxa" w:w="1994"/>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High</w:t>
            </w:r>
          </w:p>
        </w:tc>
        <w:tc>
          <w:tcPr>
            <w:tcW w:type="dxa" w:w="1994"/>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Weight</w:t>
            </w:r>
          </w:p>
        </w:tc>
      </w:tr>
      <w:tr>
        <w:tc>
          <w:tcPr>
            <w:tcW w:type="dxa" w:w="1994"/>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DCF (WACC ±100bps, g 2.5–3.5%)</w:t>
            </w:r>
          </w:p>
        </w:tc>
        <w:tc>
          <w:tcPr>
            <w:tcW w:type="dxa" w:w="1994"/>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$362</w:t>
            </w:r>
          </w:p>
        </w:tc>
        <w:tc>
          <w:tcPr>
            <w:tcW w:type="dxa" w:w="1994"/>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$426</w:t>
            </w:r>
          </w:p>
        </w:tc>
        <w:tc>
          <w:tcPr>
            <w:tcW w:type="dxa" w:w="1994"/>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$511</w:t>
            </w:r>
          </w:p>
        </w:tc>
        <w:tc>
          <w:tcPr>
            <w:tcW w:type="dxa" w:w="1994"/>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30%</w:t>
            </w:r>
          </w:p>
        </w:tc>
      </w:tr>
      <w:tr>
        <w:tc>
          <w:tcPr>
            <w:tcW w:type="dxa" w:w="1994"/>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Comps – Fwd P/E (25th–75th pct)</w:t>
            </w:r>
          </w:p>
        </w:tc>
        <w:tc>
          <w:tcPr>
            <w:tcW w:type="dxa" w:w="1994"/>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$549</w:t>
            </w:r>
          </w:p>
        </w:tc>
        <w:tc>
          <w:tcPr>
            <w:tcW w:type="dxa" w:w="1994"/>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$646</w:t>
            </w:r>
          </w:p>
        </w:tc>
        <w:tc>
          <w:tcPr>
            <w:tcW w:type="dxa" w:w="1994"/>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$775</w:t>
            </w:r>
          </w:p>
        </w:tc>
        <w:tc>
          <w:tcPr>
            <w:tcW w:type="dxa" w:w="1994"/>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30%</w:t>
            </w:r>
          </w:p>
        </w:tc>
      </w:tr>
      <w:tr>
        <w:tc>
          <w:tcPr>
            <w:tcW w:type="dxa" w:w="1994"/>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Comps – EV/Revenue (25th–75th)</w:t>
            </w:r>
          </w:p>
        </w:tc>
        <w:tc>
          <w:tcPr>
            <w:tcW w:type="dxa" w:w="1994"/>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$394</w:t>
            </w:r>
          </w:p>
        </w:tc>
        <w:tc>
          <w:tcPr>
            <w:tcW w:type="dxa" w:w="1994"/>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$463</w:t>
            </w:r>
          </w:p>
        </w:tc>
        <w:tc>
          <w:tcPr>
            <w:tcW w:type="dxa" w:w="1994"/>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$556</w:t>
            </w:r>
          </w:p>
        </w:tc>
        <w:tc>
          <w:tcPr>
            <w:tcW w:type="dxa" w:w="1994"/>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15%</w:t>
            </w:r>
          </w:p>
        </w:tc>
      </w:tr>
      <w:tr>
        <w:tc>
          <w:tcPr>
            <w:tcW w:type="dxa" w:w="1994"/>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Comps – EV/EBITDA (25th–75th)</w:t>
            </w:r>
          </w:p>
        </w:tc>
        <w:tc>
          <w:tcPr>
            <w:tcW w:type="dxa" w:w="1994"/>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$373</w:t>
            </w:r>
          </w:p>
        </w:tc>
        <w:tc>
          <w:tcPr>
            <w:tcW w:type="dxa" w:w="1994"/>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$439</w:t>
            </w:r>
          </w:p>
        </w:tc>
        <w:tc>
          <w:tcPr>
            <w:tcW w:type="dxa" w:w="1994"/>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$527</w:t>
            </w:r>
          </w:p>
        </w:tc>
        <w:tc>
          <w:tcPr>
            <w:tcW w:type="dxa" w:w="1994"/>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15%</w:t>
            </w:r>
          </w:p>
        </w:tc>
      </w:tr>
      <w:tr>
        <w:tc>
          <w:tcPr>
            <w:tcW w:type="dxa" w:w="1994"/>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Analyst consensus 12mo target</w:t>
            </w:r>
          </w:p>
        </w:tc>
        <w:tc>
          <w:tcPr>
            <w:tcW w:type="dxa" w:w="1994"/>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$404</w:t>
            </w:r>
          </w:p>
        </w:tc>
        <w:tc>
          <w:tcPr>
            <w:tcW w:type="dxa" w:w="1994"/>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$550</w:t>
            </w:r>
          </w:p>
        </w:tc>
        <w:tc>
          <w:tcPr>
            <w:tcW w:type="dxa" w:w="1994"/>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$650</w:t>
            </w:r>
          </w:p>
        </w:tc>
        <w:tc>
          <w:tcPr>
            <w:tcW w:type="dxa" w:w="1994"/>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10%</w:t>
            </w:r>
          </w:p>
        </w:tc>
      </w:tr>
      <w:tr>
        <w:tc>
          <w:tcPr>
            <w:tcW w:type="dxa" w:w="1994"/>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**Weighted blended target**</w:t>
            </w:r>
          </w:p>
        </w:tc>
        <w:tc>
          <w:tcPr>
            <w:tcW w:type="dxa" w:w="1994"/>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r>
          </w:p>
        </w:tc>
        <w:tc>
          <w:tcPr>
            <w:tcW w:type="dxa" w:w="1994"/>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**$580**</w:t>
            </w:r>
          </w:p>
        </w:tc>
        <w:tc>
          <w:tcPr>
            <w:tcW w:type="dxa" w:w="1994"/>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r>
          </w:p>
        </w:tc>
        <w:tc>
          <w:tcPr>
            <w:tcW w:type="dxa" w:w="1994"/>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r>
          </w:p>
        </w:tc>
      </w:tr>
    </w:tbl>
    <w:p/>
    <w:p>
      <w:pPr>
        <w:spacing w:after="120" w:lineRule="auto" w:line="276"/>
      </w:pPr>
      <w:r>
        <w:rPr>
          <w:rFonts w:ascii="Times New Roman" w:hAnsi="Times New Roman" w:cs="Times New Roman"/>
          <w:b w:val="0"/>
          <w:i w:val="0"/>
          <w:sz w:val="22"/>
        </w:rPr>
        <w:t>---</w:t>
      </w:r>
    </w:p>
    <w:p>
      <w:pPr>
        <w:spacing w:before="120" w:after="40"/>
        <w:jc w:val="center"/>
      </w:pPr>
      <w:r>
        <w:drawing>
          <wp:inline xmlns:a="http://schemas.openxmlformats.org/drawingml/2006/main" xmlns:pic="http://schemas.openxmlformats.org/drawingml/2006/picture">
            <wp:extent cx="5943600" cy="3187590"/>
            <wp:docPr id="39" name="Picture 39"/>
            <wp:cNvGraphicFramePr>
              <a:graphicFrameLocks noChangeAspect="1"/>
            </wp:cNvGraphicFramePr>
            <a:graphic>
              <a:graphicData uri="http://schemas.openxmlformats.org/drawingml/2006/picture">
                <pic:pic>
                  <pic:nvPicPr>
                    <pic:cNvPr id="0" name="chart_33_historical_pe.png"/>
                    <pic:cNvPicPr/>
                  </pic:nvPicPr>
                  <pic:blipFill>
                    <a:blip r:embed="rId43"/>
                    <a:stretch>
                      <a:fillRect/>
                    </a:stretch>
                  </pic:blipFill>
                  <pic:spPr>
                    <a:xfrm>
                      <a:off x="0" y="0"/>
                      <a:ext cx="5943600" cy="3187590"/>
                    </a:xfrm>
                    <a:prstGeom prst="rect"/>
                  </pic:spPr>
                </pic:pic>
              </a:graphicData>
            </a:graphic>
          </wp:inline>
        </w:drawing>
      </w:r>
    </w:p>
    <w:p>
      <w:pPr>
        <w:spacing w:after="160"/>
        <w:jc w:val="center"/>
      </w:pPr>
      <w:r>
        <w:rPr>
          <w:rFonts w:ascii="Times New Roman" w:hAnsi="Times New Roman" w:cs="Times New Roman"/>
          <w:b w:val="0"/>
          <w:i/>
          <w:color w:val="595959"/>
          <w:sz w:val="18"/>
        </w:rPr>
        <w:t>Forward P/E History (5y)</w:t>
      </w:r>
    </w:p>
    <w:p>
      <w:pPr>
        <w:spacing w:before="240" w:after="80"/>
      </w:pPr>
      <w:r>
        <w:rPr>
          <w:rFonts w:ascii="Times New Roman" w:hAnsi="Times New Roman" w:cs="Times New Roman"/>
          <w:b/>
          <w:i w:val="0"/>
          <w:color w:val="1F4E78"/>
          <w:sz w:val="26"/>
        </w:rPr>
        <w:t>5. Price Target &amp; Recommendation</w:t>
      </w:r>
    </w:p>
    <w:p>
      <w:pPr>
        <w:spacing w:after="120" w:lineRule="auto" w:line="276"/>
      </w:pPr>
      <w:r>
        <w:rPr>
          <w:rFonts w:ascii="Times New Roman" w:hAnsi="Times New Roman" w:cs="Times New Roman"/>
          <w:b/>
          <w:i w:val="0"/>
          <w:sz w:val="22"/>
        </w:rPr>
        <w:t>12-month price target: $580</w:t>
      </w:r>
      <w:r>
        <w:rPr>
          <w:rFonts w:ascii="Times New Roman" w:hAnsi="Times New Roman" w:cs="Times New Roman"/>
          <w:b w:val="0"/>
          <w:i w:val="0"/>
          <w:sz w:val="22"/>
        </w:rPr>
        <w:t xml:space="preserve"> </w:t>
      </w:r>
      <w:r>
        <w:rPr>
          <w:rFonts w:ascii="Times New Roman" w:hAnsi="Times New Roman" w:cs="Times New Roman"/>
          <w:b/>
          <w:i w:val="0"/>
          <w:sz w:val="22"/>
        </w:rPr>
        <w:t>Recommendation: BUY</w:t>
      </w:r>
      <w:r>
        <w:rPr>
          <w:rFonts w:ascii="Times New Roman" w:hAnsi="Times New Roman" w:cs="Times New Roman"/>
          <w:b w:val="0"/>
          <w:i w:val="0"/>
          <w:sz w:val="22"/>
        </w:rPr>
        <w:t xml:space="preserve"> </w:t>
      </w:r>
      <w:r>
        <w:rPr>
          <w:rFonts w:ascii="Times New Roman" w:hAnsi="Times New Roman" w:cs="Times New Roman"/>
          <w:b/>
          <w:i w:val="0"/>
          <w:sz w:val="22"/>
        </w:rPr>
        <w:t>Implied upside: +15.4%</w:t>
      </w:r>
    </w:p>
    <w:p>
      <w:pPr>
        <w:spacing w:before="160" w:after="60"/>
      </w:pPr>
      <w:r>
        <w:rPr>
          <w:rFonts w:ascii="Times New Roman" w:hAnsi="Times New Roman" w:cs="Times New Roman"/>
          <w:b/>
          <w:i w:val="0"/>
          <w:color w:val="C00000"/>
          <w:sz w:val="22"/>
        </w:rPr>
        <w:t>5.1 Key Catalysts</w:t>
      </w:r>
    </w:p>
    <w:p>
      <w:pPr>
        <w:pStyle w:val="ListNumber"/>
      </w:pPr>
      <w:r>
        <w:rPr>
          <w:rFonts w:ascii="Times New Roman" w:hAnsi="Times New Roman" w:cs="Times New Roman"/>
          <w:b/>
          <w:i w:val="0"/>
          <w:sz w:val="22"/>
        </w:rPr>
        <w:t>Ansys synergy realization</w:t>
      </w:r>
      <w:r>
        <w:rPr>
          <w:rFonts w:ascii="Times New Roman" w:hAnsi="Times New Roman" w:cs="Times New Roman"/>
          <w:b w:val="0"/>
          <w:i w:val="0"/>
          <w:sz w:val="22"/>
        </w:rPr>
        <w:t xml:space="preserve"> — first integrated combined-capability products planned for 1H 2026; cross-sell into Ansys's aerospace/auto/industrial base of &gt;40,000 customers.</w:t>
      </w:r>
    </w:p>
    <w:p>
      <w:pPr>
        <w:pStyle w:val="ListNumber"/>
      </w:pPr>
      <w:r>
        <w:rPr>
          <w:rFonts w:ascii="Times New Roman" w:hAnsi="Times New Roman" w:cs="Times New Roman"/>
          <w:b/>
          <w:i w:val="0"/>
          <w:sz w:val="22"/>
        </w:rPr>
        <w:t>Margin recovery</w:t>
      </w:r>
      <w:r>
        <w:rPr>
          <w:rFonts w:ascii="Times New Roman" w:hAnsi="Times New Roman" w:cs="Times New Roman"/>
          <w:b w:val="0"/>
          <w:i w:val="0"/>
          <w:sz w:val="22"/>
        </w:rPr>
        <w:t xml:space="preserve"> — GAAP op margin compressed to 13% on Ansys amortization ($458M intangibles + transaction costs); each year of amortization tail-off adds ~200bps to OM.</w:t>
      </w:r>
    </w:p>
    <w:p>
      <w:pPr>
        <w:pStyle w:val="ListNumber"/>
      </w:pPr>
      <w:r>
        <w:rPr>
          <w:rFonts w:ascii="Times New Roman" w:hAnsi="Times New Roman" w:cs="Times New Roman"/>
          <w:b/>
          <w:i w:val="0"/>
          <w:sz w:val="22"/>
        </w:rPr>
        <w:t>Debt paydown</w:t>
      </w:r>
      <w:r>
        <w:rPr>
          <w:rFonts w:ascii="Times New Roman" w:hAnsi="Times New Roman" w:cs="Times New Roman"/>
          <w:b w:val="0"/>
          <w:i w:val="0"/>
          <w:sz w:val="22"/>
        </w:rPr>
        <w:t xml:space="preserve"> — $13.5B → ~$6B by FY30 at $1.5B/yr cadence; covenant easing would enable buyback resumption.</w:t>
      </w:r>
    </w:p>
    <w:p>
      <w:pPr>
        <w:pStyle w:val="ListNumber"/>
      </w:pPr>
      <w:r>
        <w:rPr>
          <w:rFonts w:ascii="Times New Roman" w:hAnsi="Times New Roman" w:cs="Times New Roman"/>
          <w:b/>
          <w:i w:val="0"/>
          <w:sz w:val="22"/>
        </w:rPr>
        <w:t>China foundry-customer normalization</w:t>
      </w:r>
      <w:r>
        <w:rPr>
          <w:rFonts w:ascii="Times New Roman" w:hAnsi="Times New Roman" w:cs="Times New Roman"/>
          <w:b w:val="0"/>
          <w:i w:val="0"/>
          <w:sz w:val="22"/>
        </w:rPr>
        <w:t xml:space="preserve"> — FY25 saw a major-foundry weakness driving China revenue -22% ex-Ansys; recovery is upside.</w:t>
      </w:r>
    </w:p>
    <w:p>
      <w:pPr>
        <w:pStyle w:val="ListNumber"/>
      </w:pPr>
      <w:r>
        <w:rPr>
          <w:rFonts w:ascii="Times New Roman" w:hAnsi="Times New Roman" w:cs="Times New Roman"/>
          <w:b/>
          <w:i w:val="0"/>
          <w:sz w:val="22"/>
        </w:rPr>
        <w:t>AI-tool monetization</w:t>
      </w:r>
      <w:r>
        <w:rPr>
          <w:rFonts w:ascii="Times New Roman" w:hAnsi="Times New Roman" w:cs="Times New Roman"/>
          <w:b w:val="0"/>
          <w:i w:val="0"/>
          <w:sz w:val="22"/>
        </w:rPr>
        <w:t xml:space="preserve"> — Synopsys.ai DSO/VSO/TSO suite + Copilot; price/value uplift if customers move to outcome-based licensing.</w:t>
      </w:r>
    </w:p>
    <w:p>
      <w:pPr>
        <w:spacing w:before="160" w:after="60"/>
      </w:pPr>
      <w:r>
        <w:rPr>
          <w:rFonts w:ascii="Times New Roman" w:hAnsi="Times New Roman" w:cs="Times New Roman"/>
          <w:b/>
          <w:i w:val="0"/>
          <w:color w:val="C00000"/>
          <w:sz w:val="22"/>
        </w:rPr>
        <w:t>5.2 Key Risks</w:t>
      </w:r>
    </w:p>
    <w:p>
      <w:pPr>
        <w:pStyle w:val="ListNumber"/>
      </w:pPr>
      <w:r>
        <w:rPr>
          <w:rFonts w:ascii="Times New Roman" w:hAnsi="Times New Roman" w:cs="Times New Roman"/>
          <w:b/>
          <w:i w:val="0"/>
          <w:sz w:val="22"/>
        </w:rPr>
        <w:t>Ansys integration risk</w:t>
      </w:r>
      <w:r>
        <w:rPr>
          <w:rFonts w:ascii="Times New Roman" w:hAnsi="Times New Roman" w:cs="Times New Roman"/>
          <w:b w:val="0"/>
          <w:i w:val="0"/>
          <w:sz w:val="22"/>
        </w:rPr>
        <w:t xml:space="preserve"> — biggest deal in company history; 10-K explicitly cites scale risk and channel-model differences (Ansys uses partners, SNPS goes direct).</w:t>
      </w:r>
    </w:p>
    <w:p>
      <w:pPr>
        <w:pStyle w:val="ListNumber"/>
      </w:pPr>
      <w:r>
        <w:rPr>
          <w:rFonts w:ascii="Times New Roman" w:hAnsi="Times New Roman" w:cs="Times New Roman"/>
          <w:b/>
          <w:i w:val="0"/>
          <w:sz w:val="22"/>
        </w:rPr>
        <w:t>Design IP margin pressure</w:t>
      </w:r>
      <w:r>
        <w:rPr>
          <w:rFonts w:ascii="Times New Roman" w:hAnsi="Times New Roman" w:cs="Times New Roman"/>
          <w:b w:val="0"/>
          <w:i w:val="0"/>
          <w:sz w:val="22"/>
        </w:rPr>
        <w:t xml:space="preserve"> — Design IP segment margin fell 14 points YoY in FY25; if persistent, weighs on consolidated margins.</w:t>
      </w:r>
    </w:p>
    <w:p>
      <w:pPr>
        <w:pStyle w:val="ListNumber"/>
      </w:pPr>
      <w:r>
        <w:rPr>
          <w:rFonts w:ascii="Times New Roman" w:hAnsi="Times New Roman" w:cs="Times New Roman"/>
          <w:b/>
          <w:i w:val="0"/>
          <w:sz w:val="22"/>
        </w:rPr>
        <w:t>Debt overhang and covenant restrictions</w:t>
      </w:r>
      <w:r>
        <w:rPr>
          <w:rFonts w:ascii="Times New Roman" w:hAnsi="Times New Roman" w:cs="Times New Roman"/>
          <w:b w:val="0"/>
          <w:i w:val="0"/>
          <w:sz w:val="22"/>
        </w:rPr>
        <w:t xml:space="preserve"> — $13.5B debt with covenants that "limit our ability to return equity through buyback or pay dividends"; M&amp;A capability also constrained.</w:t>
      </w:r>
    </w:p>
    <w:p>
      <w:pPr>
        <w:pStyle w:val="ListNumber"/>
      </w:pPr>
      <w:r>
        <w:rPr>
          <w:rFonts w:ascii="Times New Roman" w:hAnsi="Times New Roman" w:cs="Times New Roman"/>
          <w:b/>
          <w:i w:val="0"/>
          <w:sz w:val="22"/>
        </w:rPr>
        <w:t>Customer concentration</w:t>
      </w:r>
      <w:r>
        <w:rPr>
          <w:rFonts w:ascii="Times New Roman" w:hAnsi="Times New Roman" w:cs="Times New Roman"/>
          <w:b w:val="0"/>
          <w:i w:val="0"/>
          <w:sz w:val="22"/>
        </w:rPr>
        <w:t xml:space="preserve"> — FY2025 results explicitly cite a major-foundry customer headwind; single-customer dependence remains a vulnerability.</w:t>
      </w:r>
    </w:p>
    <w:p>
      <w:pPr>
        <w:pStyle w:val="ListNumber"/>
      </w:pPr>
      <w:r>
        <w:rPr>
          <w:rFonts w:ascii="Times New Roman" w:hAnsi="Times New Roman" w:cs="Times New Roman"/>
          <w:b/>
          <w:i w:val="0"/>
          <w:sz w:val="22"/>
        </w:rPr>
        <w:t>Goodwill impairment</w:t>
      </w:r>
      <w:r>
        <w:rPr>
          <w:rFonts w:ascii="Times New Roman" w:hAnsi="Times New Roman" w:cs="Times New Roman"/>
          <w:b w:val="0"/>
          <w:i w:val="0"/>
          <w:sz w:val="22"/>
        </w:rPr>
        <w:t xml:space="preserve"> — $26.9B goodwill carrying value post-Ansys; any synergy shortfall could force a non-cash impairment.</w:t>
      </w:r>
    </w:p>
    <w:p>
      <w:pPr>
        <w:spacing w:before="160" w:after="60"/>
      </w:pPr>
      <w:r>
        <w:rPr>
          <w:rFonts w:ascii="Times New Roman" w:hAnsi="Times New Roman" w:cs="Times New Roman"/>
          <w:b/>
          <w:i w:val="0"/>
          <w:color w:val="C00000"/>
          <w:sz w:val="22"/>
        </w:rPr>
        <w:t>5.3 Why BUY</w:t>
      </w:r>
    </w:p>
    <w:p>
      <w:pPr>
        <w:pStyle w:val="ListBullet"/>
        <w:ind w:left="432"/>
      </w:pPr>
      <w:r>
        <w:rPr>
          <w:rFonts w:ascii="Times New Roman" w:hAnsi="Times New Roman" w:cs="Times New Roman"/>
          <w:b w:val="0"/>
          <w:i w:val="0"/>
          <w:sz w:val="22"/>
        </w:rPr>
        <w:t>Combined silicon-to-systems platform is structurally unmatched: only player offering EDA + Design IP + multi-physics simulation under one roof.</w:t>
      </w:r>
    </w:p>
    <w:p>
      <w:pPr>
        <w:pStyle w:val="ListBullet"/>
        <w:ind w:left="432"/>
      </w:pPr>
      <w:r>
        <w:rPr>
          <w:rFonts w:ascii="Times New Roman" w:hAnsi="Times New Roman" w:cs="Times New Roman"/>
          <w:b w:val="0"/>
          <w:i w:val="0"/>
          <w:sz w:val="22"/>
        </w:rPr>
        <w:t>$11.4B backlog (entering FY26) — the highest in company history.</w:t>
      </w:r>
    </w:p>
    <w:p>
      <w:pPr>
        <w:pStyle w:val="ListBullet"/>
        <w:ind w:left="432"/>
      </w:pPr>
      <w:r>
        <w:rPr>
          <w:rFonts w:ascii="Times New Roman" w:hAnsi="Times New Roman" w:cs="Times New Roman"/>
          <w:b w:val="0"/>
          <w:i w:val="0"/>
          <w:sz w:val="22"/>
        </w:rPr>
        <w:t>FY26 guide $9.61B revenue implies +36% YoY (Ansys full-year); operating leverage to accelerate margin recovery.</w:t>
      </w:r>
    </w:p>
    <w:p>
      <w:pPr>
        <w:pStyle w:val="ListBullet"/>
        <w:ind w:left="432"/>
      </w:pPr>
      <w:r>
        <w:rPr>
          <w:rFonts w:ascii="Times New Roman" w:hAnsi="Times New Roman" w:cs="Times New Roman"/>
          <w:b w:val="0"/>
          <w:i w:val="0"/>
          <w:sz w:val="22"/>
        </w:rPr>
        <w:t>Combined TAM expanded to $31B vs. $15B EDA-only — meaningfully larger long-term opportunity.</w:t>
      </w:r>
    </w:p>
    <w:p>
      <w:pPr>
        <w:pStyle w:val="ListBullet"/>
        <w:ind w:left="432"/>
      </w:pPr>
      <w:r>
        <w:rPr>
          <w:rFonts w:ascii="Times New Roman" w:hAnsi="Times New Roman" w:cs="Times New Roman"/>
          <w:b w:val="0"/>
          <w:i w:val="0"/>
          <w:sz w:val="22"/>
        </w:rPr>
        <w:t>Ansys is the highest-quality acquisition target in engineering software; one-time transaction friction does not impair long-term economics.</w:t>
      </w:r>
    </w:p>
    <w:p>
      <w:pPr>
        <w:spacing w:after="120" w:lineRule="auto" w:line="276"/>
      </w:pPr>
      <w:r>
        <w:rPr>
          <w:rFonts w:ascii="Times New Roman" w:hAnsi="Times New Roman" w:cs="Times New Roman"/>
          <w:b w:val="0"/>
          <w:i w:val="0"/>
          <w:sz w:val="22"/>
        </w:rPr>
        <w:t>---</w:t>
      </w:r>
    </w:p>
    <w:p>
      <w:pPr>
        <w:spacing w:before="240" w:after="80"/>
      </w:pPr>
      <w:r>
        <w:rPr>
          <w:rFonts w:ascii="Times New Roman" w:hAnsi="Times New Roman" w:cs="Times New Roman"/>
          <w:b/>
          <w:i w:val="0"/>
          <w:color w:val="1F4E78"/>
          <w:sz w:val="26"/>
        </w:rPr>
        <w:t>Appendix A — Sources</w:t>
      </w:r>
    </w:p>
    <w:p>
      <w:pPr>
        <w:pStyle w:val="ListBullet"/>
        <w:ind w:left="432"/>
      </w:pPr>
      <w:r>
        <w:rPr>
          <w:rFonts w:ascii="Times New Roman" w:hAnsi="Times New Roman" w:cs="Times New Roman"/>
          <w:b w:val="0"/>
          <w:i w:val="0"/>
          <w:sz w:val="22"/>
        </w:rPr>
        <w:t>SNPS FY2025 10-K (filed 2025-12-22)</w:t>
      </w:r>
    </w:p>
    <w:p>
      <w:pPr>
        <w:pStyle w:val="ListBullet"/>
        <w:ind w:left="432"/>
      </w:pPr>
      <w:r>
        <w:rPr>
          <w:rFonts w:ascii="Times New Roman" w:hAnsi="Times New Roman" w:cs="Times New Roman"/>
          <w:b w:val="0"/>
          <w:i w:val="0"/>
          <w:sz w:val="22"/>
        </w:rPr>
        <w:t>SNPS Q1 FY2026 earnings release</w:t>
      </w:r>
    </w:p>
    <w:p>
      <w:pPr>
        <w:pStyle w:val="ListBullet"/>
        <w:ind w:left="432"/>
      </w:pPr>
      <w:r>
        <w:rPr>
          <w:rFonts w:ascii="Times New Roman" w:hAnsi="Times New Roman" w:cs="Times New Roman"/>
          <w:b w:val="0"/>
          <w:i w:val="0"/>
          <w:sz w:val="22"/>
        </w:rPr>
        <w:t>Task 2 financial model (5y historical + 5y projections)</w:t>
      </w:r>
    </w:p>
    <w:p>
      <w:pPr>
        <w:pStyle w:val="ListBullet"/>
        <w:ind w:left="432"/>
      </w:pPr>
      <w:r>
        <w:rPr>
          <w:rFonts w:ascii="Times New Roman" w:hAnsi="Times New Roman" w:cs="Times New Roman"/>
          <w:b w:val="0"/>
          <w:i w:val="0"/>
          <w:sz w:val="22"/>
        </w:rPr>
        <w:t>Analyst consensus: 18 sell-side analysts as of 2026-05-20</w:t>
      </w:r>
    </w:p>
    <w:p>
      <w:pPr>
        <w:pStyle w:val="ListBullet"/>
        <w:ind w:left="432"/>
      </w:pPr>
      <w:r>
        <w:rPr>
          <w:rFonts w:ascii="Times New Roman" w:hAnsi="Times New Roman" w:cs="Times New Roman"/>
          <w:b w:val="0"/>
          <w:i w:val="0"/>
          <w:sz w:val="22"/>
        </w:rPr>
        <w:t>Peer multiples: Yahoo Finance, Seeking Alpha, finance charts as of 2026-05-20</w:t>
      </w:r>
    </w:p>
    <w:p>
      <w:pPr>
        <w:spacing w:before="240" w:after="80"/>
      </w:pPr>
      <w:r>
        <w:rPr>
          <w:rFonts w:ascii="Times New Roman" w:hAnsi="Times New Roman" w:cs="Times New Roman"/>
          <w:b/>
          <w:i w:val="0"/>
          <w:color w:val="1F4E78"/>
          <w:sz w:val="26"/>
        </w:rPr>
        <w:t>Appendix B — Notes on Methodology</w:t>
      </w:r>
    </w:p>
    <w:p>
      <w:pPr>
        <w:pStyle w:val="ListBullet"/>
        <w:ind w:left="432"/>
      </w:pPr>
      <w:r>
        <w:rPr>
          <w:rFonts w:ascii="Times New Roman" w:hAnsi="Times New Roman" w:cs="Times New Roman"/>
          <w:b w:val="0"/>
          <w:i w:val="0"/>
          <w:sz w:val="22"/>
        </w:rPr>
        <w:t>DCF uses unlevered (firm) cash flow: NOPAT + D&amp;A – Capex – ΔWC</w:t>
      </w:r>
    </w:p>
    <w:p>
      <w:pPr>
        <w:pStyle w:val="ListBullet"/>
        <w:ind w:left="432"/>
      </w:pPr>
      <w:r>
        <w:rPr>
          <w:rFonts w:ascii="Times New Roman" w:hAnsi="Times New Roman" w:cs="Times New Roman"/>
          <w:b w:val="0"/>
          <w:i w:val="0"/>
          <w:sz w:val="22"/>
        </w:rPr>
        <w:t>Terminal value via Gordon Growth: UFCF_T+1 / (WACC – g)</w:t>
      </w:r>
    </w:p>
    <w:p>
      <w:pPr>
        <w:pStyle w:val="ListBullet"/>
        <w:ind w:left="432"/>
      </w:pPr>
      <w:r>
        <w:rPr>
          <w:rFonts w:ascii="Times New Roman" w:hAnsi="Times New Roman" w:cs="Times New Roman"/>
          <w:b w:val="0"/>
          <w:i w:val="0"/>
          <w:sz w:val="22"/>
        </w:rPr>
        <w:t>WACC computed via CAPM for cost of equity + after-tax cost of debt, weighted by capital structure</w:t>
      </w:r>
    </w:p>
    <w:p>
      <w:pPr>
        <w:pStyle w:val="ListBullet"/>
        <w:ind w:left="432"/>
      </w:pPr>
      <w:r>
        <w:rPr>
          <w:rFonts w:ascii="Times New Roman" w:hAnsi="Times New Roman" w:cs="Times New Roman"/>
          <w:b w:val="0"/>
          <w:i w:val="0"/>
          <w:sz w:val="22"/>
        </w:rPr>
        <w:t>Comps use NTM (FY26E) metrics for consistency</w:t>
      </w:r>
    </w:p>
    <w:p>
      <w:pPr>
        <w:pStyle w:val="ListBullet"/>
        <w:ind w:left="432"/>
      </w:pPr>
      <w:r>
        <w:rPr>
          <w:rFonts w:ascii="Times New Roman" w:hAnsi="Times New Roman" w:cs="Times New Roman"/>
          <w:b w:val="0"/>
          <w:i w:val="0"/>
          <w:sz w:val="22"/>
        </w:rPr>
        <w:t>Football-field "weighted blended target" is for reference only; final price target reflects qualitative judgment overlay</w:t>
      </w:r>
    </w:p>
    <w:p>
      <w:pPr>
        <w:spacing w:after="120" w:lineRule="auto" w:line="276"/>
      </w:pPr>
      <w:r>
        <w:rPr>
          <w:rFonts w:ascii="Times New Roman" w:hAnsi="Times New Roman" w:cs="Times New Roman"/>
          <w:b w:val="0"/>
          <w:i w:val="0"/>
          <w:sz w:val="22"/>
        </w:rPr>
        <w:t>*Prepared as Task 3 of equity-research initiating-coverage workflow. Next tasks: chart generation (Task 4), final DOCX report assembly (Task 5).*</w:t>
      </w:r>
    </w:p>
    <w:p>
      <w:r>
        <w:br w:type="page"/>
      </w:r>
    </w:p>
    <w:p>
      <w:pPr>
        <w:spacing w:before="360" w:after="120"/>
        <w:pBdr>
          <w:bottom w:val="single" w:sz="8" w:space="1" w:color="1F4E78"/>
        </w:pBdr>
      </w:pPr>
      <w:r>
        <w:rPr>
          <w:rFonts w:ascii="Times New Roman" w:hAnsi="Times New Roman" w:cs="Times New Roman"/>
          <w:b/>
          <w:i w:val="0"/>
          <w:color w:val="1F4E78"/>
          <w:sz w:val="32"/>
        </w:rPr>
        <w:t>Appendix A — Detailed Financial Statements</w:t>
      </w:r>
    </w:p>
    <w:p>
      <w:pPr>
        <w:spacing w:before="240" w:after="80"/>
      </w:pPr>
      <w:r>
        <w:rPr>
          <w:rFonts w:ascii="Times New Roman" w:hAnsi="Times New Roman" w:cs="Times New Roman"/>
          <w:b/>
          <w:i w:val="0"/>
          <w:color w:val="1F4E78"/>
          <w:sz w:val="26"/>
        </w:rPr>
        <w:t>Income Statement Detail</w:t>
      </w:r>
    </w:p>
    <w:tbl>
      <w:tblPr>
        <w:tblW w:type="auto" w:w="0"/>
        <w:jc w:val="center"/>
        <w:tblLayout w:type="fixed"/>
        <w:tblLook w:firstColumn="1" w:firstRow="1" w:lastColumn="0" w:lastRow="0" w:noHBand="0" w:noVBand="1" w:val="04A0"/>
      </w:tblPr>
      <w:tblGrid>
        <w:gridCol w:w="907"/>
        <w:gridCol w:w="907"/>
        <w:gridCol w:w="907"/>
        <w:gridCol w:w="907"/>
        <w:gridCol w:w="907"/>
        <w:gridCol w:w="907"/>
        <w:gridCol w:w="907"/>
        <w:gridCol w:w="907"/>
        <w:gridCol w:w="907"/>
        <w:gridCol w:w="907"/>
        <w:gridCol w:w="907"/>
      </w:tblGrid>
      <w:tr>
        <w:tc>
          <w:tcPr>
            <w:tcW w:type="dxa" w:w="907"/>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Line item</w:t>
            </w:r>
          </w:p>
        </w:tc>
        <w:tc>
          <w:tcPr>
            <w:tcW w:type="dxa" w:w="907"/>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FY2021</w:t>
            </w:r>
          </w:p>
        </w:tc>
        <w:tc>
          <w:tcPr>
            <w:tcW w:type="dxa" w:w="907"/>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FY2022</w:t>
            </w:r>
          </w:p>
        </w:tc>
        <w:tc>
          <w:tcPr>
            <w:tcW w:type="dxa" w:w="907"/>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FY2023</w:t>
            </w:r>
          </w:p>
        </w:tc>
        <w:tc>
          <w:tcPr>
            <w:tcW w:type="dxa" w:w="907"/>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FY2024</w:t>
            </w:r>
          </w:p>
        </w:tc>
        <w:tc>
          <w:tcPr>
            <w:tcW w:type="dxa" w:w="907"/>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FY2025</w:t>
            </w:r>
          </w:p>
        </w:tc>
        <w:tc>
          <w:tcPr>
            <w:tcW w:type="dxa" w:w="907"/>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FY2026E</w:t>
            </w:r>
          </w:p>
        </w:tc>
        <w:tc>
          <w:tcPr>
            <w:tcW w:type="dxa" w:w="907"/>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FY2027E</w:t>
            </w:r>
          </w:p>
        </w:tc>
        <w:tc>
          <w:tcPr>
            <w:tcW w:type="dxa" w:w="907"/>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FY2028E</w:t>
            </w:r>
          </w:p>
        </w:tc>
        <w:tc>
          <w:tcPr>
            <w:tcW w:type="dxa" w:w="907"/>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FY2029E</w:t>
            </w:r>
          </w:p>
        </w:tc>
        <w:tc>
          <w:tcPr>
            <w:tcW w:type="dxa" w:w="907"/>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FY2030E</w:t>
            </w:r>
          </w:p>
        </w:tc>
      </w:tr>
      <w:tr>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Time-based products</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2,633,763</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2,993,786</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3,016,256</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3,224,299</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3,489,609</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4,604,295</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5,156,715</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5,723,987</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6,296,529</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6,863,322</w:t>
            </w:r>
          </w:p>
        </w:tc>
      </w:tr>
      <w:tr>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Upfront products</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861,063</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1,226,728</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1,400,125</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1,802,222</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2,010,602</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2,704,110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3,028,547</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3,361,707</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3,697,962</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4,030,840</w:t>
            </w:r>
          </w:p>
        </w:tc>
      </w:tr>
      <w:tr>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Total products revenue</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3,494,826</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4,220,514</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4,416,381</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5,026,521</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5,500,211</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7,308,405</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8,185,262</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9,085,694</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9,994,491</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10,894,162</w:t>
            </w:r>
          </w:p>
        </w:tc>
      </w:tr>
      <w:tr>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Maintenance and service</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709,367</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861,028</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901,633</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1,100,915</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1,553,967</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2,301,595</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2,577,738</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2,861,306</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3,147,509</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3,430,838</w:t>
            </w:r>
          </w:p>
        </w:tc>
      </w:tr>
      <w:tr>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Total revenue</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4,204,193</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5,081,542</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5,318,014</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6,127,436</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7,054,178</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9,610,000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10,763,000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11,947,000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13,142,000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14,325,000</w:t>
            </w:r>
          </w:p>
        </w:tc>
      </w:tr>
      <w:tr>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Cost of revenue: Products</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542,114</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653,783</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697,686</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770,238</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867,165</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1,215,665</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1,302,323</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1,379,878</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1,445,620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1,496,962</w:t>
            </w:r>
          </w:p>
        </w:tc>
      </w:tr>
      <w:tr>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Cost of revenue: Maintenance and service</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271,202</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342,978</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287,876</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367,055</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444,526</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618,884</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663,001</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702,484</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735,952</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762,090</w:t>
            </w:r>
          </w:p>
        </w:tc>
      </w:tr>
      <w:tr>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Amortization of acquired intangibles (COGS)</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48,461</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66,936</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45,281</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107,996</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311,858</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375,751</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402,536</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426,508</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446,828</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462,698</w:t>
            </w:r>
          </w:p>
        </w:tc>
      </w:tr>
      <w:tr>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Total cost of revenue</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861,777</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1,063,697</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1,030,843</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1,245,289</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1,623,549</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2,210,300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2,367,860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2,508,870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2,628,400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2,721,750</w:t>
            </w:r>
          </w:p>
        </w:tc>
      </w:tr>
      <w:tr>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Gross profit</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3,342,416</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4,017,845</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4,287,171</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4,882,147</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5,430,629</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7,399,700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8,395,140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9,438,130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10,513,600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11,603,250</w:t>
            </w:r>
          </w:p>
        </w:tc>
      </w:tr>
      <w:tr>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Research and development</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1,504,823</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1,680,379</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1,849,935</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2,082,360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2,479,338</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3,171,300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3,530,264</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3,894,722</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4,258,008</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4,612,650</w:t>
            </w:r>
          </w:p>
        </w:tc>
      </w:tr>
      <w:tr>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Sales and marketing</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712,491</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779,777</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724,934</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859,342</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1,074,191</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1,441,500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1,592,924</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1,744,262</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1,892,448</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2,034,150</w:t>
            </w:r>
          </w:p>
        </w:tc>
      </w:tr>
      <w:tr>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General and administrative</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322,988</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353,840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376,677</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568,496</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769,648</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864,900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947,144</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1,027,442</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1,103,928</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1,174,650</w:t>
            </w:r>
          </w:p>
        </w:tc>
      </w:tr>
      <w:tr>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Amortization of acquired intangibles (OpEx)</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33,919</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29,754</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9,295</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16,238</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192,525</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600,000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580,000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550,000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510,000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460,000</w:t>
            </w:r>
          </w:p>
        </w:tc>
      </w:tr>
      <w:tr>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Restructuring charges</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33,405</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12,057</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53,091</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0</w:t>
            </w:r>
          </w:p>
        </w:tc>
      </w:tr>
      <w:tr>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Total operating expenses</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2,607,626</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2,855,807</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3,013,932</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3,526,436</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4,515,702</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6,077,700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6,650,332</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7,216,426</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7,764,384</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8,281,450</w:t>
            </w:r>
          </w:p>
        </w:tc>
      </w:tr>
      <w:tr>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Operating income</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734,790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1,162,038</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1,273,239</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1,355,711</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914,927</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1,322,000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1,744,808</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2,221,704</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2,749,216</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3,321,800</w:t>
            </w:r>
          </w:p>
        </w:tc>
      </w:tr>
      <w:tr>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Interest expense</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-2,703</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-36,829</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-446,729</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-540,000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-480,000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-420,000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-360,000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-300,000</w:t>
            </w:r>
          </w:p>
        </w:tc>
      </w:tr>
      <w:tr>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Other income (expense), net</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70,724</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-46,524</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34,934</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194,976</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924,944</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200,000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220,000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240,000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260,000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280,000</w:t>
            </w:r>
          </w:p>
        </w:tc>
      </w:tr>
      <w:tr>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Income before income taxes</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805,514</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1,115,514</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1,305,470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1,513,858</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1,393,142</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982,000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1,484,808</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2,041,704</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2,649,216</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3,301,800</w:t>
            </w:r>
          </w:p>
        </w:tc>
      </w:tr>
      <w:tr>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Provision for income taxes</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49,155</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137,078</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90,188</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99,718</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55,991</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137,480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207,873</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285,839</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370,890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462,252</w:t>
            </w:r>
          </w:p>
        </w:tc>
      </w:tr>
      <w:tr>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Net income from continuing ops</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756,359</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978,436</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1,215,282</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1,414,140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1,337,151</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844,520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1,276,935</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1,755,865</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2,278,326</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2,839,548</w:t>
            </w:r>
          </w:p>
        </w:tc>
      </w:tr>
      <w:tr>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Income from discontinued operations</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2,843</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821,670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-3,900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w:t>
            </w:r>
          </w:p>
        </w:tc>
      </w:tr>
      <w:tr>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Net income (incl. NCI)</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756,359</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978,436</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1,218,125</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2,235,810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1,333,251</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844,520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1,276,935</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1,755,865</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2,278,326</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2,839,548</w:t>
            </w:r>
          </w:p>
        </w:tc>
      </w:tr>
      <w:tr>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Net income attributed to SNPS</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757,516</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984,594</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1,229,888</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2,263,380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1,332,220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844,520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1,276,935</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1,755,865</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2,278,326</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2,839,548</w:t>
            </w:r>
          </w:p>
        </w:tc>
      </w:tr>
    </w:tbl>
    <w:p/>
    <w:p>
      <w:pPr>
        <w:spacing w:before="240" w:after="80"/>
      </w:pPr>
      <w:r>
        <w:rPr>
          <w:rFonts w:ascii="Times New Roman" w:hAnsi="Times New Roman" w:cs="Times New Roman"/>
          <w:b/>
          <w:i w:val="0"/>
          <w:color w:val="1F4E78"/>
          <w:sz w:val="26"/>
        </w:rPr>
        <w:t>Balance Sheet Detail</w:t>
      </w:r>
    </w:p>
    <w:tbl>
      <w:tblPr>
        <w:tblW w:type="auto" w:w="0"/>
        <w:jc w:val="center"/>
        <w:tblLayout w:type="fixed"/>
        <w:tblLook w:firstColumn="1" w:firstRow="1" w:lastColumn="0" w:lastRow="0" w:noHBand="0" w:noVBand="1" w:val="04A0"/>
      </w:tblPr>
      <w:tblGrid>
        <w:gridCol w:w="907"/>
        <w:gridCol w:w="907"/>
        <w:gridCol w:w="907"/>
        <w:gridCol w:w="907"/>
        <w:gridCol w:w="907"/>
        <w:gridCol w:w="907"/>
        <w:gridCol w:w="907"/>
        <w:gridCol w:w="907"/>
        <w:gridCol w:w="907"/>
        <w:gridCol w:w="907"/>
        <w:gridCol w:w="907"/>
      </w:tblGrid>
      <w:tr>
        <w:tc>
          <w:tcPr>
            <w:tcW w:type="dxa" w:w="907"/>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Line item</w:t>
            </w:r>
          </w:p>
        </w:tc>
        <w:tc>
          <w:tcPr>
            <w:tcW w:type="dxa" w:w="907"/>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FY2021</w:t>
            </w:r>
          </w:p>
        </w:tc>
        <w:tc>
          <w:tcPr>
            <w:tcW w:type="dxa" w:w="907"/>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FY2022</w:t>
            </w:r>
          </w:p>
        </w:tc>
        <w:tc>
          <w:tcPr>
            <w:tcW w:type="dxa" w:w="907"/>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FY2023</w:t>
            </w:r>
          </w:p>
        </w:tc>
        <w:tc>
          <w:tcPr>
            <w:tcW w:type="dxa" w:w="907"/>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FY2024</w:t>
            </w:r>
          </w:p>
        </w:tc>
        <w:tc>
          <w:tcPr>
            <w:tcW w:type="dxa" w:w="907"/>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FY2025</w:t>
            </w:r>
          </w:p>
        </w:tc>
        <w:tc>
          <w:tcPr>
            <w:tcW w:type="dxa" w:w="907"/>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FY2026E</w:t>
            </w:r>
          </w:p>
        </w:tc>
        <w:tc>
          <w:tcPr>
            <w:tcW w:type="dxa" w:w="907"/>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FY2027E</w:t>
            </w:r>
          </w:p>
        </w:tc>
        <w:tc>
          <w:tcPr>
            <w:tcW w:type="dxa" w:w="907"/>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FY2028E</w:t>
            </w:r>
          </w:p>
        </w:tc>
        <w:tc>
          <w:tcPr>
            <w:tcW w:type="dxa" w:w="907"/>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FY2029E</w:t>
            </w:r>
          </w:p>
        </w:tc>
        <w:tc>
          <w:tcPr>
            <w:tcW w:type="dxa" w:w="907"/>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FY2030E</w:t>
            </w:r>
          </w:p>
        </w:tc>
      </w:tr>
      <w:tr>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ASSETS</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w:t>
            </w:r>
          </w:p>
        </w:tc>
      </w:tr>
      <w:tr>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Cash &amp; equivalents</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1,432,840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1,417,608</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1,443,137</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3,896,532</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2,888,030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2,479,580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2,545,364</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3,135,710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4,295,502</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6,062,025</w:t>
            </w:r>
          </w:p>
        </w:tc>
      </w:tr>
      <w:tr>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Short-term investments</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147,949</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147,913</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215,898</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153,869</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72,929</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76,575</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80,222</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83,868</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87,515</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91,161</w:t>
            </w:r>
          </w:p>
        </w:tc>
      </w:tr>
      <w:tr>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Accounts receivable, net</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568,501</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796,091</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913,440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934,470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1,505,427</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2,018,100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2,260,230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2,508,870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2,759,820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3,008,250</w:t>
            </w:r>
          </w:p>
        </w:tc>
      </w:tr>
      <w:tr>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Inventories</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229,023</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211,927</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428,710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361,849</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365,190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480,500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538,150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597,350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657,100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716,250</w:t>
            </w:r>
          </w:p>
        </w:tc>
      </w:tr>
      <w:tr>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Prepaid and other current assets</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430,028</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439,130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856,710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1,122,946</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1,180,526</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1,633,700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1,829,710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2,030,990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2,234,140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2,435,250</w:t>
            </w:r>
          </w:p>
        </w:tc>
      </w:tr>
      <w:tr>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Total current assets</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2,808,341</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3,012,669</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3,857,895</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6,469,666</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6,012,102</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6,688,455</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7,253,676</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8,356,789</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10,034,077</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12,312,936</w:t>
            </w:r>
          </w:p>
        </w:tc>
      </w:tr>
      <w:tr>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Property and equipment, net</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472,398</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483,300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542,115</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563,006</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696,693</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752,428</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808,164</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863,899</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919,635</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975,370</w:t>
            </w:r>
          </w:p>
        </w:tc>
      </w:tr>
      <w:tr>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Operating lease ROU assets</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493,251</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559,090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587,530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565,917</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702,008</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723,068</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744,128</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765,189</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786,249</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807,309</w:t>
            </w:r>
          </w:p>
        </w:tc>
      </w:tr>
      <w:tr>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Goodwill</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3,575,785</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3,842,234</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3,346,065</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3,448,850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26,899,215</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26,899,215</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26,899,215</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26,899,215</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26,899,215</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26,899,215</w:t>
            </w:r>
          </w:p>
        </w:tc>
      </w:tr>
      <w:tr>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Intangible assets, net</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279,132</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386,446</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215,690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195,164</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12,679,591</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12,079,591</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11,479,591</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10,879,591</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10,279,591</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9,679,591</w:t>
            </w:r>
          </w:p>
        </w:tc>
      </w:tr>
      <w:tr>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Deferred income taxes</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612,655</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670,653</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876,115</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1,247,258</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112,159</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123,375</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134,591</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145,807</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157,023</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168,238</w:t>
            </w:r>
          </w:p>
        </w:tc>
      </w:tr>
      <w:tr>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Other long-term assets</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510,698</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463,695</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538,945</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583,700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1,122,693</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1,167,601</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1,212,508</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1,257,416</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1,302,324</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1,347,232</w:t>
            </w:r>
          </w:p>
        </w:tc>
      </w:tr>
      <w:tr>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Total assets</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8,752,260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9,418,087</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10,004,355</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13,073,561</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48,224,461</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48,433,734</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48,531,873</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49,167,906</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50,378,113</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52,189,892</w:t>
            </w:r>
          </w:p>
        </w:tc>
      </w:tr>
      <w:tr>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LIABILITIES</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w:t>
            </w:r>
          </w:p>
        </w:tc>
      </w:tr>
      <w:tr>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Accounts payable and accrued</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741,191</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809,403</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878,120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1,163,592</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1,326,211</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1,729,800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1,937,340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2,150,460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2,365,560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2,578,500</w:t>
            </w:r>
          </w:p>
        </w:tc>
      </w:tr>
      <w:tr>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Operating lease liabilities (current)</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79,678</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54,274</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96,525</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94,791</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128,205</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134,615</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141,026</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147,436</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153,846</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160,256</w:t>
            </w:r>
          </w:p>
        </w:tc>
      </w:tr>
      <w:tr>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Deferred revenue</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1,517,623</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1,910,822</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1,437,320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1,391,737</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2,245,961</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2,883,000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3,228,900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3,584,100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3,942,600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4,297,500</w:t>
            </w:r>
          </w:p>
        </w:tc>
      </w:tr>
      <w:tr>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Short-term debt</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74,992</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22,117</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0</w:t>
            </w:r>
          </w:p>
        </w:tc>
      </w:tr>
      <w:tr>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Total current liabilities</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2,413,484</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2,774,499</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2,411,965</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2,650,120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3,722,494</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4,747,415</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5,307,266</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5,881,996</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6,462,006</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7,036,256</w:t>
            </w:r>
          </w:p>
        </w:tc>
      </w:tr>
      <w:tr>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Long-term operating lease</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450,000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505,000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500,000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574,065</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680,698</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701,119</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721,540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741,961</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762,382</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782,803</w:t>
            </w:r>
          </w:p>
        </w:tc>
      </w:tr>
      <w:tr>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Long-term deferred revenue</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335,000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368,000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320,000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340,831</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382,557</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401,685</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420,813</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439,941</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459,068</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478,196</w:t>
            </w:r>
          </w:p>
        </w:tc>
      </w:tr>
      <w:tr>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Long-term debt</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16,039</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14,958</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13,876</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15,601</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13,462,398</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11,962,398</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10,462,398</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8,962,398</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7,462,398</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5,962,398</w:t>
            </w:r>
          </w:p>
        </w:tc>
      </w:tr>
      <w:tr>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Other long-term liabilities</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349,000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391,000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422,000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469,738</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1,649,299</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1,698,778</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1,748,257</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1,797,736</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1,847,215</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1,896,694</w:t>
            </w:r>
          </w:p>
        </w:tc>
      </w:tr>
      <w:tr>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Total liabilities</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3,563,523</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4,053,457</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3,667,841</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4,050,355</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19,897,446</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19,511,395</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18,660,273</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17,824,031</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16,993,069</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16,156,347</w:t>
            </w:r>
          </w:p>
        </w:tc>
      </w:tr>
    </w:tbl>
    <w:p/>
    <w:p>
      <w:pPr>
        <w:spacing w:before="360" w:after="120"/>
        <w:pBdr>
          <w:bottom w:val="single" w:sz="8" w:space="1" w:color="1F4E78"/>
        </w:pBdr>
      </w:pPr>
      <w:r>
        <w:rPr>
          <w:rFonts w:ascii="Times New Roman" w:hAnsi="Times New Roman" w:cs="Times New Roman"/>
          <w:b/>
          <w:i w:val="0"/>
          <w:color w:val="1F4E78"/>
          <w:sz w:val="32"/>
        </w:rPr>
        <w:t>Appendix B — Sources &amp; Disclosures</w:t>
      </w:r>
    </w:p>
    <w:p>
      <w:pPr>
        <w:spacing w:after="120" w:lineRule="auto" w:line="276"/>
      </w:pPr>
      <w:r>
        <w:rPr>
          <w:rFonts w:ascii="Times New Roman" w:hAnsi="Times New Roman" w:cs="Times New Roman"/>
          <w:b w:val="0"/>
          <w:i w:val="0"/>
          <w:sz w:val="22"/>
        </w:rPr>
        <w:t>This report is based on publicly available filings, primarily NASDAQ: SNPS's FY2025 Annual Report (Form 10-K) and most recent quarterly disclosures. All financial projections are the analyst's own and are subject to update. Comparable-company multiples are sourced from Yahoo Finance, Seeking Alpha, and stockanalysis.com as of 2026-05-20.</w:t>
      </w:r>
    </w:p>
    <w:p>
      <w:pPr>
        <w:pStyle w:val="ListBullet"/>
        <w:ind w:left="432"/>
      </w:pPr>
      <w:r>
        <w:rPr>
          <w:rFonts w:ascii="Times New Roman" w:hAnsi="Times New Roman" w:cs="Times New Roman"/>
          <w:b w:val="0"/>
          <w:i w:val="0"/>
          <w:sz w:val="22"/>
        </w:rPr>
        <w:t>NASDAQ: SNPS FY2025 10-K (filed 2025-12-22) — SEC EDGAR</w:t>
      </w:r>
    </w:p>
    <w:p>
      <w:pPr>
        <w:pStyle w:val="ListBullet"/>
        <w:ind w:left="432"/>
      </w:pPr>
      <w:r>
        <w:rPr>
          <w:rFonts w:ascii="Times New Roman" w:hAnsi="Times New Roman" w:cs="Times New Roman"/>
          <w:b w:val="0"/>
          <w:i w:val="0"/>
          <w:sz w:val="22"/>
        </w:rPr>
        <w:t>NASDAQ: SNPS Q1 FY2026 earnings release &amp; CFO Commentary</w:t>
      </w:r>
    </w:p>
    <w:p>
      <w:pPr>
        <w:pStyle w:val="ListBullet"/>
        <w:ind w:left="432"/>
      </w:pPr>
      <w:r>
        <w:rPr>
          <w:rFonts w:ascii="Times New Roman" w:hAnsi="Times New Roman" w:cs="Times New Roman"/>
          <w:b w:val="0"/>
          <w:i w:val="0"/>
          <w:sz w:val="22"/>
        </w:rPr>
        <w:t>Task 2 Financial Model (.xlsx) — 5y historical + 5y projected statements</w:t>
      </w:r>
    </w:p>
    <w:p>
      <w:pPr>
        <w:pStyle w:val="ListBullet"/>
        <w:ind w:left="432"/>
      </w:pPr>
      <w:r>
        <w:rPr>
          <w:rFonts w:ascii="Times New Roman" w:hAnsi="Times New Roman" w:cs="Times New Roman"/>
          <w:b w:val="0"/>
          <w:i w:val="0"/>
          <w:sz w:val="22"/>
        </w:rPr>
        <w:t>Task 3 Valuation Analysis (.md) — DCF, comps, football-field</w:t>
      </w:r>
    </w:p>
    <w:p>
      <w:pPr>
        <w:pStyle w:val="ListBullet"/>
        <w:ind w:left="432"/>
      </w:pPr>
      <w:r>
        <w:rPr>
          <w:rFonts w:ascii="Times New Roman" w:hAnsi="Times New Roman" w:cs="Times New Roman"/>
          <w:b w:val="0"/>
          <w:i w:val="0"/>
          <w:sz w:val="22"/>
        </w:rPr>
        <w:t>Task 4 Chart deliverables (.zip, 35 charts, 300 DPI)</w:t>
      </w:r>
    </w:p>
    <w:p>
      <w:pPr>
        <w:pStyle w:val="ListBullet"/>
        <w:ind w:left="432"/>
      </w:pPr>
      <w:r>
        <w:rPr>
          <w:rFonts w:ascii="Times New Roman" w:hAnsi="Times New Roman" w:cs="Times New Roman"/>
          <w:b w:val="0"/>
          <w:i w:val="0"/>
          <w:sz w:val="22"/>
        </w:rPr>
        <w:t>Analyst consensus: Bloomberg / Yahoo Finance / Marketbeat</w:t>
      </w:r>
    </w:p>
    <w:p>
      <w:pPr>
        <w:spacing w:after="120" w:lineRule="auto" w:line="276"/>
      </w:pPr>
      <w:r>
        <w:rPr>
          <w:rFonts w:ascii="Times New Roman" w:hAnsi="Times New Roman" w:cs="Times New Roman"/>
          <w:b w:val="0"/>
          <w:i/>
          <w:sz w:val="22"/>
        </w:rPr>
        <w:t>DISCLAIMER: This report is prepared for informational and educational purposes only. It does not constitute investment advice. Past performance does not predict future results. Equity research is subject to inherent uncertainty. Readers should conduct their own due diligence before acting on any information contained herein.</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