
<file path=[Content_Types].xml><?xml version="1.0" encoding="utf-8"?>
<Types xmlns="http://schemas.openxmlformats.org/package/2006/content-types">
  <Default Extension="xml" ContentType="application/xml"/>
  <Default Extension="xlsx" ContentType="application/vnd.openxmlformats-officedocument.spreadsheetml.sheet"/>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EA81C8">
      <w:pPr>
        <w:snapToGrid w:val="0"/>
        <w:spacing w:line="312" w:lineRule="auto"/>
        <w:ind w:firstLine="0" w:firstLineChars="0"/>
        <w:jc w:val="center"/>
      </w:pPr>
      <w:r>
        <w:rPr>
          <w:rFonts w:eastAsia="华文中宋"/>
          <w:b/>
          <w:color w:val="000000"/>
          <w:sz w:val="36"/>
          <w:szCs w:val="36"/>
        </w:rPr>
        <w:drawing>
          <wp:inline distT="0" distB="0" distL="0" distR="0">
            <wp:extent cx="1301115" cy="827405"/>
            <wp:effectExtent l="0" t="0" r="0" b="0"/>
            <wp:docPr id="1" name="图片 3" descr="资源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资源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301115" cy="827405"/>
                    </a:xfrm>
                    <a:prstGeom prst="rect">
                      <a:avLst/>
                    </a:prstGeom>
                    <a:noFill/>
                    <a:ln>
                      <a:noFill/>
                    </a:ln>
                  </pic:spPr>
                </pic:pic>
              </a:graphicData>
            </a:graphic>
          </wp:inline>
        </w:drawing>
      </w:r>
      <w:r>
        <w:rPr>
          <w:rFonts w:eastAsia="华文中宋"/>
          <w:b/>
          <w:color w:val="000000"/>
          <w:sz w:val="36"/>
          <w:szCs w:val="36"/>
        </w:rPr>
        <w:t xml:space="preserve"> </w:t>
      </w:r>
      <w:r>
        <w:rPr>
          <w:rFonts w:hint="eastAsia" w:eastAsia="华文中宋"/>
          <w:b/>
          <w:color w:val="000000"/>
          <w:sz w:val="36"/>
          <w:szCs w:val="36"/>
        </w:rPr>
        <w:t xml:space="preserve"> </w:t>
      </w:r>
      <w:r>
        <w:drawing>
          <wp:inline distT="0" distB="0" distL="0" distR="0">
            <wp:extent cx="897890" cy="897890"/>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897890" cy="897890"/>
                    </a:xfrm>
                    <a:prstGeom prst="rect">
                      <a:avLst/>
                    </a:prstGeom>
                    <a:noFill/>
                    <a:ln>
                      <a:noFill/>
                    </a:ln>
                  </pic:spPr>
                </pic:pic>
              </a:graphicData>
            </a:graphic>
          </wp:inline>
        </w:drawing>
      </w:r>
      <w:r>
        <w:rPr>
          <w:rFonts w:hint="eastAsia"/>
        </w:rPr>
        <w:t xml:space="preserve"> </w:t>
      </w:r>
      <w:r>
        <w:t xml:space="preserve">  </w:t>
      </w:r>
      <w:r>
        <w:drawing>
          <wp:inline distT="0" distB="0" distL="0" distR="0">
            <wp:extent cx="734695" cy="82740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734695" cy="827405"/>
                    </a:xfrm>
                    <a:prstGeom prst="rect">
                      <a:avLst/>
                    </a:prstGeom>
                    <a:noFill/>
                    <a:ln>
                      <a:noFill/>
                    </a:ln>
                  </pic:spPr>
                </pic:pic>
              </a:graphicData>
            </a:graphic>
          </wp:inline>
        </w:drawing>
      </w:r>
      <w:r>
        <w:rPr>
          <w:rFonts w:hint="eastAsia"/>
        </w:rPr>
        <w:t xml:space="preserve"> </w:t>
      </w:r>
      <w:r>
        <w:rPr>
          <w:rFonts w:eastAsia="华文中宋"/>
          <w:b/>
          <w:color w:val="000000"/>
          <w:sz w:val="36"/>
          <w:szCs w:val="36"/>
        </w:rPr>
        <w:t xml:space="preserve"> </w:t>
      </w:r>
      <w:r>
        <w:rPr>
          <w:rFonts w:hint="eastAsia" w:eastAsia="华文中宋"/>
          <w:b/>
          <w:color w:val="000000"/>
          <w:sz w:val="36"/>
          <w:szCs w:val="36"/>
        </w:rPr>
        <w:t xml:space="preserve"> </w:t>
      </w:r>
      <w:r>
        <w:rPr>
          <w:rFonts w:eastAsia="华文中宋"/>
          <w:b/>
          <w:color w:val="000000"/>
          <w:sz w:val="36"/>
          <w:szCs w:val="36"/>
        </w:rPr>
        <w:drawing>
          <wp:inline distT="0" distB="0" distL="0" distR="0">
            <wp:extent cx="827405" cy="827405"/>
            <wp:effectExtent l="0" t="0" r="0" b="0"/>
            <wp:docPr id="4" name="图片 1" descr="huaw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huawei"/>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827405" cy="827405"/>
                    </a:xfrm>
                    <a:prstGeom prst="rect">
                      <a:avLst/>
                    </a:prstGeom>
                    <a:noFill/>
                    <a:ln>
                      <a:noFill/>
                    </a:ln>
                  </pic:spPr>
                </pic:pic>
              </a:graphicData>
            </a:graphic>
          </wp:inline>
        </w:drawing>
      </w:r>
      <w:r>
        <w:t xml:space="preserve">    </w:t>
      </w:r>
      <w:r>
        <w:drawing>
          <wp:inline distT="0" distB="0" distL="0" distR="0">
            <wp:extent cx="870585" cy="870585"/>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870585" cy="870585"/>
                    </a:xfrm>
                    <a:prstGeom prst="rect">
                      <a:avLst/>
                    </a:prstGeom>
                    <a:noFill/>
                    <a:ln>
                      <a:noFill/>
                    </a:ln>
                  </pic:spPr>
                </pic:pic>
              </a:graphicData>
            </a:graphic>
          </wp:inline>
        </w:drawing>
      </w:r>
    </w:p>
    <w:p w14:paraId="3A81A54F">
      <w:pPr>
        <w:snapToGrid w:val="0"/>
        <w:spacing w:line="312" w:lineRule="auto"/>
        <w:ind w:firstLine="0" w:firstLineChars="0"/>
        <w:jc w:val="center"/>
        <w:rPr>
          <w:rFonts w:eastAsia="华文中宋"/>
          <w:b/>
          <w:color w:val="000000"/>
          <w:sz w:val="36"/>
          <w:szCs w:val="36"/>
        </w:rPr>
      </w:pPr>
    </w:p>
    <w:p w14:paraId="1AAF9567">
      <w:pPr>
        <w:spacing w:line="20" w:lineRule="atLeast"/>
        <w:ind w:firstLine="0" w:firstLineChars="0"/>
        <w:jc w:val="center"/>
        <w:rPr>
          <w:rFonts w:eastAsia="华文新魏"/>
          <w:b/>
          <w:bCs/>
          <w:sz w:val="36"/>
          <w:szCs w:val="36"/>
          <w14:shadow w14:blurRad="50800" w14:dist="38100" w14:dir="2700000" w14:sx="100000" w14:sy="100000" w14:kx="0" w14:ky="0" w14:algn="tl">
            <w14:srgbClr w14:val="000000">
              <w14:alpha w14:val="60000"/>
            </w14:srgbClr>
          </w14:shadow>
        </w:rPr>
      </w:pPr>
      <w:bookmarkStart w:id="0" w:name="OLE_LINK1"/>
      <w:bookmarkStart w:id="1" w:name="OLE_LINK2"/>
      <w:r>
        <w:rPr>
          <w:rFonts w:hint="eastAsia" w:eastAsia="华文新魏"/>
          <w:b/>
          <w:bCs/>
          <w:sz w:val="36"/>
          <w:szCs w:val="36"/>
          <w14:shadow w14:blurRad="50800" w14:dist="38100" w14:dir="2700000" w14:sx="100000" w14:sy="100000" w14:kx="0" w14:ky="0" w14:algn="tl">
            <w14:srgbClr w14:val="000000">
              <w14:alpha w14:val="60000"/>
            </w14:srgbClr>
          </w14:shadow>
        </w:rPr>
        <w:t>中国研究生创新实践系列大赛</w:t>
      </w:r>
    </w:p>
    <w:p w14:paraId="5D0351C1">
      <w:pPr>
        <w:spacing w:line="20" w:lineRule="atLeast"/>
        <w:ind w:firstLine="0" w:firstLineChars="0"/>
        <w:jc w:val="center"/>
        <w:rPr>
          <w:rFonts w:eastAsia="华文新魏"/>
          <w:b/>
          <w:bCs/>
          <w:sz w:val="44"/>
          <w:szCs w:val="44"/>
          <w14:shadow w14:blurRad="50800" w14:dist="38100" w14:dir="2700000" w14:sx="100000" w14:sy="100000" w14:kx="0" w14:ky="0" w14:algn="tl">
            <w14:srgbClr w14:val="000000">
              <w14:alpha w14:val="60000"/>
            </w14:srgbClr>
          </w14:shadow>
        </w:rPr>
      </w:pPr>
      <w:r>
        <w:rPr>
          <w:rFonts w:hint="eastAsia" w:eastAsia="华文新魏"/>
          <w:b/>
          <w:bCs/>
          <w:sz w:val="44"/>
          <w:szCs w:val="44"/>
          <w14:shadow w14:blurRad="50800" w14:dist="38100" w14:dir="2700000" w14:sx="100000" w14:sy="100000" w14:kx="0" w14:ky="0" w14:algn="tl">
            <w14:srgbClr w14:val="000000">
              <w14:alpha w14:val="60000"/>
            </w14:srgbClr>
          </w14:shadow>
        </w:rPr>
        <w:t xml:space="preserve"> “华为杯”</w:t>
      </w:r>
      <w:bookmarkEnd w:id="0"/>
      <w:bookmarkEnd w:id="1"/>
      <w:r>
        <w:rPr>
          <w:rFonts w:hint="eastAsia" w:eastAsia="华文新魏"/>
          <w:b/>
          <w:bCs/>
          <w:sz w:val="44"/>
          <w:szCs w:val="44"/>
          <w14:shadow w14:blurRad="50800" w14:dist="38100" w14:dir="2700000" w14:sx="100000" w14:sy="100000" w14:kx="0" w14:ky="0" w14:algn="tl">
            <w14:srgbClr w14:val="000000">
              <w14:alpha w14:val="60000"/>
            </w14:srgbClr>
          </w14:shadow>
        </w:rPr>
        <w:t>第二十届中国研究生</w:t>
      </w:r>
    </w:p>
    <w:p w14:paraId="636441F0">
      <w:pPr>
        <w:spacing w:line="20" w:lineRule="atLeast"/>
        <w:ind w:firstLine="0" w:firstLineChars="0"/>
        <w:jc w:val="center"/>
        <w:rPr>
          <w:rFonts w:eastAsia="华文新魏"/>
          <w:b/>
          <w:bCs/>
          <w:sz w:val="44"/>
          <w:szCs w:val="44"/>
          <w14:shadow w14:blurRad="50800" w14:dist="38100" w14:dir="2700000" w14:sx="100000" w14:sy="100000" w14:kx="0" w14:ky="0" w14:algn="tl">
            <w14:srgbClr w14:val="000000">
              <w14:alpha w14:val="60000"/>
            </w14:srgbClr>
          </w14:shadow>
        </w:rPr>
      </w:pPr>
      <w:r>
        <w:rPr>
          <w:rFonts w:hint="eastAsia" w:eastAsia="华文新魏"/>
          <w:b/>
          <w:bCs/>
          <w:sz w:val="44"/>
          <w:szCs w:val="44"/>
          <w14:shadow w14:blurRad="50800" w14:dist="38100" w14:dir="2700000" w14:sx="100000" w14:sy="100000" w14:kx="0" w14:ky="0" w14:algn="tl">
            <w14:srgbClr w14:val="000000">
              <w14:alpha w14:val="60000"/>
            </w14:srgbClr>
          </w14:shadow>
        </w:rPr>
        <w:t>数学建模竞赛</w:t>
      </w:r>
    </w:p>
    <w:p w14:paraId="18427273">
      <w:pPr>
        <w:spacing w:line="20" w:lineRule="atLeast"/>
        <w:ind w:firstLine="880"/>
        <w:jc w:val="center"/>
        <w:rPr>
          <w:sz w:val="44"/>
          <w:szCs w:val="44"/>
        </w:rPr>
      </w:pPr>
    </w:p>
    <w:tbl>
      <w:tblPr>
        <w:tblStyle w:val="19"/>
        <w:tblW w:w="0" w:type="auto"/>
        <w:jc w:val="center"/>
        <w:tblLayout w:type="fixed"/>
        <w:tblCellMar>
          <w:top w:w="0" w:type="dxa"/>
          <w:left w:w="108" w:type="dxa"/>
          <w:bottom w:w="0" w:type="dxa"/>
          <w:right w:w="108" w:type="dxa"/>
        </w:tblCellMar>
      </w:tblPr>
      <w:tblGrid>
        <w:gridCol w:w="1842"/>
        <w:gridCol w:w="6512"/>
      </w:tblGrid>
      <w:tr w14:paraId="1C469630">
        <w:tblPrEx>
          <w:tblCellMar>
            <w:top w:w="0" w:type="dxa"/>
            <w:left w:w="108" w:type="dxa"/>
            <w:bottom w:w="0" w:type="dxa"/>
            <w:right w:w="108" w:type="dxa"/>
          </w:tblCellMar>
        </w:tblPrEx>
        <w:trPr>
          <w:trHeight w:val="1134" w:hRule="atLeast"/>
          <w:jc w:val="center"/>
        </w:trPr>
        <w:tc>
          <w:tcPr>
            <w:tcW w:w="1842" w:type="dxa"/>
            <w:tcBorders>
              <w:bottom w:val="single" w:color="auto" w:sz="12" w:space="0"/>
            </w:tcBorders>
            <w:vAlign w:val="bottom"/>
          </w:tcPr>
          <w:p w14:paraId="482D6C96">
            <w:pPr>
              <w:spacing w:line="20" w:lineRule="atLeast"/>
              <w:ind w:firstLine="0" w:firstLineChars="0"/>
              <w:rPr>
                <w:b/>
                <w:sz w:val="36"/>
                <w:szCs w:val="36"/>
              </w:rPr>
            </w:pPr>
            <w:r>
              <w:rPr>
                <w:rFonts w:hint="eastAsia"/>
                <w:b/>
                <w:sz w:val="36"/>
                <w:szCs w:val="36"/>
              </w:rPr>
              <w:t>学    校</w:t>
            </w:r>
          </w:p>
        </w:tc>
        <w:tc>
          <w:tcPr>
            <w:tcW w:w="6512" w:type="dxa"/>
            <w:tcBorders>
              <w:bottom w:val="single" w:color="auto" w:sz="12" w:space="0"/>
            </w:tcBorders>
          </w:tcPr>
          <w:p w14:paraId="11AB82EC">
            <w:pPr>
              <w:spacing w:line="20" w:lineRule="atLeast"/>
              <w:ind w:firstLine="723"/>
              <w:rPr>
                <w:b/>
                <w:sz w:val="36"/>
                <w:szCs w:val="36"/>
              </w:rPr>
            </w:pPr>
          </w:p>
          <w:p w14:paraId="7BCA55B2">
            <w:pPr>
              <w:spacing w:line="20" w:lineRule="atLeast"/>
              <w:ind w:firstLine="723"/>
              <w:rPr>
                <w:rFonts w:hint="eastAsia" w:eastAsia="宋体"/>
                <w:b/>
                <w:sz w:val="36"/>
                <w:szCs w:val="36"/>
                <w:lang w:eastAsia="zh-CN"/>
              </w:rPr>
            </w:pPr>
            <w:r>
              <w:rPr>
                <w:rFonts w:hint="eastAsia"/>
                <w:b/>
                <w:sz w:val="36"/>
                <w:szCs w:val="36"/>
                <w:lang w:val="en-US" w:eastAsia="zh-CN"/>
              </w:rPr>
              <w:t>西南财经大学</w:t>
            </w:r>
          </w:p>
        </w:tc>
      </w:tr>
      <w:tr w14:paraId="23010B3A">
        <w:tblPrEx>
          <w:tblCellMar>
            <w:top w:w="0" w:type="dxa"/>
            <w:left w:w="108" w:type="dxa"/>
            <w:bottom w:w="0" w:type="dxa"/>
            <w:right w:w="108" w:type="dxa"/>
          </w:tblCellMar>
        </w:tblPrEx>
        <w:trPr>
          <w:trHeight w:val="1134" w:hRule="atLeast"/>
          <w:jc w:val="center"/>
        </w:trPr>
        <w:tc>
          <w:tcPr>
            <w:tcW w:w="1842" w:type="dxa"/>
            <w:tcBorders>
              <w:top w:val="single" w:color="auto" w:sz="12" w:space="0"/>
              <w:bottom w:val="single" w:color="auto" w:sz="12" w:space="0"/>
            </w:tcBorders>
            <w:vAlign w:val="bottom"/>
          </w:tcPr>
          <w:p w14:paraId="5AFC611D">
            <w:pPr>
              <w:spacing w:line="20" w:lineRule="atLeast"/>
              <w:ind w:firstLine="0" w:firstLineChars="0"/>
              <w:rPr>
                <w:b/>
                <w:sz w:val="36"/>
                <w:szCs w:val="36"/>
              </w:rPr>
            </w:pPr>
            <w:r>
              <w:rPr>
                <w:rFonts w:hint="eastAsia"/>
                <w:b/>
                <w:sz w:val="36"/>
                <w:szCs w:val="36"/>
              </w:rPr>
              <w:t>参赛队号</w:t>
            </w:r>
          </w:p>
        </w:tc>
        <w:tc>
          <w:tcPr>
            <w:tcW w:w="6512" w:type="dxa"/>
            <w:tcBorders>
              <w:top w:val="single" w:color="auto" w:sz="12" w:space="0"/>
              <w:bottom w:val="single" w:color="auto" w:sz="12" w:space="0"/>
            </w:tcBorders>
          </w:tcPr>
          <w:p w14:paraId="1F267FC9">
            <w:pPr>
              <w:spacing w:line="20" w:lineRule="atLeast"/>
              <w:ind w:firstLine="723"/>
              <w:rPr>
                <w:b/>
                <w:sz w:val="36"/>
                <w:szCs w:val="36"/>
              </w:rPr>
            </w:pPr>
          </w:p>
        </w:tc>
      </w:tr>
      <w:tr w14:paraId="4D1D19F5">
        <w:tblPrEx>
          <w:tblCellMar>
            <w:top w:w="0" w:type="dxa"/>
            <w:left w:w="108" w:type="dxa"/>
            <w:bottom w:w="0" w:type="dxa"/>
            <w:right w:w="108" w:type="dxa"/>
          </w:tblCellMar>
        </w:tblPrEx>
        <w:trPr>
          <w:trHeight w:val="625" w:hRule="atLeast"/>
          <w:jc w:val="center"/>
        </w:trPr>
        <w:tc>
          <w:tcPr>
            <w:tcW w:w="1842" w:type="dxa"/>
            <w:vMerge w:val="restart"/>
            <w:tcBorders>
              <w:top w:val="single" w:color="auto" w:sz="12" w:space="0"/>
            </w:tcBorders>
            <w:vAlign w:val="center"/>
          </w:tcPr>
          <w:p w14:paraId="7A18754D">
            <w:pPr>
              <w:spacing w:line="20" w:lineRule="atLeast"/>
              <w:ind w:firstLine="0" w:firstLineChars="0"/>
              <w:rPr>
                <w:b/>
                <w:sz w:val="36"/>
                <w:szCs w:val="36"/>
              </w:rPr>
            </w:pPr>
            <w:r>
              <w:rPr>
                <w:rFonts w:hint="eastAsia"/>
                <w:b/>
                <w:sz w:val="36"/>
                <w:szCs w:val="36"/>
              </w:rPr>
              <w:t>队员姓名</w:t>
            </w:r>
          </w:p>
        </w:tc>
        <w:tc>
          <w:tcPr>
            <w:tcW w:w="6512" w:type="dxa"/>
            <w:tcBorders>
              <w:top w:val="single" w:color="auto" w:sz="12" w:space="0"/>
              <w:bottom w:val="single" w:color="auto" w:sz="8" w:space="0"/>
            </w:tcBorders>
          </w:tcPr>
          <w:p w14:paraId="175904E2">
            <w:pPr>
              <w:spacing w:line="20" w:lineRule="atLeast"/>
              <w:ind w:firstLine="723"/>
              <w:rPr>
                <w:b/>
                <w:sz w:val="36"/>
                <w:szCs w:val="36"/>
              </w:rPr>
            </w:pPr>
            <w:r>
              <w:rPr>
                <w:rFonts w:hint="eastAsia"/>
                <w:b/>
                <w:sz w:val="36"/>
                <w:szCs w:val="36"/>
              </w:rPr>
              <w:t>1.金福松</w:t>
            </w:r>
          </w:p>
        </w:tc>
      </w:tr>
      <w:tr w14:paraId="0E2B2EB9">
        <w:tblPrEx>
          <w:tblCellMar>
            <w:top w:w="0" w:type="dxa"/>
            <w:left w:w="108" w:type="dxa"/>
            <w:bottom w:w="0" w:type="dxa"/>
            <w:right w:w="108" w:type="dxa"/>
          </w:tblCellMar>
        </w:tblPrEx>
        <w:trPr>
          <w:trHeight w:val="625" w:hRule="atLeast"/>
          <w:jc w:val="center"/>
        </w:trPr>
        <w:tc>
          <w:tcPr>
            <w:tcW w:w="1842" w:type="dxa"/>
            <w:vMerge w:val="continue"/>
            <w:vAlign w:val="center"/>
          </w:tcPr>
          <w:p w14:paraId="7079AD42">
            <w:pPr>
              <w:spacing w:line="20" w:lineRule="atLeast"/>
              <w:ind w:firstLine="723"/>
              <w:jc w:val="center"/>
              <w:rPr>
                <w:b/>
                <w:sz w:val="36"/>
                <w:szCs w:val="36"/>
              </w:rPr>
            </w:pPr>
          </w:p>
        </w:tc>
        <w:tc>
          <w:tcPr>
            <w:tcW w:w="6512" w:type="dxa"/>
            <w:tcBorders>
              <w:top w:val="single" w:color="auto" w:sz="8" w:space="0"/>
              <w:bottom w:val="single" w:color="auto" w:sz="8" w:space="0"/>
            </w:tcBorders>
          </w:tcPr>
          <w:p w14:paraId="06F8B457">
            <w:pPr>
              <w:spacing w:line="20" w:lineRule="atLeast"/>
              <w:ind w:firstLine="723"/>
              <w:rPr>
                <w:rFonts w:hint="eastAsia" w:eastAsia="宋体"/>
                <w:b/>
                <w:sz w:val="36"/>
                <w:szCs w:val="36"/>
                <w:lang w:eastAsia="zh-CN"/>
              </w:rPr>
            </w:pPr>
            <w:r>
              <w:rPr>
                <w:rFonts w:hint="eastAsia"/>
                <w:b/>
                <w:sz w:val="36"/>
                <w:szCs w:val="36"/>
              </w:rPr>
              <w:t>2.</w:t>
            </w:r>
            <w:r>
              <w:rPr>
                <w:rFonts w:hint="eastAsia"/>
                <w:b/>
                <w:sz w:val="36"/>
                <w:szCs w:val="36"/>
                <w:lang w:val="en-US" w:eastAsia="zh-CN"/>
              </w:rPr>
              <w:t>XXX</w:t>
            </w:r>
          </w:p>
        </w:tc>
      </w:tr>
      <w:tr w14:paraId="676D4DE9">
        <w:tblPrEx>
          <w:tblCellMar>
            <w:top w:w="0" w:type="dxa"/>
            <w:left w:w="108" w:type="dxa"/>
            <w:bottom w:w="0" w:type="dxa"/>
            <w:right w:w="108" w:type="dxa"/>
          </w:tblCellMar>
        </w:tblPrEx>
        <w:trPr>
          <w:trHeight w:val="625" w:hRule="atLeast"/>
          <w:jc w:val="center"/>
        </w:trPr>
        <w:tc>
          <w:tcPr>
            <w:tcW w:w="1842" w:type="dxa"/>
            <w:vMerge w:val="continue"/>
            <w:tcBorders>
              <w:bottom w:val="single" w:color="auto" w:sz="12" w:space="0"/>
            </w:tcBorders>
            <w:vAlign w:val="center"/>
          </w:tcPr>
          <w:p w14:paraId="29AC1CC4">
            <w:pPr>
              <w:spacing w:line="20" w:lineRule="atLeast"/>
              <w:ind w:firstLine="723"/>
              <w:jc w:val="center"/>
              <w:rPr>
                <w:b/>
                <w:sz w:val="36"/>
                <w:szCs w:val="36"/>
              </w:rPr>
            </w:pPr>
          </w:p>
        </w:tc>
        <w:tc>
          <w:tcPr>
            <w:tcW w:w="6512" w:type="dxa"/>
            <w:tcBorders>
              <w:top w:val="single" w:color="auto" w:sz="8" w:space="0"/>
              <w:bottom w:val="single" w:color="auto" w:sz="12" w:space="0"/>
            </w:tcBorders>
          </w:tcPr>
          <w:p w14:paraId="4AD84F76">
            <w:pPr>
              <w:spacing w:line="20" w:lineRule="atLeast"/>
              <w:ind w:firstLine="723"/>
              <w:rPr>
                <w:rFonts w:hint="eastAsia" w:eastAsia="宋体"/>
                <w:b/>
                <w:sz w:val="36"/>
                <w:szCs w:val="36"/>
                <w:lang w:val="en-US" w:eastAsia="zh-CN"/>
              </w:rPr>
            </w:pPr>
            <w:r>
              <w:rPr>
                <w:rFonts w:hint="eastAsia"/>
                <w:b/>
                <w:sz w:val="36"/>
                <w:szCs w:val="36"/>
              </w:rPr>
              <w:t>3.</w:t>
            </w:r>
            <w:r>
              <w:rPr>
                <w:rFonts w:hint="eastAsia"/>
                <w:b/>
                <w:sz w:val="36"/>
                <w:szCs w:val="36"/>
                <w:lang w:val="en-US" w:eastAsia="zh-CN"/>
              </w:rPr>
              <w:t>XXX</w:t>
            </w:r>
            <w:bookmarkStart w:id="5" w:name="_GoBack"/>
            <w:bookmarkEnd w:id="5"/>
          </w:p>
        </w:tc>
      </w:tr>
    </w:tbl>
    <w:p w14:paraId="6752E0FF">
      <w:pPr>
        <w:adjustRightInd w:val="0"/>
        <w:snapToGrid w:val="0"/>
        <w:spacing w:line="312" w:lineRule="auto"/>
        <w:ind w:firstLine="640"/>
        <w:textAlignment w:val="baseline"/>
        <w:rPr>
          <w:rFonts w:eastAsia="仿宋_GB2312" w:cs="宋体"/>
          <w:color w:val="333333"/>
          <w:kern w:val="0"/>
          <w:sz w:val="32"/>
          <w:szCs w:val="32"/>
        </w:rPr>
      </w:pPr>
    </w:p>
    <w:p w14:paraId="718E926A">
      <w:pPr>
        <w:adjustRightInd w:val="0"/>
        <w:snapToGrid w:val="0"/>
        <w:spacing w:line="312" w:lineRule="auto"/>
        <w:ind w:firstLine="640"/>
        <w:textAlignment w:val="baseline"/>
        <w:rPr>
          <w:rFonts w:eastAsia="仿宋_GB2312" w:cs="宋体"/>
          <w:color w:val="333333"/>
          <w:kern w:val="0"/>
          <w:sz w:val="32"/>
          <w:szCs w:val="32"/>
        </w:rPr>
      </w:pPr>
    </w:p>
    <w:p w14:paraId="0593EF69">
      <w:pPr>
        <w:adjustRightInd w:val="0"/>
        <w:snapToGrid w:val="0"/>
        <w:spacing w:line="312" w:lineRule="auto"/>
        <w:ind w:firstLine="640"/>
        <w:textAlignment w:val="baseline"/>
        <w:rPr>
          <w:rFonts w:eastAsia="仿宋_GB2312" w:cs="宋体"/>
          <w:color w:val="333333"/>
          <w:kern w:val="0"/>
          <w:sz w:val="32"/>
          <w:szCs w:val="32"/>
        </w:rPr>
      </w:pPr>
    </w:p>
    <w:p w14:paraId="17544F36">
      <w:pPr>
        <w:adjustRightInd w:val="0"/>
        <w:snapToGrid w:val="0"/>
        <w:spacing w:line="312" w:lineRule="auto"/>
        <w:ind w:firstLine="640"/>
        <w:textAlignment w:val="baseline"/>
        <w:rPr>
          <w:rFonts w:eastAsia="仿宋_GB2312" w:cs="宋体"/>
          <w:color w:val="333333"/>
          <w:kern w:val="0"/>
          <w:sz w:val="32"/>
          <w:szCs w:val="32"/>
        </w:rPr>
      </w:pPr>
    </w:p>
    <w:p w14:paraId="186F89B6">
      <w:pPr>
        <w:adjustRightInd w:val="0"/>
        <w:snapToGrid w:val="0"/>
        <w:spacing w:line="312" w:lineRule="auto"/>
        <w:ind w:firstLine="640"/>
        <w:textAlignment w:val="baseline"/>
        <w:rPr>
          <w:rFonts w:eastAsia="仿宋_GB2312" w:cs="宋体"/>
          <w:color w:val="333333"/>
          <w:kern w:val="0"/>
          <w:sz w:val="32"/>
          <w:szCs w:val="32"/>
        </w:rPr>
      </w:pPr>
    </w:p>
    <w:p w14:paraId="0A02BC59">
      <w:pPr>
        <w:adjustRightInd w:val="0"/>
        <w:snapToGrid w:val="0"/>
        <w:spacing w:line="312" w:lineRule="auto"/>
        <w:ind w:firstLine="640"/>
        <w:textAlignment w:val="baseline"/>
        <w:rPr>
          <w:rFonts w:eastAsia="仿宋_GB2312" w:cs="宋体"/>
          <w:color w:val="333333"/>
          <w:kern w:val="0"/>
          <w:sz w:val="32"/>
          <w:szCs w:val="32"/>
        </w:rPr>
      </w:pPr>
    </w:p>
    <w:p w14:paraId="260062C6">
      <w:pPr>
        <w:adjustRightInd w:val="0"/>
        <w:snapToGrid w:val="0"/>
        <w:spacing w:line="312" w:lineRule="auto"/>
        <w:ind w:firstLine="640"/>
        <w:textAlignment w:val="baseline"/>
        <w:rPr>
          <w:rFonts w:eastAsia="仿宋_GB2312" w:cs="宋体"/>
          <w:color w:val="333333"/>
          <w:kern w:val="0"/>
          <w:sz w:val="32"/>
          <w:szCs w:val="32"/>
        </w:rPr>
      </w:pPr>
      <w:r>
        <w:rPr>
          <w:rFonts w:eastAsia="仿宋_GB2312" w:cs="宋体"/>
          <w:color w:val="333333"/>
          <w:kern w:val="0"/>
          <w:sz w:val="32"/>
          <w:szCs w:val="32"/>
        </w:rPr>
        <w:br w:type="page"/>
      </w:r>
    </w:p>
    <w:p w14:paraId="77DA017F">
      <w:pPr>
        <w:adjustRightInd w:val="0"/>
        <w:snapToGrid w:val="0"/>
        <w:spacing w:line="312" w:lineRule="auto"/>
        <w:ind w:firstLine="640"/>
        <w:textAlignment w:val="baseline"/>
        <w:rPr>
          <w:rFonts w:eastAsia="仿宋_GB2312" w:cs="宋体"/>
          <w:color w:val="333333"/>
          <w:kern w:val="0"/>
          <w:sz w:val="32"/>
          <w:szCs w:val="32"/>
        </w:rPr>
        <w:sectPr>
          <w:headerReference r:id="rId7" w:type="first"/>
          <w:footerReference r:id="rId10" w:type="first"/>
          <w:headerReference r:id="rId5" w:type="default"/>
          <w:footerReference r:id="rId8" w:type="default"/>
          <w:headerReference r:id="rId6" w:type="even"/>
          <w:footerReference r:id="rId9" w:type="even"/>
          <w:pgSz w:w="11906" w:h="16838"/>
          <w:pgMar w:top="1702" w:right="1274" w:bottom="993" w:left="1276" w:header="851" w:footer="992" w:gutter="0"/>
          <w:cols w:space="720" w:num="1"/>
          <w:titlePg/>
          <w:docGrid w:type="lines" w:linePitch="326" w:charSpace="0"/>
        </w:sectPr>
      </w:pPr>
    </w:p>
    <w:p w14:paraId="01784E7D">
      <w:pPr>
        <w:spacing w:line="20" w:lineRule="atLeast"/>
        <w:ind w:firstLine="0" w:firstLineChars="0"/>
        <w:jc w:val="center"/>
        <w:rPr>
          <w:rFonts w:eastAsia="华文新魏"/>
          <w:b/>
          <w:bCs/>
          <w:sz w:val="36"/>
          <w:szCs w:val="36"/>
          <w14:shadow w14:blurRad="50800" w14:dist="38100" w14:dir="2700000" w14:sx="100000" w14:sy="100000" w14:kx="0" w14:ky="0" w14:algn="tl">
            <w14:srgbClr w14:val="000000">
              <w14:alpha w14:val="60000"/>
            </w14:srgbClr>
          </w14:shadow>
        </w:rPr>
      </w:pPr>
      <w:r>
        <w:rPr>
          <w:rFonts w:hint="eastAsia" w:eastAsia="华文新魏"/>
          <w:b/>
          <w:bCs/>
          <w:sz w:val="36"/>
          <w:szCs w:val="36"/>
          <w14:shadow w14:blurRad="50800" w14:dist="38100" w14:dir="2700000" w14:sx="100000" w14:sy="100000" w14:kx="0" w14:ky="0" w14:algn="tl">
            <w14:srgbClr w14:val="000000">
              <w14:alpha w14:val="60000"/>
            </w14:srgbClr>
          </w14:shadow>
        </w:rPr>
        <w:t>中国研究生创新实践系列大赛</w:t>
      </w:r>
    </w:p>
    <w:p w14:paraId="7F67D3DE">
      <w:pPr>
        <w:spacing w:line="20" w:lineRule="atLeast"/>
        <w:ind w:firstLine="0" w:firstLineChars="0"/>
        <w:jc w:val="center"/>
        <w:rPr>
          <w:rFonts w:eastAsia="华文新魏"/>
          <w:b/>
          <w:bCs/>
          <w:sz w:val="44"/>
          <w:szCs w:val="44"/>
          <w14:shadow w14:blurRad="50800" w14:dist="38100" w14:dir="2700000" w14:sx="100000" w14:sy="100000" w14:kx="0" w14:ky="0" w14:algn="tl">
            <w14:srgbClr w14:val="000000">
              <w14:alpha w14:val="60000"/>
            </w14:srgbClr>
          </w14:shadow>
        </w:rPr>
      </w:pPr>
      <w:r>
        <w:rPr>
          <w:rFonts w:hint="eastAsia" w:eastAsia="华文新魏"/>
          <w:b/>
          <w:bCs/>
          <w:sz w:val="44"/>
          <w:szCs w:val="44"/>
          <w14:shadow w14:blurRad="50800" w14:dist="38100" w14:dir="2700000" w14:sx="100000" w14:sy="100000" w14:kx="0" w14:ky="0" w14:algn="tl">
            <w14:srgbClr w14:val="000000">
              <w14:alpha w14:val="60000"/>
            </w14:srgbClr>
          </w14:shadow>
        </w:rPr>
        <w:t xml:space="preserve"> “华为杯”第二十届中国研究生</w:t>
      </w:r>
    </w:p>
    <w:p w14:paraId="76097FC6">
      <w:pPr>
        <w:spacing w:line="20" w:lineRule="atLeast"/>
        <w:ind w:firstLine="0" w:firstLineChars="0"/>
        <w:jc w:val="center"/>
        <w:rPr>
          <w:rFonts w:eastAsia="华文新魏"/>
          <w:b/>
          <w:bCs/>
          <w:sz w:val="44"/>
          <w:szCs w:val="44"/>
          <w14:shadow w14:blurRad="50800" w14:dist="38100" w14:dir="2700000" w14:sx="100000" w14:sy="100000" w14:kx="0" w14:ky="0" w14:algn="tl">
            <w14:srgbClr w14:val="000000">
              <w14:alpha w14:val="60000"/>
            </w14:srgbClr>
          </w14:shadow>
        </w:rPr>
      </w:pPr>
      <w:r>
        <w:rPr>
          <w:rFonts w:hint="eastAsia" w:eastAsia="华文新魏"/>
          <w:b/>
          <w:bCs/>
          <w:sz w:val="44"/>
          <w:szCs w:val="44"/>
          <w14:shadow w14:blurRad="50800" w14:dist="38100" w14:dir="2700000" w14:sx="100000" w14:sy="100000" w14:kx="0" w14:ky="0" w14:algn="tl">
            <w14:srgbClr w14:val="000000">
              <w14:alpha w14:val="60000"/>
            </w14:srgbClr>
          </w14:shadow>
        </w:rPr>
        <w:t>数学建模竞赛</w:t>
      </w:r>
    </w:p>
    <w:p w14:paraId="7E5ACA50">
      <w:pPr>
        <w:spacing w:line="20" w:lineRule="atLeast"/>
        <w:ind w:firstLine="0" w:firstLineChars="0"/>
        <w:rPr>
          <w:rFonts w:eastAsia="华文新魏"/>
          <w:b/>
          <w:bCs/>
          <w:sz w:val="44"/>
          <w:szCs w:val="44"/>
          <w14:shadow w14:blurRad="50800" w14:dist="38100" w14:dir="2700000" w14:sx="100000" w14:sy="100000" w14:kx="0" w14:ky="0" w14:algn="tl">
            <w14:srgbClr w14:val="000000">
              <w14:alpha w14:val="60000"/>
            </w14:srgbClr>
          </w14:shadow>
        </w:rPr>
      </w:pPr>
    </w:p>
    <w:p w14:paraId="3E275622">
      <w:pPr>
        <w:spacing w:line="360" w:lineRule="auto"/>
        <w:ind w:firstLine="0" w:firstLineChars="0"/>
        <w:jc w:val="left"/>
        <w:rPr>
          <w:rFonts w:eastAsia="黑体"/>
          <w:sz w:val="32"/>
          <w:szCs w:val="32"/>
          <w:u w:val="single"/>
        </w:rPr>
      </w:pPr>
      <w:r>
        <w:rPr>
          <w:rFonts w:hint="eastAsia" w:eastAsia="隶书"/>
          <w:sz w:val="36"/>
        </w:rPr>
        <w:t>题 目：</w:t>
      </w:r>
      <w:r>
        <w:rPr>
          <w:sz w:val="28"/>
        </w:rPr>
        <w:t xml:space="preserve">          </w:t>
      </w:r>
      <w:r>
        <w:rPr>
          <w:rFonts w:hint="eastAsia" w:eastAsia="黑体"/>
          <w:sz w:val="32"/>
          <w:szCs w:val="32"/>
          <w:u w:val="single"/>
        </w:rPr>
        <w:t>区域双碳目标和路径规划研究</w:t>
      </w:r>
    </w:p>
    <w:p w14:paraId="17F8E9EC">
      <w:pPr>
        <w:spacing w:line="360" w:lineRule="auto"/>
        <w:ind w:firstLine="0" w:firstLineChars="0"/>
        <w:jc w:val="left"/>
        <w:rPr>
          <w:rFonts w:eastAsia="隶书"/>
          <w:sz w:val="36"/>
          <w:u w:val="single"/>
        </w:rPr>
      </w:pPr>
    </w:p>
    <w:p w14:paraId="0620336B">
      <w:pPr>
        <w:spacing w:line="360" w:lineRule="auto"/>
        <w:ind w:firstLine="0" w:firstLineChars="0"/>
        <w:jc w:val="center"/>
        <w:rPr>
          <w:rFonts w:eastAsia="隶书"/>
          <w:sz w:val="36"/>
        </w:rPr>
      </w:pPr>
      <w:r>
        <w:rPr>
          <w:rFonts w:hint="eastAsia" w:eastAsia="隶书"/>
          <w:sz w:val="36"/>
        </w:rPr>
        <w:t>摘</w:t>
      </w:r>
      <w:r>
        <w:rPr>
          <w:rFonts w:eastAsia="隶书"/>
          <w:sz w:val="36"/>
        </w:rPr>
        <w:t xml:space="preserve"> </w:t>
      </w:r>
      <w:r>
        <w:rPr>
          <w:rFonts w:hint="eastAsia" w:eastAsia="隶书"/>
          <w:sz w:val="36"/>
        </w:rPr>
        <w:t>要：</w:t>
      </w:r>
    </w:p>
    <w:p w14:paraId="3C74576C">
      <w:pPr>
        <w:ind w:firstLine="480"/>
        <w:rPr>
          <w:color w:val="333333"/>
          <w:szCs w:val="21"/>
          <w:shd w:val="clear" w:color="auto" w:fill="FFFFFF"/>
        </w:rPr>
      </w:pPr>
      <w:r>
        <w:rPr>
          <w:color w:val="333333"/>
          <w:szCs w:val="21"/>
          <w:shd w:val="clear" w:color="auto" w:fill="FFFFFF"/>
        </w:rPr>
        <w:t>实现</w:t>
      </w:r>
      <w:r>
        <w:rPr>
          <w:rFonts w:hint="eastAsia"/>
          <w:color w:val="333333"/>
          <w:szCs w:val="21"/>
          <w:shd w:val="clear" w:color="auto" w:fill="FFFFFF"/>
        </w:rPr>
        <w:t>区域</w:t>
      </w:r>
      <w:r>
        <w:rPr>
          <w:color w:val="333333"/>
          <w:szCs w:val="21"/>
          <w:shd w:val="clear" w:color="auto" w:fill="FFFFFF"/>
        </w:rPr>
        <w:t>碳中和目标时间紧、任务重，是一项复杂系统工程。</w:t>
      </w:r>
      <w:r>
        <w:rPr>
          <w:rFonts w:hint="eastAsia"/>
          <w:color w:val="333333"/>
          <w:szCs w:val="21"/>
          <w:shd w:val="clear" w:color="auto" w:fill="FFFFFF"/>
        </w:rPr>
        <w:t>本文在理清题目所给出的表格数据的关系后发现能源部门碳排放量存在缺失和工业部门的碳排放总量与碳排放因子公式计算结果存在差异以及部分能源部门碳排放因子异常等数据问题。团队通过python和minitab等科学工具通过题目背景将其合理修复。</w:t>
      </w:r>
    </w:p>
    <w:p w14:paraId="564A95D6">
      <w:pPr>
        <w:ind w:firstLine="480"/>
        <w:rPr>
          <w:color w:val="333333"/>
          <w:szCs w:val="21"/>
          <w:shd w:val="clear" w:color="auto" w:fill="FFFFFF"/>
        </w:rPr>
      </w:pPr>
      <w:r>
        <w:rPr>
          <w:rFonts w:hint="eastAsia"/>
          <w:color w:val="333333"/>
          <w:szCs w:val="21"/>
          <w:shd w:val="clear" w:color="auto" w:fill="FFFFFF"/>
        </w:rPr>
        <w:t>针对问题一：</w:t>
      </w:r>
      <w:r>
        <w:rPr>
          <w:rFonts w:hint="eastAsia"/>
          <w:szCs w:val="21"/>
        </w:rPr>
        <w:t>以“数据分析”+“数据挖掘”+“指标建立”为主线，深入分析修复后2010-2020的现有数据，建立的各宏、微观（总体与部门）涵盖区域人口、经济、能源消费量、碳排放量等方面的指标完成相应的现状评价，并在此基础上形成指标库涵盖19自变量（三级指标）、4个因变量指标。但是指标的过多建立会带来多重共线性的问题，为了更精准的将指标库的指标做后续预测模型，团队决定使相关分析、SEM结构方程模型、主成分分析完成精准指标挖掘。团队通过STIRPAT模型对部分指标进行初步试探模拟得到较好结果，为后续问题研究打下坚实的数据基础。</w:t>
      </w:r>
    </w:p>
    <w:p w14:paraId="06631726">
      <w:pPr>
        <w:ind w:firstLine="480"/>
        <w:rPr>
          <w:szCs w:val="21"/>
        </w:rPr>
      </w:pPr>
      <w:r>
        <w:rPr>
          <w:rFonts w:hint="eastAsia"/>
          <w:color w:val="333333"/>
          <w:szCs w:val="21"/>
          <w:shd w:val="clear" w:color="auto" w:fill="FFFFFF"/>
        </w:rPr>
        <w:t>针对问题二：</w:t>
      </w:r>
      <w:r>
        <w:rPr>
          <w:rFonts w:hint="eastAsia"/>
          <w:szCs w:val="21"/>
        </w:rPr>
        <w:t>侧重预测自变量与因变量之间（区域碳排放模型）的关联模型以及自变量与自变量（能源消费量与人口GDP）之间的关系模型。通过相关系数、路径分析采取不同的指标进行内在关系挖掘并完成建模和调试实现宏微观预测模型构建。如宏观层面建立能源消费总量与人口总量、GDP总量的多元线性回归模型实现“十四五</w:t>
      </w:r>
      <w:r>
        <w:rPr>
          <w:szCs w:val="21"/>
        </w:rPr>
        <w:t>”</w:t>
      </w:r>
      <w:r>
        <w:rPr>
          <w:rFonts w:hint="eastAsia"/>
          <w:szCs w:val="21"/>
        </w:rPr>
        <w:t>至”二十一五</w:t>
      </w:r>
      <w:r>
        <w:rPr>
          <w:szCs w:val="21"/>
        </w:rPr>
        <w:t>”</w:t>
      </w:r>
      <w:r>
        <w:rPr>
          <w:rFonts w:hint="eastAsia"/>
          <w:szCs w:val="21"/>
        </w:rPr>
        <w:t>预测。微观层面建立碳排放量与能源供应部门（正向）、工业（正向）、建筑（正向）、居民消费部门（负向）的能源消费量的多元线性回归。 为了进一步挖掘碳排放与各部门能源消费品中的关系，将指标限制在部门一次石化、一次非石化、二次能源、石化能源发电（仅能源供应部门）消费量等自变量对总碳排放量进行相关系数分析，参考其结果完成多元回归模型。最终团队发现碳排放量受能源、工业部门的一次石化（正向）与非石化（负向）、二次能源及农林、居民部门二次能源消费量（负向）影响较大。</w:t>
      </w:r>
    </w:p>
    <w:p w14:paraId="2CA8ED47">
      <w:pPr>
        <w:ind w:firstLine="480" w:firstLineChars="0"/>
        <w:rPr>
          <w:szCs w:val="21"/>
        </w:rPr>
      </w:pPr>
      <w:r>
        <w:rPr>
          <w:rFonts w:hint="eastAsia"/>
          <w:szCs w:val="21"/>
        </w:rPr>
        <w:t>针对问题三：结合现有区域数据以及专家学者魏一鸣（2023）等对双碳路径的研判设计了三个情景：BAU（政策趋势照常）、按时版、雄心版。面对不同情景团队结合问题二产出的预测模型进行优选。BAU情景选用了区域常态的时序预测发现2050年实现碳达峰，按时版选用问题二宏观指标建立的模型作为碳排放的基准值，雄心版用问题二微观（部门、能源品类）指标建立的模型，发现</w:t>
      </w:r>
      <w:r>
        <w:rPr>
          <w:rFonts w:hint="eastAsia"/>
          <w:color w:val="333333"/>
          <w:szCs w:val="21"/>
          <w:shd w:val="clear" w:color="auto" w:fill="FFFFFF"/>
        </w:rPr>
        <w:t>在后两个情景中，区域</w:t>
      </w:r>
      <w:r>
        <w:rPr>
          <w:color w:val="333333"/>
          <w:szCs w:val="21"/>
          <w:shd w:val="clear" w:color="auto" w:fill="FFFFFF"/>
        </w:rPr>
        <w:t>需在20</w:t>
      </w:r>
      <w:r>
        <w:rPr>
          <w:rFonts w:hint="eastAsia"/>
          <w:color w:val="333333"/>
          <w:szCs w:val="21"/>
          <w:shd w:val="clear" w:color="auto" w:fill="FFFFFF"/>
        </w:rPr>
        <w:t>33</w:t>
      </w:r>
      <w:r>
        <w:rPr>
          <w:color w:val="333333"/>
          <w:szCs w:val="21"/>
          <w:shd w:val="clear" w:color="auto" w:fill="FFFFFF"/>
        </w:rPr>
        <w:t>—20</w:t>
      </w:r>
      <w:r>
        <w:rPr>
          <w:rFonts w:hint="eastAsia"/>
          <w:color w:val="333333"/>
          <w:szCs w:val="21"/>
          <w:shd w:val="clear" w:color="auto" w:fill="FFFFFF"/>
        </w:rPr>
        <w:t>35</w:t>
      </w:r>
      <w:r>
        <w:rPr>
          <w:color w:val="333333"/>
          <w:szCs w:val="21"/>
          <w:shd w:val="clear" w:color="auto" w:fill="FFFFFF"/>
        </w:rPr>
        <w:t>年间实现碳达峰，峰值不超过</w:t>
      </w:r>
      <w:r>
        <w:rPr>
          <w:rFonts w:hint="eastAsia"/>
          <w:color w:val="333333"/>
          <w:szCs w:val="21"/>
          <w:shd w:val="clear" w:color="auto" w:fill="FFFFFF"/>
        </w:rPr>
        <w:t>29</w:t>
      </w:r>
      <w:r>
        <w:rPr>
          <w:color w:val="333333"/>
          <w:szCs w:val="21"/>
          <w:shd w:val="clear" w:color="auto" w:fill="FFFFFF"/>
        </w:rPr>
        <w:t>亿吨CO</w:t>
      </w:r>
      <w:r>
        <w:rPr>
          <w:color w:val="333333"/>
          <w:szCs w:val="18"/>
          <w:shd w:val="clear" w:color="auto" w:fill="FFFFFF"/>
          <w:vertAlign w:val="subscript"/>
        </w:rPr>
        <w:t>2</w:t>
      </w:r>
      <w:r>
        <w:rPr>
          <w:rFonts w:hint="eastAsia"/>
          <w:szCs w:val="21"/>
        </w:rPr>
        <w:t>，其中雄心版超强两年（2033年）完成碳达峰。</w:t>
      </w:r>
      <w:r>
        <w:rPr>
          <w:rFonts w:hint="eastAsia"/>
          <w:b/>
          <w:bCs/>
          <w:szCs w:val="21"/>
        </w:rPr>
        <w:t>按时版与雄心版的区别在于：雄心版考虑了人口红利转为人才红利的因素但不聚焦微观部门，然而雄心版</w:t>
      </w:r>
      <w:r>
        <w:rPr>
          <w:rFonts w:hint="eastAsia"/>
          <w:color w:val="333333"/>
          <w:szCs w:val="21"/>
          <w:shd w:val="clear" w:color="auto" w:fill="FFFFFF"/>
        </w:rPr>
        <w:t>重点关注工业部门一次石化能源等指标的消费量变化。在超前完成碳达峰目标驱动下，工业部门存在着用电转型困境，不能一棒子打死对石化能源的依赖，必竟石化能源的供应在碳达峰期间仍处于重要地位。</w:t>
      </w:r>
      <w:r>
        <w:rPr>
          <w:b/>
          <w:bCs/>
          <w:color w:val="000000"/>
          <w:kern w:val="0"/>
          <w:szCs w:val="20"/>
        </w:rPr>
        <w:t>由于雄心模式兼顾了煤炭、石油等转型带来的就业、经济、区域公共服务需求的一揽子问题</w:t>
      </w:r>
      <w:r>
        <w:rPr>
          <w:color w:val="000000"/>
          <w:kern w:val="0"/>
          <w:szCs w:val="20"/>
        </w:rPr>
        <w:t>，允许在</w:t>
      </w:r>
      <w:r>
        <w:rPr>
          <w:b/>
          <w:bCs/>
          <w:color w:val="000000"/>
          <w:kern w:val="0"/>
          <w:szCs w:val="20"/>
        </w:rPr>
        <w:t>保证碳达峰值不被突破的情况</w:t>
      </w:r>
      <w:r>
        <w:rPr>
          <w:color w:val="000000"/>
          <w:kern w:val="0"/>
          <w:szCs w:val="20"/>
        </w:rPr>
        <w:t>下适度给予碳排放空间但需要将利润用于清洁技术的发展，这是符合我国国情的雄心方案。</w:t>
      </w:r>
    </w:p>
    <w:p w14:paraId="67A38A91">
      <w:pPr>
        <w:spacing w:line="360" w:lineRule="auto"/>
        <w:ind w:firstLine="0" w:firstLineChars="0"/>
        <w:jc w:val="left"/>
        <w:rPr>
          <w:rFonts w:eastAsia="隶书"/>
          <w:sz w:val="36"/>
        </w:rPr>
      </w:pPr>
      <w:r>
        <w:rPr>
          <w:rFonts w:hint="eastAsia" w:eastAsia="隶书"/>
          <w:sz w:val="36"/>
        </w:rPr>
        <w:t>关键词：</w:t>
      </w:r>
      <w:r>
        <w:rPr>
          <w:rFonts w:hint="eastAsia"/>
          <w:b/>
          <w:bCs/>
          <w:color w:val="333333"/>
          <w:szCs w:val="21"/>
          <w:shd w:val="clear" w:color="auto" w:fill="FFFFFF"/>
        </w:rPr>
        <w:t>SEM结构方程模型；多元线性回归；宏微观指标库；STIRPAT模型</w:t>
      </w:r>
    </w:p>
    <w:p w14:paraId="0807CB59">
      <w:pPr>
        <w:spacing w:line="360" w:lineRule="auto"/>
        <w:ind w:firstLine="0" w:firstLineChars="0"/>
        <w:jc w:val="center"/>
        <w:rPr>
          <w:szCs w:val="36"/>
        </w:rPr>
      </w:pPr>
    </w:p>
    <w:p w14:paraId="2AC6D56E">
      <w:pPr>
        <w:pStyle w:val="2"/>
        <w:rPr>
          <w:szCs w:val="36"/>
        </w:rPr>
      </w:pPr>
      <w:r>
        <w:rPr>
          <w:szCs w:val="36"/>
        </w:rPr>
        <w:br w:type="page"/>
      </w:r>
      <w:r>
        <w:rPr>
          <w:b/>
          <w:bCs w:val="0"/>
        </w:rPr>
        <w:fldChar w:fldCharType="begin"/>
      </w:r>
      <w:r>
        <w:rPr>
          <w:b/>
          <w:bCs w:val="0"/>
        </w:rPr>
        <w:instrText xml:space="preserve"> </w:instrText>
      </w:r>
      <w:r>
        <w:rPr>
          <w:rFonts w:hint="eastAsia"/>
          <w:b/>
          <w:bCs w:val="0"/>
        </w:rPr>
        <w:instrText xml:space="preserve">= 1 \* Arabic</w:instrText>
      </w:r>
      <w:r>
        <w:rPr>
          <w:b/>
          <w:bCs w:val="0"/>
        </w:rPr>
        <w:instrText xml:space="preserve"> </w:instrText>
      </w:r>
      <w:r>
        <w:rPr>
          <w:b/>
          <w:bCs w:val="0"/>
        </w:rPr>
        <w:fldChar w:fldCharType="separate"/>
      </w:r>
      <w:r>
        <w:rPr>
          <w:b/>
          <w:bCs w:val="0"/>
        </w:rPr>
        <w:t>1</w:t>
      </w:r>
      <w:r>
        <w:rPr>
          <w:b/>
          <w:bCs w:val="0"/>
        </w:rPr>
        <w:fldChar w:fldCharType="end"/>
      </w:r>
      <w:r>
        <w:t xml:space="preserve"> </w:t>
      </w:r>
      <w:r>
        <w:rPr>
          <w:rFonts w:hint="eastAsia"/>
        </w:rPr>
        <w:t>问题提出</w:t>
      </w:r>
    </w:p>
    <w:p w14:paraId="28F69DED">
      <w:pPr>
        <w:ind w:firstLine="480"/>
        <w:rPr>
          <w:szCs w:val="24"/>
        </w:rPr>
      </w:pPr>
      <w:r>
        <w:rPr>
          <w:szCs w:val="24"/>
        </w:rPr>
        <w:t>实现双碳目标，必须分析、研究并破解发展与碳排放间的矛盾，以推进经济社会高质量发展。鉴于经济发展与能源消费量以及能源消费量与碳排放量之间存在的关联关系，欲解决上述矛盾，便只能求助于发掘经济增长与碳排放间的负相关性。其中，提高能源利用效率和提高非化石能源消费比重是亟待入手的两个方面。而进一步细分来看，要想实现上述两个方面，便在于实施能效提升、产业（产品）升级、能源脱碳和能源消费电气化等四大重点工程。</w:t>
      </w:r>
    </w:p>
    <w:p w14:paraId="18155315">
      <w:pPr>
        <w:ind w:firstLine="480"/>
        <w:rPr>
          <w:rFonts w:cs="宋体"/>
          <w:szCs w:val="24"/>
        </w:rPr>
      </w:pPr>
      <w:r>
        <w:rPr>
          <w:szCs w:val="24"/>
        </w:rPr>
        <w:t>为此，团队在已知某区域2010至2020</w:t>
      </w:r>
      <w:r>
        <w:rPr>
          <w:rFonts w:hint="eastAsia" w:cs="宋体"/>
          <w:szCs w:val="24"/>
        </w:rPr>
        <w:t>年人口数、生产总值、能源消费量和碳排放量等数据的基础上，建立并运用数学模型，以分析、评价和预测能效提升、产业（产品）升级、能源脱碳和能源消费电气化等重点工程对碳排放的影响。具体来讲，团队旨在解决以下问题：</w:t>
      </w:r>
    </w:p>
    <w:p w14:paraId="05211922">
      <w:pPr>
        <w:ind w:firstLine="480"/>
        <w:rPr>
          <w:rFonts w:cs="宋体"/>
          <w:szCs w:val="24"/>
        </w:rPr>
      </w:pPr>
      <w:r>
        <w:rPr>
          <w:rFonts w:hint="eastAsia" w:cs="宋体"/>
          <w:szCs w:val="24"/>
        </w:rPr>
        <w:t>1. 区域碳排放量以及经济、人口、能源消费量的现状分析；</w:t>
      </w:r>
    </w:p>
    <w:p w14:paraId="61CDF249">
      <w:pPr>
        <w:ind w:firstLine="480"/>
        <w:rPr>
          <w:rFonts w:cs="宋体"/>
          <w:szCs w:val="24"/>
        </w:rPr>
      </w:pPr>
      <w:r>
        <w:rPr>
          <w:rFonts w:hint="eastAsia" w:cs="宋体"/>
          <w:szCs w:val="24"/>
        </w:rPr>
        <w:t>2. 区域碳排放量以及经济、人口、能源消费量的预测模型；</w:t>
      </w:r>
    </w:p>
    <w:p w14:paraId="34D4B88E">
      <w:pPr>
        <w:ind w:firstLine="480"/>
        <w:rPr>
          <w:rFonts w:cs="宋体"/>
          <w:szCs w:val="24"/>
        </w:rPr>
      </w:pPr>
      <w:r>
        <w:rPr>
          <w:rFonts w:hint="eastAsia" w:cs="宋体"/>
          <w:szCs w:val="24"/>
        </w:rPr>
        <w:t>3. 区域双碳（碳达峰与碳中和）目标与路径规划方法。</w:t>
      </w:r>
    </w:p>
    <w:p w14:paraId="5FB8F7DA">
      <w:pPr>
        <w:pStyle w:val="2"/>
      </w:pPr>
      <w:r>
        <w:rPr>
          <w:rFonts w:hint="eastAsia"/>
          <w:b/>
          <w:bCs w:val="0"/>
        </w:rPr>
        <w:t>2</w:t>
      </w:r>
      <w:r>
        <w:t xml:space="preserve"> </w:t>
      </w:r>
      <w:r>
        <w:rPr>
          <w:rFonts w:hint="eastAsia"/>
        </w:rPr>
        <w:t>问题分析</w:t>
      </w:r>
    </w:p>
    <w:p w14:paraId="55370D86">
      <w:pPr>
        <w:ind w:firstLine="480"/>
      </w:pPr>
      <w:r>
        <w:rPr>
          <w:rFonts w:hint="eastAsia"/>
        </w:rPr>
        <w:t>赛题分为三个模块，各模块存在紧密联系。</w:t>
      </w:r>
    </w:p>
    <w:p w14:paraId="3C0EBFCC">
      <w:pPr>
        <w:ind w:firstLine="480"/>
      </w:pPr>
      <w:r>
        <w:rPr>
          <w:rFonts w:hint="eastAsia"/>
        </w:rPr>
        <w:t>问题一：以“数据分析”+“数据挖掘”+“指标建立”为主，需要深入题目所给的2010-2020的现有数据，理清各个表格之间的关系以及数据关系并分析是否存在异常数据，错误数据等等便于后续题目的求解。问题一所建立的各指标要涵盖区域人口、经济、能源消费量、碳排放量等方面。并在此基础上形成指标库涵盖19自变量、4个因变量指标，不仅可以增大后续建模的容错率，也可以帮助团队理解题目背景。将典型的宏观指标对人口、经济现状进行分析，通过精细的微观部门指标分析部门碳排放、能源消费量、石化和非石化使用情况。但是指标的过多建立会带来多重共线性的问题，为了更精准的将指标库的指标做后续预测模型，团队决定使相关分析、SEM结构方程模型完成精准指标挖掘，大大降低后续指标选择的难度。可以通过STIRPAT模型对宏观指标进行初步试探模拟结果，为后续问题研究打下坚实的数据基础，尽可能满足题目要求。</w:t>
      </w:r>
    </w:p>
    <w:p w14:paraId="1CE0C117">
      <w:pPr>
        <w:ind w:firstLine="480"/>
      </w:pPr>
      <w:r>
        <w:rPr>
          <w:rFonts w:hint="eastAsia"/>
        </w:rPr>
        <w:t>问题二：在第一题储备的指标数据库和以及分析出的极大影响碳排放、能源消费量的指标进入问题二分析。团队通过分析题目要求发现该大题偏向预测自变量与因变量之间（区域碳排放模型）的关联模型以及自变量与自变量（能源消费量与人口GDP）之间的关系模型。针对不同的要求，需要采取不同的指标进行内在关系挖掘并完成建模和调试。问题二的模型极大可能成为问题三不同场景下的碳排放核算模型，因此需要从宏观角度建立预测和微观角度建立预测。</w:t>
      </w:r>
    </w:p>
    <w:p w14:paraId="56093EFC">
      <w:pPr>
        <w:ind w:firstLine="480"/>
      </w:pPr>
      <w:r>
        <w:rPr>
          <w:rFonts w:hint="eastAsia"/>
        </w:rPr>
        <w:t>问题三：该题属于题目最终的输出，需要结合问题二的预测模型设计至少三个情景。考虑到研究时间的有限性和可持续性团队决定设计三个情景（1自然发展BAU、2按时完成、3雄心率先完成）。通过KAYA模型与问题二中的宏观模型结果进行验证，查看模型的准确度。在对依部门指标为基础建立的模型进行定性和定量分析时仅聚焦3雄心率先完成情景。最后模型不仅可以评估重点部门和能源经济政策的节能减排潜力和减排成本，而且可以寻找实现能源消费或排放控制等环境目标的技术路径。</w:t>
      </w:r>
    </w:p>
    <w:p w14:paraId="3BC22CC1">
      <w:pPr>
        <w:pStyle w:val="2"/>
      </w:pPr>
      <w:r>
        <w:rPr>
          <w:rFonts w:hint="eastAsia"/>
          <w:b/>
          <w:bCs w:val="0"/>
        </w:rPr>
        <w:t>3</w:t>
      </w:r>
      <w:r>
        <w:t xml:space="preserve"> </w:t>
      </w:r>
      <w:r>
        <w:rPr>
          <w:rFonts w:hint="eastAsia"/>
        </w:rPr>
        <w:t>基本假设</w:t>
      </w:r>
    </w:p>
    <w:p w14:paraId="77FE61D5">
      <w:pPr>
        <w:ind w:firstLine="480"/>
      </w:pPr>
      <w:r>
        <w:rPr>
          <w:rFonts w:hint="eastAsia"/>
        </w:rPr>
        <w:t>假设1，2035年的GDP比基期（2020年）翻一番；2060年比基期翻两番；</w:t>
      </w:r>
    </w:p>
    <w:p w14:paraId="74FC13AC">
      <w:pPr>
        <w:ind w:firstLine="480"/>
      </w:pPr>
      <w:r>
        <w:rPr>
          <w:rFonts w:hint="eastAsia"/>
        </w:rPr>
        <w:t>假设2，2060年生态碳汇的碳消纳量为基期碳排放量的10%；</w:t>
      </w:r>
    </w:p>
    <w:p w14:paraId="058BB1E3">
      <w:pPr>
        <w:ind w:firstLine="480"/>
      </w:pPr>
      <w:r>
        <w:rPr>
          <w:rFonts w:hint="eastAsia"/>
        </w:rPr>
        <w:t>假设3，2060年工程碳汇或碳交易的碳消纳量为基期碳排放量10%。</w:t>
      </w:r>
    </w:p>
    <w:p w14:paraId="43A120F0">
      <w:pPr>
        <w:ind w:firstLine="480" w:firstLineChars="0"/>
      </w:pPr>
    </w:p>
    <w:p w14:paraId="17796DE2">
      <w:pPr>
        <w:pStyle w:val="2"/>
      </w:pPr>
      <w:r>
        <w:rPr>
          <w:b/>
          <w:bCs w:val="0"/>
        </w:rPr>
        <w:t>4</w:t>
      </w:r>
      <w:r>
        <w:t xml:space="preserve"> </w:t>
      </w:r>
      <w:r>
        <w:rPr>
          <w:rFonts w:hint="eastAsia"/>
        </w:rPr>
        <w:t>数据验证及预处理</w:t>
      </w:r>
    </w:p>
    <w:p w14:paraId="287930A6">
      <w:pPr>
        <w:pStyle w:val="2"/>
        <w:tabs>
          <w:tab w:val="left" w:pos="875"/>
        </w:tabs>
        <w:jc w:val="left"/>
        <w:rPr>
          <w:rFonts w:eastAsia="宋体"/>
          <w:b/>
          <w:kern w:val="2"/>
          <w:sz w:val="24"/>
          <w:szCs w:val="22"/>
        </w:rPr>
      </w:pPr>
      <w:r>
        <w:rPr>
          <w:rFonts w:hint="eastAsia" w:eastAsia="宋体"/>
          <w:b/>
          <w:kern w:val="2"/>
          <w:sz w:val="24"/>
          <w:szCs w:val="22"/>
        </w:rPr>
        <w:t>4</w:t>
      </w:r>
      <w:r>
        <w:rPr>
          <w:rFonts w:eastAsia="宋体"/>
          <w:b/>
          <w:kern w:val="2"/>
          <w:sz w:val="24"/>
          <w:szCs w:val="22"/>
        </w:rPr>
        <w:t xml:space="preserve">.1 </w:t>
      </w:r>
      <w:r>
        <w:rPr>
          <w:rFonts w:hint="eastAsia" w:eastAsia="宋体"/>
          <w:b/>
          <w:kern w:val="2"/>
          <w:sz w:val="24"/>
          <w:szCs w:val="22"/>
        </w:rPr>
        <w:t>数据检验</w:t>
      </w:r>
    </w:p>
    <w:p w14:paraId="4C4C16F6">
      <w:pPr>
        <w:ind w:firstLine="480"/>
        <w:rPr>
          <w:bCs/>
        </w:rPr>
      </w:pPr>
      <w:r>
        <w:rPr>
          <w:rFonts w:hint="eastAsia"/>
        </w:rPr>
        <w:t>为了理清表格与表格、数据与数据之间的关系，团队对已知数据进行检验。在对部门碳排放数据进行检验的过程中，团队假定部门用电均来自能源供应部门</w:t>
      </w:r>
      <w:r>
        <w:rPr>
          <w:rFonts w:hint="eastAsia"/>
          <w:bCs/>
        </w:rPr>
        <w:t>，发现除工业消费部门外，其他消费部门的碳排放总量均与按照能耗量及其对应的碳排放因子计算得到的数值一致。其中</w:t>
      </w:r>
      <w:r>
        <w:rPr>
          <w:rFonts w:hint="eastAsia"/>
        </w:rPr>
        <w:t>工业消费部门已知碳排放总量数据和验算数据如下表所示：</w:t>
      </w:r>
    </w:p>
    <w:p w14:paraId="1E19C039">
      <w:pPr>
        <w:pStyle w:val="5"/>
      </w:pPr>
      <w:r>
        <w:rPr>
          <w:b/>
          <w:bCs/>
        </w:rPr>
        <w:t xml:space="preserve">表 </w:t>
      </w:r>
      <w:r>
        <w:rPr>
          <w:b/>
          <w:bCs/>
        </w:rPr>
        <w:fldChar w:fldCharType="begin"/>
      </w:r>
      <w:r>
        <w:rPr>
          <w:b/>
          <w:bCs/>
        </w:rPr>
        <w:instrText xml:space="preserve"> SEQ 表 \* ARABIC </w:instrText>
      </w:r>
      <w:r>
        <w:rPr>
          <w:b/>
          <w:bCs/>
        </w:rPr>
        <w:fldChar w:fldCharType="separate"/>
      </w:r>
      <w:r>
        <w:rPr>
          <w:b/>
          <w:bCs/>
        </w:rPr>
        <w:t>1</w:t>
      </w:r>
      <w:r>
        <w:rPr>
          <w:b/>
          <w:bCs/>
        </w:rPr>
        <w:fldChar w:fldCharType="end"/>
      </w:r>
      <w:r>
        <w:rPr>
          <w:rFonts w:hint="eastAsia"/>
        </w:rPr>
        <w:t xml:space="preserve"> 工业消费部门已知碳排放总量数据和验算数据差异</w:t>
      </w:r>
    </w:p>
    <w:tbl>
      <w:tblPr>
        <w:tblStyle w:val="19"/>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91"/>
        <w:gridCol w:w="808"/>
        <w:gridCol w:w="808"/>
        <w:gridCol w:w="808"/>
        <w:gridCol w:w="808"/>
        <w:gridCol w:w="808"/>
        <w:gridCol w:w="808"/>
        <w:gridCol w:w="808"/>
        <w:gridCol w:w="808"/>
        <w:gridCol w:w="808"/>
        <w:gridCol w:w="809"/>
        <w:gridCol w:w="800"/>
      </w:tblGrid>
      <w:tr w14:paraId="07A9AC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361" w:type="pct"/>
            <w:tcBorders>
              <w:top w:val="single" w:color="auto" w:sz="12" w:space="0"/>
              <w:left w:val="single" w:color="auto" w:sz="4" w:space="0"/>
              <w:bottom w:val="single" w:color="auto" w:sz="12" w:space="0"/>
            </w:tcBorders>
            <w:shd w:val="clear" w:color="auto" w:fill="auto"/>
            <w:noWrap/>
            <w:vAlign w:val="center"/>
          </w:tcPr>
          <w:p w14:paraId="5CF010EA">
            <w:pPr>
              <w:pStyle w:val="5"/>
            </w:pPr>
            <w:r>
              <w:t>年份</w:t>
            </w:r>
          </w:p>
        </w:tc>
        <w:tc>
          <w:tcPr>
            <w:tcW w:w="422" w:type="pct"/>
            <w:tcBorders>
              <w:top w:val="single" w:color="auto" w:sz="12" w:space="0"/>
              <w:bottom w:val="single" w:color="auto" w:sz="12" w:space="0"/>
            </w:tcBorders>
            <w:shd w:val="clear" w:color="auto" w:fill="auto"/>
            <w:noWrap/>
            <w:vAlign w:val="center"/>
          </w:tcPr>
          <w:p w14:paraId="00C5C26B">
            <w:pPr>
              <w:pStyle w:val="5"/>
            </w:pPr>
            <w:r>
              <w:t>2010</w:t>
            </w:r>
          </w:p>
        </w:tc>
        <w:tc>
          <w:tcPr>
            <w:tcW w:w="422" w:type="pct"/>
            <w:tcBorders>
              <w:top w:val="single" w:color="auto" w:sz="12" w:space="0"/>
              <w:bottom w:val="single" w:color="auto" w:sz="12" w:space="0"/>
            </w:tcBorders>
            <w:shd w:val="clear" w:color="auto" w:fill="auto"/>
            <w:noWrap/>
            <w:vAlign w:val="center"/>
          </w:tcPr>
          <w:p w14:paraId="3DC03B71">
            <w:pPr>
              <w:pStyle w:val="5"/>
            </w:pPr>
            <w:r>
              <w:t>2011</w:t>
            </w:r>
          </w:p>
        </w:tc>
        <w:tc>
          <w:tcPr>
            <w:tcW w:w="422" w:type="pct"/>
            <w:tcBorders>
              <w:top w:val="single" w:color="auto" w:sz="12" w:space="0"/>
              <w:bottom w:val="single" w:color="auto" w:sz="12" w:space="0"/>
            </w:tcBorders>
            <w:shd w:val="clear" w:color="auto" w:fill="auto"/>
            <w:noWrap/>
            <w:vAlign w:val="center"/>
          </w:tcPr>
          <w:p w14:paraId="12B53D37">
            <w:pPr>
              <w:pStyle w:val="5"/>
            </w:pPr>
            <w:r>
              <w:t>2012</w:t>
            </w:r>
          </w:p>
        </w:tc>
        <w:tc>
          <w:tcPr>
            <w:tcW w:w="422" w:type="pct"/>
            <w:tcBorders>
              <w:top w:val="single" w:color="auto" w:sz="12" w:space="0"/>
              <w:bottom w:val="single" w:color="auto" w:sz="12" w:space="0"/>
            </w:tcBorders>
            <w:shd w:val="clear" w:color="auto" w:fill="auto"/>
            <w:noWrap/>
            <w:vAlign w:val="center"/>
          </w:tcPr>
          <w:p w14:paraId="4DFA19C8">
            <w:pPr>
              <w:pStyle w:val="5"/>
            </w:pPr>
            <w:r>
              <w:t>2013</w:t>
            </w:r>
          </w:p>
        </w:tc>
        <w:tc>
          <w:tcPr>
            <w:tcW w:w="422" w:type="pct"/>
            <w:tcBorders>
              <w:top w:val="single" w:color="auto" w:sz="12" w:space="0"/>
              <w:bottom w:val="single" w:color="auto" w:sz="12" w:space="0"/>
            </w:tcBorders>
            <w:shd w:val="clear" w:color="auto" w:fill="auto"/>
            <w:noWrap/>
            <w:vAlign w:val="center"/>
          </w:tcPr>
          <w:p w14:paraId="0EBBED58">
            <w:pPr>
              <w:pStyle w:val="5"/>
            </w:pPr>
            <w:r>
              <w:t>2014</w:t>
            </w:r>
          </w:p>
        </w:tc>
        <w:tc>
          <w:tcPr>
            <w:tcW w:w="422" w:type="pct"/>
            <w:tcBorders>
              <w:top w:val="single" w:color="auto" w:sz="12" w:space="0"/>
              <w:bottom w:val="single" w:color="auto" w:sz="12" w:space="0"/>
            </w:tcBorders>
            <w:shd w:val="clear" w:color="auto" w:fill="auto"/>
            <w:noWrap/>
            <w:vAlign w:val="center"/>
          </w:tcPr>
          <w:p w14:paraId="5A8CFAB8">
            <w:pPr>
              <w:pStyle w:val="5"/>
            </w:pPr>
            <w:r>
              <w:t>2015</w:t>
            </w:r>
          </w:p>
        </w:tc>
        <w:tc>
          <w:tcPr>
            <w:tcW w:w="422" w:type="pct"/>
            <w:tcBorders>
              <w:top w:val="single" w:color="auto" w:sz="12" w:space="0"/>
              <w:bottom w:val="single" w:color="auto" w:sz="12" w:space="0"/>
            </w:tcBorders>
            <w:shd w:val="clear" w:color="auto" w:fill="auto"/>
            <w:noWrap/>
            <w:vAlign w:val="center"/>
          </w:tcPr>
          <w:p w14:paraId="6D7B560F">
            <w:pPr>
              <w:pStyle w:val="5"/>
            </w:pPr>
            <w:r>
              <w:t>2016</w:t>
            </w:r>
          </w:p>
        </w:tc>
        <w:tc>
          <w:tcPr>
            <w:tcW w:w="422" w:type="pct"/>
            <w:tcBorders>
              <w:top w:val="single" w:color="auto" w:sz="12" w:space="0"/>
              <w:bottom w:val="single" w:color="auto" w:sz="12" w:space="0"/>
            </w:tcBorders>
            <w:shd w:val="clear" w:color="auto" w:fill="auto"/>
            <w:noWrap/>
            <w:vAlign w:val="center"/>
          </w:tcPr>
          <w:p w14:paraId="2FA168E6">
            <w:pPr>
              <w:pStyle w:val="5"/>
            </w:pPr>
            <w:r>
              <w:t>2017</w:t>
            </w:r>
          </w:p>
        </w:tc>
        <w:tc>
          <w:tcPr>
            <w:tcW w:w="422" w:type="pct"/>
            <w:tcBorders>
              <w:top w:val="single" w:color="auto" w:sz="12" w:space="0"/>
              <w:bottom w:val="single" w:color="auto" w:sz="12" w:space="0"/>
            </w:tcBorders>
            <w:shd w:val="clear" w:color="auto" w:fill="auto"/>
            <w:noWrap/>
            <w:vAlign w:val="center"/>
          </w:tcPr>
          <w:p w14:paraId="5E420550">
            <w:pPr>
              <w:pStyle w:val="5"/>
            </w:pPr>
            <w:r>
              <w:t>2018</w:t>
            </w:r>
          </w:p>
        </w:tc>
        <w:tc>
          <w:tcPr>
            <w:tcW w:w="422" w:type="pct"/>
            <w:tcBorders>
              <w:top w:val="single" w:color="auto" w:sz="12" w:space="0"/>
              <w:bottom w:val="single" w:color="auto" w:sz="12" w:space="0"/>
            </w:tcBorders>
            <w:shd w:val="clear" w:color="auto" w:fill="auto"/>
            <w:noWrap/>
            <w:vAlign w:val="center"/>
          </w:tcPr>
          <w:p w14:paraId="25D2AC06">
            <w:pPr>
              <w:pStyle w:val="5"/>
            </w:pPr>
            <w:r>
              <w:t>2019</w:t>
            </w:r>
          </w:p>
        </w:tc>
        <w:tc>
          <w:tcPr>
            <w:tcW w:w="417" w:type="pct"/>
            <w:tcBorders>
              <w:top w:val="single" w:color="auto" w:sz="12" w:space="0"/>
              <w:bottom w:val="single" w:color="auto" w:sz="12" w:space="0"/>
            </w:tcBorders>
            <w:shd w:val="clear" w:color="auto" w:fill="auto"/>
            <w:noWrap/>
            <w:vAlign w:val="center"/>
          </w:tcPr>
          <w:p w14:paraId="1E1E337B">
            <w:pPr>
              <w:pStyle w:val="5"/>
            </w:pPr>
            <w:r>
              <w:t>2020</w:t>
            </w:r>
          </w:p>
        </w:tc>
      </w:tr>
      <w:tr w14:paraId="4B71FF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361" w:type="pct"/>
            <w:tcBorders>
              <w:top w:val="single" w:color="auto" w:sz="12" w:space="0"/>
              <w:tl2br w:val="nil"/>
              <w:tr2bl w:val="nil"/>
            </w:tcBorders>
            <w:shd w:val="clear" w:color="auto" w:fill="auto"/>
            <w:noWrap/>
            <w:vAlign w:val="center"/>
          </w:tcPr>
          <w:p w14:paraId="13413644">
            <w:pPr>
              <w:pStyle w:val="5"/>
            </w:pPr>
            <w:r>
              <w:t>验算</w:t>
            </w:r>
          </w:p>
        </w:tc>
        <w:tc>
          <w:tcPr>
            <w:tcW w:w="422" w:type="pct"/>
            <w:tcBorders>
              <w:top w:val="single" w:color="auto" w:sz="12" w:space="0"/>
              <w:tl2br w:val="nil"/>
              <w:tr2bl w:val="nil"/>
            </w:tcBorders>
            <w:shd w:val="clear" w:color="auto" w:fill="auto"/>
            <w:noWrap/>
            <w:vAlign w:val="center"/>
          </w:tcPr>
          <w:p w14:paraId="47CB9895">
            <w:pPr>
              <w:pStyle w:val="5"/>
            </w:pPr>
            <w:r>
              <w:t xml:space="preserve">50630 </w:t>
            </w:r>
          </w:p>
        </w:tc>
        <w:tc>
          <w:tcPr>
            <w:tcW w:w="422" w:type="pct"/>
            <w:tcBorders>
              <w:top w:val="single" w:color="auto" w:sz="12" w:space="0"/>
              <w:tl2br w:val="nil"/>
              <w:tr2bl w:val="nil"/>
            </w:tcBorders>
            <w:shd w:val="clear" w:color="auto" w:fill="auto"/>
            <w:noWrap/>
            <w:vAlign w:val="center"/>
          </w:tcPr>
          <w:p w14:paraId="68A969B6">
            <w:pPr>
              <w:pStyle w:val="5"/>
            </w:pPr>
            <w:r>
              <w:t xml:space="preserve">52900 </w:t>
            </w:r>
          </w:p>
        </w:tc>
        <w:tc>
          <w:tcPr>
            <w:tcW w:w="422" w:type="pct"/>
            <w:tcBorders>
              <w:top w:val="single" w:color="auto" w:sz="12" w:space="0"/>
              <w:tl2br w:val="nil"/>
              <w:tr2bl w:val="nil"/>
            </w:tcBorders>
            <w:shd w:val="clear" w:color="auto" w:fill="auto"/>
            <w:noWrap/>
            <w:vAlign w:val="center"/>
          </w:tcPr>
          <w:p w14:paraId="4649664D">
            <w:pPr>
              <w:pStyle w:val="5"/>
            </w:pPr>
            <w:r>
              <w:t xml:space="preserve">54107 </w:t>
            </w:r>
          </w:p>
        </w:tc>
        <w:tc>
          <w:tcPr>
            <w:tcW w:w="422" w:type="pct"/>
            <w:tcBorders>
              <w:top w:val="single" w:color="auto" w:sz="12" w:space="0"/>
              <w:tl2br w:val="nil"/>
              <w:tr2bl w:val="nil"/>
            </w:tcBorders>
            <w:shd w:val="clear" w:color="auto" w:fill="auto"/>
            <w:noWrap/>
            <w:vAlign w:val="center"/>
          </w:tcPr>
          <w:p w14:paraId="08E66321">
            <w:pPr>
              <w:pStyle w:val="5"/>
            </w:pPr>
            <w:r>
              <w:t xml:space="preserve">60566 </w:t>
            </w:r>
          </w:p>
        </w:tc>
        <w:tc>
          <w:tcPr>
            <w:tcW w:w="422" w:type="pct"/>
            <w:tcBorders>
              <w:top w:val="single" w:color="auto" w:sz="12" w:space="0"/>
              <w:tl2br w:val="nil"/>
              <w:tr2bl w:val="nil"/>
            </w:tcBorders>
            <w:shd w:val="clear" w:color="auto" w:fill="auto"/>
            <w:noWrap/>
            <w:vAlign w:val="center"/>
          </w:tcPr>
          <w:p w14:paraId="0975A396">
            <w:pPr>
              <w:pStyle w:val="5"/>
            </w:pPr>
            <w:r>
              <w:t xml:space="preserve">60837 </w:t>
            </w:r>
          </w:p>
        </w:tc>
        <w:tc>
          <w:tcPr>
            <w:tcW w:w="422" w:type="pct"/>
            <w:tcBorders>
              <w:top w:val="single" w:color="auto" w:sz="12" w:space="0"/>
              <w:tl2br w:val="nil"/>
              <w:tr2bl w:val="nil"/>
            </w:tcBorders>
            <w:shd w:val="clear" w:color="auto" w:fill="auto"/>
            <w:noWrap/>
            <w:vAlign w:val="center"/>
          </w:tcPr>
          <w:p w14:paraId="0111669F">
            <w:pPr>
              <w:pStyle w:val="5"/>
            </w:pPr>
            <w:r>
              <w:t xml:space="preserve">60975 </w:t>
            </w:r>
          </w:p>
        </w:tc>
        <w:tc>
          <w:tcPr>
            <w:tcW w:w="422" w:type="pct"/>
            <w:tcBorders>
              <w:top w:val="single" w:color="auto" w:sz="12" w:space="0"/>
              <w:tl2br w:val="nil"/>
              <w:tr2bl w:val="nil"/>
            </w:tcBorders>
            <w:shd w:val="clear" w:color="auto" w:fill="auto"/>
            <w:noWrap/>
            <w:vAlign w:val="center"/>
          </w:tcPr>
          <w:p w14:paraId="139A8CEC">
            <w:pPr>
              <w:pStyle w:val="5"/>
            </w:pPr>
            <w:r>
              <w:t xml:space="preserve">62693 </w:t>
            </w:r>
          </w:p>
        </w:tc>
        <w:tc>
          <w:tcPr>
            <w:tcW w:w="422" w:type="pct"/>
            <w:tcBorders>
              <w:top w:val="single" w:color="auto" w:sz="12" w:space="0"/>
              <w:tl2br w:val="nil"/>
              <w:tr2bl w:val="nil"/>
            </w:tcBorders>
            <w:shd w:val="clear" w:color="auto" w:fill="auto"/>
            <w:noWrap/>
            <w:vAlign w:val="center"/>
          </w:tcPr>
          <w:p w14:paraId="2B1D0531">
            <w:pPr>
              <w:pStyle w:val="5"/>
            </w:pPr>
            <w:r>
              <w:t xml:space="preserve">64594 </w:t>
            </w:r>
          </w:p>
        </w:tc>
        <w:tc>
          <w:tcPr>
            <w:tcW w:w="422" w:type="pct"/>
            <w:tcBorders>
              <w:top w:val="single" w:color="auto" w:sz="12" w:space="0"/>
              <w:tl2br w:val="nil"/>
              <w:tr2bl w:val="nil"/>
            </w:tcBorders>
            <w:shd w:val="clear" w:color="auto" w:fill="auto"/>
            <w:noWrap/>
            <w:vAlign w:val="center"/>
          </w:tcPr>
          <w:p w14:paraId="135CE469">
            <w:pPr>
              <w:pStyle w:val="5"/>
            </w:pPr>
            <w:r>
              <w:t xml:space="preserve">66423 </w:t>
            </w:r>
          </w:p>
        </w:tc>
        <w:tc>
          <w:tcPr>
            <w:tcW w:w="422" w:type="pct"/>
            <w:tcBorders>
              <w:top w:val="single" w:color="auto" w:sz="12" w:space="0"/>
              <w:right w:val="single" w:color="auto" w:sz="4" w:space="0"/>
              <w:tl2br w:val="nil"/>
              <w:tr2bl w:val="nil"/>
            </w:tcBorders>
            <w:shd w:val="clear" w:color="auto" w:fill="auto"/>
            <w:noWrap/>
            <w:vAlign w:val="center"/>
          </w:tcPr>
          <w:p w14:paraId="6DB3436E">
            <w:pPr>
              <w:pStyle w:val="5"/>
            </w:pPr>
            <w:r>
              <w:t xml:space="preserve">70764 </w:t>
            </w:r>
          </w:p>
        </w:tc>
        <w:tc>
          <w:tcPr>
            <w:tcW w:w="417" w:type="pct"/>
            <w:tcBorders>
              <w:top w:val="single" w:color="auto" w:sz="12" w:space="0"/>
              <w:left w:val="single" w:color="auto" w:sz="4" w:space="0"/>
              <w:tl2br w:val="nil"/>
              <w:tr2bl w:val="nil"/>
            </w:tcBorders>
            <w:shd w:val="clear" w:color="auto" w:fill="auto"/>
            <w:noWrap/>
            <w:vAlign w:val="center"/>
          </w:tcPr>
          <w:p w14:paraId="112ECCC3">
            <w:pPr>
              <w:pStyle w:val="5"/>
            </w:pPr>
            <w:r>
              <w:t xml:space="preserve">69151 </w:t>
            </w:r>
          </w:p>
        </w:tc>
      </w:tr>
      <w:tr w14:paraId="5D863A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361" w:type="pct"/>
            <w:tcBorders>
              <w:tl2br w:val="nil"/>
              <w:tr2bl w:val="nil"/>
            </w:tcBorders>
            <w:shd w:val="clear" w:color="auto" w:fill="auto"/>
            <w:noWrap/>
            <w:vAlign w:val="center"/>
          </w:tcPr>
          <w:p w14:paraId="6F516D22">
            <w:pPr>
              <w:pStyle w:val="5"/>
            </w:pPr>
            <w:r>
              <w:t>已知</w:t>
            </w:r>
          </w:p>
        </w:tc>
        <w:tc>
          <w:tcPr>
            <w:tcW w:w="422" w:type="pct"/>
            <w:tcBorders>
              <w:tl2br w:val="nil"/>
              <w:tr2bl w:val="nil"/>
            </w:tcBorders>
            <w:shd w:val="clear" w:color="auto" w:fill="auto"/>
            <w:noWrap/>
            <w:vAlign w:val="center"/>
          </w:tcPr>
          <w:p w14:paraId="21D49708">
            <w:pPr>
              <w:pStyle w:val="5"/>
            </w:pPr>
            <w:r>
              <w:t xml:space="preserve">45226 </w:t>
            </w:r>
          </w:p>
        </w:tc>
        <w:tc>
          <w:tcPr>
            <w:tcW w:w="422" w:type="pct"/>
            <w:tcBorders>
              <w:tl2br w:val="nil"/>
              <w:tr2bl w:val="nil"/>
            </w:tcBorders>
            <w:shd w:val="clear" w:color="auto" w:fill="auto"/>
            <w:noWrap/>
            <w:vAlign w:val="center"/>
          </w:tcPr>
          <w:p w14:paraId="73B2D41C">
            <w:pPr>
              <w:pStyle w:val="5"/>
            </w:pPr>
            <w:r>
              <w:t xml:space="preserve">52976 </w:t>
            </w:r>
          </w:p>
        </w:tc>
        <w:tc>
          <w:tcPr>
            <w:tcW w:w="422" w:type="pct"/>
            <w:tcBorders>
              <w:tl2br w:val="nil"/>
              <w:tr2bl w:val="nil"/>
            </w:tcBorders>
            <w:shd w:val="clear" w:color="auto" w:fill="auto"/>
            <w:noWrap/>
            <w:vAlign w:val="center"/>
          </w:tcPr>
          <w:p w14:paraId="2E803DF1">
            <w:pPr>
              <w:pStyle w:val="5"/>
            </w:pPr>
            <w:r>
              <w:t xml:space="preserve">54048 </w:t>
            </w:r>
          </w:p>
        </w:tc>
        <w:tc>
          <w:tcPr>
            <w:tcW w:w="422" w:type="pct"/>
            <w:tcBorders>
              <w:tl2br w:val="nil"/>
              <w:tr2bl w:val="nil"/>
            </w:tcBorders>
            <w:shd w:val="clear" w:color="auto" w:fill="auto"/>
            <w:noWrap/>
            <w:vAlign w:val="center"/>
          </w:tcPr>
          <w:p w14:paraId="08D5257D">
            <w:pPr>
              <w:pStyle w:val="5"/>
            </w:pPr>
            <w:r>
              <w:t xml:space="preserve">52229 </w:t>
            </w:r>
          </w:p>
        </w:tc>
        <w:tc>
          <w:tcPr>
            <w:tcW w:w="422" w:type="pct"/>
            <w:tcBorders>
              <w:tl2br w:val="nil"/>
              <w:tr2bl w:val="nil"/>
            </w:tcBorders>
            <w:shd w:val="clear" w:color="auto" w:fill="auto"/>
            <w:noWrap/>
            <w:vAlign w:val="center"/>
          </w:tcPr>
          <w:p w14:paraId="740BE534">
            <w:pPr>
              <w:pStyle w:val="5"/>
            </w:pPr>
            <w:r>
              <w:t xml:space="preserve">51188 </w:t>
            </w:r>
          </w:p>
        </w:tc>
        <w:tc>
          <w:tcPr>
            <w:tcW w:w="422" w:type="pct"/>
            <w:tcBorders>
              <w:tl2br w:val="nil"/>
              <w:tr2bl w:val="nil"/>
            </w:tcBorders>
            <w:shd w:val="clear" w:color="auto" w:fill="auto"/>
            <w:noWrap/>
            <w:vAlign w:val="center"/>
          </w:tcPr>
          <w:p w14:paraId="0764EFF5">
            <w:pPr>
              <w:pStyle w:val="5"/>
            </w:pPr>
            <w:r>
              <w:t xml:space="preserve">51102 </w:t>
            </w:r>
          </w:p>
        </w:tc>
        <w:tc>
          <w:tcPr>
            <w:tcW w:w="422" w:type="pct"/>
            <w:tcBorders>
              <w:tl2br w:val="nil"/>
              <w:tr2bl w:val="nil"/>
            </w:tcBorders>
            <w:shd w:val="clear" w:color="auto" w:fill="auto"/>
            <w:noWrap/>
            <w:vAlign w:val="center"/>
          </w:tcPr>
          <w:p w14:paraId="46564B6B">
            <w:pPr>
              <w:pStyle w:val="5"/>
            </w:pPr>
            <w:r>
              <w:t xml:space="preserve">52382 </w:t>
            </w:r>
          </w:p>
        </w:tc>
        <w:tc>
          <w:tcPr>
            <w:tcW w:w="422" w:type="pct"/>
            <w:tcBorders>
              <w:tl2br w:val="nil"/>
              <w:tr2bl w:val="nil"/>
            </w:tcBorders>
            <w:shd w:val="clear" w:color="auto" w:fill="auto"/>
            <w:noWrap/>
            <w:vAlign w:val="center"/>
          </w:tcPr>
          <w:p w14:paraId="7798114C">
            <w:pPr>
              <w:pStyle w:val="5"/>
            </w:pPr>
            <w:r>
              <w:t xml:space="preserve">52976 </w:t>
            </w:r>
          </w:p>
        </w:tc>
        <w:tc>
          <w:tcPr>
            <w:tcW w:w="422" w:type="pct"/>
            <w:tcBorders>
              <w:tl2br w:val="nil"/>
              <w:tr2bl w:val="nil"/>
            </w:tcBorders>
            <w:shd w:val="clear" w:color="auto" w:fill="auto"/>
            <w:noWrap/>
            <w:vAlign w:val="center"/>
          </w:tcPr>
          <w:p w14:paraId="1FDC911D">
            <w:pPr>
              <w:pStyle w:val="5"/>
            </w:pPr>
            <w:r>
              <w:t xml:space="preserve">52507 </w:t>
            </w:r>
          </w:p>
        </w:tc>
        <w:tc>
          <w:tcPr>
            <w:tcW w:w="422" w:type="pct"/>
            <w:tcBorders>
              <w:right w:val="single" w:color="auto" w:sz="4" w:space="0"/>
              <w:tl2br w:val="nil"/>
              <w:tr2bl w:val="nil"/>
            </w:tcBorders>
            <w:shd w:val="clear" w:color="auto" w:fill="auto"/>
            <w:noWrap/>
            <w:vAlign w:val="center"/>
          </w:tcPr>
          <w:p w14:paraId="6BB7CCCA">
            <w:pPr>
              <w:pStyle w:val="5"/>
            </w:pPr>
            <w:r>
              <w:t xml:space="preserve">54235 </w:t>
            </w:r>
          </w:p>
        </w:tc>
        <w:tc>
          <w:tcPr>
            <w:tcW w:w="417" w:type="pct"/>
            <w:tcBorders>
              <w:left w:val="single" w:color="auto" w:sz="4" w:space="0"/>
              <w:tl2br w:val="nil"/>
              <w:tr2bl w:val="nil"/>
            </w:tcBorders>
            <w:shd w:val="clear" w:color="auto" w:fill="auto"/>
            <w:noWrap/>
            <w:vAlign w:val="center"/>
          </w:tcPr>
          <w:p w14:paraId="053857A0">
            <w:pPr>
              <w:pStyle w:val="5"/>
            </w:pPr>
            <w:r>
              <w:t xml:space="preserve">52954 </w:t>
            </w:r>
          </w:p>
        </w:tc>
      </w:tr>
      <w:tr w14:paraId="004AF2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361" w:type="pct"/>
            <w:tcBorders>
              <w:bottom w:val="single" w:color="auto" w:sz="12" w:space="0"/>
              <w:tl2br w:val="nil"/>
              <w:tr2bl w:val="nil"/>
            </w:tcBorders>
            <w:shd w:val="clear" w:color="auto" w:fill="auto"/>
            <w:noWrap/>
            <w:vAlign w:val="center"/>
          </w:tcPr>
          <w:p w14:paraId="017FA5EF">
            <w:pPr>
              <w:pStyle w:val="5"/>
            </w:pPr>
            <w:r>
              <w:t>误差</w:t>
            </w:r>
          </w:p>
        </w:tc>
        <w:tc>
          <w:tcPr>
            <w:tcW w:w="422" w:type="pct"/>
            <w:tcBorders>
              <w:bottom w:val="single" w:color="auto" w:sz="12" w:space="0"/>
              <w:tl2br w:val="nil"/>
              <w:tr2bl w:val="nil"/>
            </w:tcBorders>
            <w:shd w:val="clear" w:color="auto" w:fill="auto"/>
            <w:noWrap/>
            <w:vAlign w:val="center"/>
          </w:tcPr>
          <w:p w14:paraId="190D7C59">
            <w:pPr>
              <w:pStyle w:val="5"/>
            </w:pPr>
            <w:r>
              <w:t xml:space="preserve">5405 </w:t>
            </w:r>
          </w:p>
        </w:tc>
        <w:tc>
          <w:tcPr>
            <w:tcW w:w="422" w:type="pct"/>
            <w:tcBorders>
              <w:bottom w:val="single" w:color="auto" w:sz="12" w:space="0"/>
              <w:tl2br w:val="nil"/>
              <w:tr2bl w:val="nil"/>
            </w:tcBorders>
            <w:shd w:val="clear" w:color="auto" w:fill="auto"/>
            <w:noWrap/>
            <w:vAlign w:val="center"/>
          </w:tcPr>
          <w:p w14:paraId="3568107D">
            <w:pPr>
              <w:pStyle w:val="5"/>
            </w:pPr>
            <w:r>
              <w:t xml:space="preserve">-76 </w:t>
            </w:r>
          </w:p>
        </w:tc>
        <w:tc>
          <w:tcPr>
            <w:tcW w:w="422" w:type="pct"/>
            <w:tcBorders>
              <w:bottom w:val="single" w:color="auto" w:sz="12" w:space="0"/>
              <w:tl2br w:val="nil"/>
              <w:tr2bl w:val="nil"/>
            </w:tcBorders>
            <w:shd w:val="clear" w:color="auto" w:fill="auto"/>
            <w:noWrap/>
            <w:vAlign w:val="center"/>
          </w:tcPr>
          <w:p w14:paraId="744D6C8D">
            <w:pPr>
              <w:pStyle w:val="5"/>
            </w:pPr>
            <w:r>
              <w:t xml:space="preserve">58 </w:t>
            </w:r>
          </w:p>
        </w:tc>
        <w:tc>
          <w:tcPr>
            <w:tcW w:w="422" w:type="pct"/>
            <w:tcBorders>
              <w:bottom w:val="single" w:color="auto" w:sz="12" w:space="0"/>
              <w:tl2br w:val="nil"/>
              <w:tr2bl w:val="nil"/>
            </w:tcBorders>
            <w:shd w:val="clear" w:color="auto" w:fill="auto"/>
            <w:noWrap/>
            <w:vAlign w:val="center"/>
          </w:tcPr>
          <w:p w14:paraId="594A5D59">
            <w:pPr>
              <w:pStyle w:val="5"/>
            </w:pPr>
            <w:r>
              <w:t xml:space="preserve">8337 </w:t>
            </w:r>
          </w:p>
        </w:tc>
        <w:tc>
          <w:tcPr>
            <w:tcW w:w="422" w:type="pct"/>
            <w:tcBorders>
              <w:bottom w:val="single" w:color="auto" w:sz="12" w:space="0"/>
              <w:tl2br w:val="nil"/>
              <w:tr2bl w:val="nil"/>
            </w:tcBorders>
            <w:shd w:val="clear" w:color="auto" w:fill="auto"/>
            <w:noWrap/>
            <w:vAlign w:val="center"/>
          </w:tcPr>
          <w:p w14:paraId="14EC108D">
            <w:pPr>
              <w:pStyle w:val="5"/>
            </w:pPr>
            <w:r>
              <w:t xml:space="preserve">9649 </w:t>
            </w:r>
          </w:p>
        </w:tc>
        <w:tc>
          <w:tcPr>
            <w:tcW w:w="422" w:type="pct"/>
            <w:tcBorders>
              <w:bottom w:val="single" w:color="auto" w:sz="12" w:space="0"/>
              <w:tl2br w:val="nil"/>
              <w:tr2bl w:val="nil"/>
            </w:tcBorders>
            <w:shd w:val="clear" w:color="auto" w:fill="auto"/>
            <w:noWrap/>
            <w:vAlign w:val="center"/>
          </w:tcPr>
          <w:p w14:paraId="3F43B64F">
            <w:pPr>
              <w:pStyle w:val="5"/>
            </w:pPr>
            <w:r>
              <w:t xml:space="preserve">9873 </w:t>
            </w:r>
          </w:p>
        </w:tc>
        <w:tc>
          <w:tcPr>
            <w:tcW w:w="422" w:type="pct"/>
            <w:tcBorders>
              <w:bottom w:val="single" w:color="auto" w:sz="12" w:space="0"/>
              <w:tl2br w:val="nil"/>
              <w:tr2bl w:val="nil"/>
            </w:tcBorders>
            <w:shd w:val="clear" w:color="auto" w:fill="auto"/>
            <w:noWrap/>
            <w:vAlign w:val="center"/>
          </w:tcPr>
          <w:p w14:paraId="23B5BA4F">
            <w:pPr>
              <w:pStyle w:val="5"/>
            </w:pPr>
            <w:r>
              <w:t xml:space="preserve">10311 </w:t>
            </w:r>
          </w:p>
        </w:tc>
        <w:tc>
          <w:tcPr>
            <w:tcW w:w="422" w:type="pct"/>
            <w:tcBorders>
              <w:bottom w:val="single" w:color="auto" w:sz="12" w:space="0"/>
              <w:tl2br w:val="nil"/>
              <w:tr2bl w:val="nil"/>
            </w:tcBorders>
            <w:shd w:val="clear" w:color="auto" w:fill="auto"/>
            <w:noWrap/>
            <w:vAlign w:val="center"/>
          </w:tcPr>
          <w:p w14:paraId="0DB938BA">
            <w:pPr>
              <w:pStyle w:val="5"/>
            </w:pPr>
            <w:r>
              <w:t xml:space="preserve">11618 </w:t>
            </w:r>
          </w:p>
        </w:tc>
        <w:tc>
          <w:tcPr>
            <w:tcW w:w="422" w:type="pct"/>
            <w:tcBorders>
              <w:bottom w:val="single" w:color="auto" w:sz="12" w:space="0"/>
              <w:tl2br w:val="nil"/>
              <w:tr2bl w:val="nil"/>
            </w:tcBorders>
            <w:shd w:val="clear" w:color="auto" w:fill="auto"/>
            <w:noWrap/>
            <w:vAlign w:val="center"/>
          </w:tcPr>
          <w:p w14:paraId="15C1EAC0">
            <w:pPr>
              <w:pStyle w:val="5"/>
            </w:pPr>
            <w:r>
              <w:t xml:space="preserve">13916 </w:t>
            </w:r>
          </w:p>
        </w:tc>
        <w:tc>
          <w:tcPr>
            <w:tcW w:w="422" w:type="pct"/>
            <w:tcBorders>
              <w:bottom w:val="single" w:color="auto" w:sz="12" w:space="0"/>
              <w:tl2br w:val="nil"/>
              <w:tr2bl w:val="nil"/>
            </w:tcBorders>
            <w:shd w:val="clear" w:color="auto" w:fill="auto"/>
            <w:noWrap/>
            <w:vAlign w:val="center"/>
          </w:tcPr>
          <w:p w14:paraId="4B577D8C">
            <w:pPr>
              <w:pStyle w:val="5"/>
            </w:pPr>
            <w:r>
              <w:t xml:space="preserve">16529 </w:t>
            </w:r>
          </w:p>
        </w:tc>
        <w:tc>
          <w:tcPr>
            <w:tcW w:w="417" w:type="pct"/>
            <w:tcBorders>
              <w:bottom w:val="single" w:color="auto" w:sz="12" w:space="0"/>
              <w:tl2br w:val="nil"/>
              <w:tr2bl w:val="nil"/>
            </w:tcBorders>
            <w:shd w:val="clear" w:color="auto" w:fill="auto"/>
            <w:noWrap/>
            <w:vAlign w:val="center"/>
          </w:tcPr>
          <w:p w14:paraId="76784DBB">
            <w:pPr>
              <w:pStyle w:val="5"/>
            </w:pPr>
            <w:r>
              <w:t xml:space="preserve">16197 </w:t>
            </w:r>
          </w:p>
        </w:tc>
      </w:tr>
    </w:tbl>
    <w:p w14:paraId="5633AA05">
      <w:pPr>
        <w:ind w:firstLine="480"/>
      </w:pPr>
      <w:r>
        <w:rPr>
          <w:rFonts w:hint="eastAsia"/>
        </w:rPr>
        <w:t>由于工业消费部门使用外调电和新能源电的碳排放因子远低于使用能源供应部门供电的碳排放因子，那么可以认为工业消费部门使用了外调电和新能源电导致了上述误差，而其他消费部门并没有使用除能源供应部门供给外的其他电力。</w:t>
      </w:r>
    </w:p>
    <w:p w14:paraId="170E537E">
      <w:pPr>
        <w:pStyle w:val="3"/>
      </w:pPr>
      <w:r>
        <w:rPr>
          <w:rFonts w:hint="eastAsia"/>
        </w:rPr>
        <w:t>4</w:t>
      </w:r>
      <w:r>
        <w:t xml:space="preserve">.2 </w:t>
      </w:r>
      <w:r>
        <w:rPr>
          <w:rFonts w:hint="eastAsia"/>
        </w:rPr>
        <w:t>预处理</w:t>
      </w:r>
    </w:p>
    <w:p w14:paraId="1BA5CA30">
      <w:pPr>
        <w:ind w:firstLine="480"/>
      </w:pPr>
      <w:r>
        <w:rPr>
          <w:rFonts w:hint="eastAsia"/>
        </w:rPr>
        <w:t>鉴于碳排放因子数据为正且具有稳定性，团队发现附表7中“其他转换”项目下存在3个异常数据，分别为2</w:t>
      </w:r>
      <w:r>
        <w:t>011</w:t>
      </w:r>
      <w:r>
        <w:rPr>
          <w:rFonts w:hint="eastAsia"/>
        </w:rPr>
        <w:t>、2</w:t>
      </w:r>
      <w:r>
        <w:t>012</w:t>
      </w:r>
      <w:r>
        <w:rPr>
          <w:rFonts w:hint="eastAsia"/>
        </w:rPr>
        <w:t>年煤炭消费的碳排放因子以及2</w:t>
      </w:r>
      <w:r>
        <w:t>020</w:t>
      </w:r>
      <w:r>
        <w:rPr>
          <w:rFonts w:hint="eastAsia"/>
        </w:rPr>
        <w:t>年天然气消费的碳排放因子。对于前两个异常值，基于其他年份数据的线性关系，团队利用EXCEL的序列填充功能对其进行修正；而对于最后一个异常值，由于多个年份未进行相关能源转换，插值法所能基于的数据较少，所得效果不佳，故团队取各年份天然气消费的碳排放因子的简单拟合值（R</w:t>
      </w:r>
      <w:r>
        <w:rPr>
          <w:rFonts w:hint="eastAsia"/>
          <w:vertAlign w:val="superscript"/>
        </w:rPr>
        <w:t>2</w:t>
      </w:r>
      <w:r>
        <w:rPr>
          <w:rFonts w:hint="eastAsia"/>
        </w:rPr>
        <w:t>=0.94）作为该异常值的修正值。经修正后，能源供应部门“其他转换”项目的碳排放因子如下表所示（黑体数字为修正值）</w:t>
      </w:r>
    </w:p>
    <w:p w14:paraId="424A5CDE">
      <w:pPr>
        <w:pStyle w:val="5"/>
        <w:keepNext/>
      </w:pPr>
      <w:r>
        <w:rPr>
          <w:rFonts w:hint="eastAsia"/>
          <w:b/>
          <w:bCs/>
        </w:rPr>
        <w:t>表</w:t>
      </w:r>
      <w:r>
        <w:rPr>
          <w:rFonts w:hint="eastAsia"/>
        </w:rPr>
        <w:t xml:space="preserve"> </w:t>
      </w:r>
      <w:r>
        <w:rPr>
          <w:b/>
          <w:bCs/>
        </w:rPr>
        <w:fldChar w:fldCharType="begin"/>
      </w:r>
      <w:r>
        <w:rPr>
          <w:b/>
          <w:bCs/>
        </w:rPr>
        <w:instrText xml:space="preserve"> </w:instrText>
      </w:r>
      <w:r>
        <w:rPr>
          <w:rFonts w:hint="eastAsia"/>
          <w:b/>
          <w:bCs/>
        </w:rPr>
        <w:instrText xml:space="preserve">SEQ 表 \* ARABIC</w:instrText>
      </w:r>
      <w:r>
        <w:rPr>
          <w:b/>
          <w:bCs/>
        </w:rPr>
        <w:instrText xml:space="preserve"> </w:instrText>
      </w:r>
      <w:r>
        <w:rPr>
          <w:b/>
          <w:bCs/>
        </w:rPr>
        <w:fldChar w:fldCharType="separate"/>
      </w:r>
      <w:r>
        <w:rPr>
          <w:b/>
          <w:bCs/>
        </w:rPr>
        <w:t>2</w:t>
      </w:r>
      <w:r>
        <w:rPr>
          <w:b/>
          <w:bCs/>
        </w:rPr>
        <w:fldChar w:fldCharType="end"/>
      </w:r>
      <w:r>
        <w:t xml:space="preserve"> </w:t>
      </w:r>
      <w:r>
        <w:rPr>
          <w:rFonts w:hint="eastAsia"/>
        </w:rPr>
        <w:t>能源供应部门“其他转换”项目的碳排放因子表（修正后）</w:t>
      </w:r>
    </w:p>
    <w:tbl>
      <w:tblPr>
        <w:tblStyle w:val="19"/>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81"/>
        <w:gridCol w:w="867"/>
        <w:gridCol w:w="693"/>
        <w:gridCol w:w="693"/>
        <w:gridCol w:w="693"/>
        <w:gridCol w:w="693"/>
        <w:gridCol w:w="695"/>
        <w:gridCol w:w="695"/>
        <w:gridCol w:w="695"/>
        <w:gridCol w:w="695"/>
        <w:gridCol w:w="695"/>
        <w:gridCol w:w="695"/>
        <w:gridCol w:w="682"/>
      </w:tblGrid>
      <w:tr w14:paraId="46C0C0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565" w:type="pct"/>
            <w:tcBorders>
              <w:bottom w:val="single" w:color="auto" w:sz="12" w:space="0"/>
            </w:tcBorders>
            <w:shd w:val="clear" w:color="auto" w:fill="auto"/>
            <w:noWrap/>
            <w:vAlign w:val="center"/>
          </w:tcPr>
          <w:p w14:paraId="39D98ACA">
            <w:pPr>
              <w:pStyle w:val="5"/>
            </w:pPr>
            <w:r>
              <w:rPr>
                <w:rFonts w:hint="eastAsia"/>
              </w:rPr>
              <w:t>项目</w:t>
            </w:r>
          </w:p>
        </w:tc>
        <w:tc>
          <w:tcPr>
            <w:tcW w:w="453" w:type="pct"/>
            <w:tcBorders>
              <w:bottom w:val="single" w:color="auto" w:sz="12" w:space="0"/>
            </w:tcBorders>
            <w:shd w:val="clear" w:color="auto" w:fill="FFFFFF"/>
            <w:noWrap/>
            <w:vAlign w:val="center"/>
          </w:tcPr>
          <w:p w14:paraId="69AE2E90">
            <w:pPr>
              <w:pStyle w:val="5"/>
            </w:pPr>
            <w:r>
              <w:rPr>
                <w:rFonts w:hint="eastAsia"/>
              </w:rPr>
              <w:t>子项</w:t>
            </w:r>
          </w:p>
        </w:tc>
        <w:tc>
          <w:tcPr>
            <w:tcW w:w="362" w:type="pct"/>
            <w:tcBorders>
              <w:bottom w:val="single" w:color="auto" w:sz="12" w:space="0"/>
            </w:tcBorders>
            <w:shd w:val="clear" w:color="auto" w:fill="auto"/>
            <w:noWrap/>
            <w:vAlign w:val="center"/>
          </w:tcPr>
          <w:p w14:paraId="5A3D3994">
            <w:pPr>
              <w:pStyle w:val="5"/>
            </w:pPr>
            <w:r>
              <w:rPr>
                <w:rFonts w:hint="eastAsia"/>
              </w:rPr>
              <w:t>2010</w:t>
            </w:r>
          </w:p>
        </w:tc>
        <w:tc>
          <w:tcPr>
            <w:tcW w:w="362" w:type="pct"/>
            <w:tcBorders>
              <w:bottom w:val="single" w:color="auto" w:sz="12" w:space="0"/>
            </w:tcBorders>
            <w:shd w:val="clear" w:color="auto" w:fill="auto"/>
            <w:noWrap/>
            <w:vAlign w:val="center"/>
          </w:tcPr>
          <w:p w14:paraId="79D6D8D9">
            <w:pPr>
              <w:pStyle w:val="5"/>
            </w:pPr>
            <w:r>
              <w:rPr>
                <w:rFonts w:hint="eastAsia"/>
              </w:rPr>
              <w:t>2011</w:t>
            </w:r>
          </w:p>
        </w:tc>
        <w:tc>
          <w:tcPr>
            <w:tcW w:w="362" w:type="pct"/>
            <w:tcBorders>
              <w:bottom w:val="single" w:color="auto" w:sz="12" w:space="0"/>
            </w:tcBorders>
            <w:shd w:val="clear" w:color="auto" w:fill="auto"/>
            <w:noWrap/>
            <w:vAlign w:val="center"/>
          </w:tcPr>
          <w:p w14:paraId="424A073A">
            <w:pPr>
              <w:pStyle w:val="5"/>
            </w:pPr>
            <w:r>
              <w:rPr>
                <w:rFonts w:hint="eastAsia"/>
              </w:rPr>
              <w:t>2012</w:t>
            </w:r>
          </w:p>
        </w:tc>
        <w:tc>
          <w:tcPr>
            <w:tcW w:w="362" w:type="pct"/>
            <w:tcBorders>
              <w:bottom w:val="single" w:color="auto" w:sz="12" w:space="0"/>
            </w:tcBorders>
            <w:shd w:val="clear" w:color="auto" w:fill="auto"/>
            <w:noWrap/>
            <w:vAlign w:val="center"/>
          </w:tcPr>
          <w:p w14:paraId="2D04026E">
            <w:pPr>
              <w:pStyle w:val="5"/>
            </w:pPr>
            <w:r>
              <w:rPr>
                <w:rFonts w:hint="eastAsia"/>
              </w:rPr>
              <w:t>2013</w:t>
            </w:r>
          </w:p>
        </w:tc>
        <w:tc>
          <w:tcPr>
            <w:tcW w:w="363" w:type="pct"/>
            <w:tcBorders>
              <w:bottom w:val="single" w:color="auto" w:sz="12" w:space="0"/>
            </w:tcBorders>
            <w:shd w:val="clear" w:color="auto" w:fill="auto"/>
            <w:noWrap/>
            <w:vAlign w:val="center"/>
          </w:tcPr>
          <w:p w14:paraId="0DDDFEF2">
            <w:pPr>
              <w:pStyle w:val="5"/>
            </w:pPr>
            <w:r>
              <w:rPr>
                <w:rFonts w:hint="eastAsia"/>
              </w:rPr>
              <w:t>2014</w:t>
            </w:r>
          </w:p>
        </w:tc>
        <w:tc>
          <w:tcPr>
            <w:tcW w:w="363" w:type="pct"/>
            <w:tcBorders>
              <w:bottom w:val="single" w:color="auto" w:sz="12" w:space="0"/>
            </w:tcBorders>
            <w:shd w:val="clear" w:color="auto" w:fill="auto"/>
            <w:noWrap/>
            <w:vAlign w:val="center"/>
          </w:tcPr>
          <w:p w14:paraId="188A3A3F">
            <w:pPr>
              <w:pStyle w:val="5"/>
            </w:pPr>
            <w:r>
              <w:rPr>
                <w:rFonts w:hint="eastAsia"/>
              </w:rPr>
              <w:t>2015</w:t>
            </w:r>
          </w:p>
        </w:tc>
        <w:tc>
          <w:tcPr>
            <w:tcW w:w="363" w:type="pct"/>
            <w:tcBorders>
              <w:bottom w:val="single" w:color="auto" w:sz="12" w:space="0"/>
            </w:tcBorders>
            <w:shd w:val="clear" w:color="auto" w:fill="auto"/>
            <w:noWrap/>
            <w:vAlign w:val="center"/>
          </w:tcPr>
          <w:p w14:paraId="09E93C6F">
            <w:pPr>
              <w:pStyle w:val="5"/>
            </w:pPr>
            <w:r>
              <w:rPr>
                <w:rFonts w:hint="eastAsia"/>
              </w:rPr>
              <w:t>2016</w:t>
            </w:r>
          </w:p>
        </w:tc>
        <w:tc>
          <w:tcPr>
            <w:tcW w:w="363" w:type="pct"/>
            <w:tcBorders>
              <w:bottom w:val="single" w:color="auto" w:sz="12" w:space="0"/>
            </w:tcBorders>
            <w:shd w:val="clear" w:color="auto" w:fill="auto"/>
            <w:noWrap/>
            <w:vAlign w:val="center"/>
          </w:tcPr>
          <w:p w14:paraId="53C034FB">
            <w:pPr>
              <w:pStyle w:val="5"/>
            </w:pPr>
            <w:r>
              <w:rPr>
                <w:rFonts w:hint="eastAsia"/>
              </w:rPr>
              <w:t>2017</w:t>
            </w:r>
          </w:p>
        </w:tc>
        <w:tc>
          <w:tcPr>
            <w:tcW w:w="363" w:type="pct"/>
            <w:tcBorders>
              <w:bottom w:val="single" w:color="auto" w:sz="12" w:space="0"/>
            </w:tcBorders>
            <w:shd w:val="clear" w:color="auto" w:fill="auto"/>
            <w:noWrap/>
            <w:vAlign w:val="center"/>
          </w:tcPr>
          <w:p w14:paraId="0FBD660A">
            <w:pPr>
              <w:pStyle w:val="5"/>
            </w:pPr>
            <w:r>
              <w:rPr>
                <w:rFonts w:hint="eastAsia"/>
              </w:rPr>
              <w:t>2018</w:t>
            </w:r>
          </w:p>
        </w:tc>
        <w:tc>
          <w:tcPr>
            <w:tcW w:w="363" w:type="pct"/>
            <w:tcBorders>
              <w:bottom w:val="single" w:color="auto" w:sz="12" w:space="0"/>
            </w:tcBorders>
            <w:shd w:val="clear" w:color="auto" w:fill="auto"/>
            <w:noWrap/>
            <w:vAlign w:val="center"/>
          </w:tcPr>
          <w:p w14:paraId="700053D7">
            <w:pPr>
              <w:pStyle w:val="5"/>
            </w:pPr>
            <w:r>
              <w:rPr>
                <w:rFonts w:hint="eastAsia"/>
              </w:rPr>
              <w:t>2019</w:t>
            </w:r>
          </w:p>
        </w:tc>
        <w:tc>
          <w:tcPr>
            <w:tcW w:w="357" w:type="pct"/>
            <w:tcBorders>
              <w:bottom w:val="single" w:color="auto" w:sz="12" w:space="0"/>
            </w:tcBorders>
            <w:shd w:val="clear" w:color="auto" w:fill="auto"/>
            <w:noWrap/>
            <w:vAlign w:val="center"/>
          </w:tcPr>
          <w:p w14:paraId="579D4083">
            <w:pPr>
              <w:pStyle w:val="5"/>
            </w:pPr>
            <w:r>
              <w:rPr>
                <w:rFonts w:hint="eastAsia"/>
              </w:rPr>
              <w:t>2020</w:t>
            </w:r>
          </w:p>
        </w:tc>
      </w:tr>
      <w:tr w14:paraId="602772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565" w:type="pct"/>
            <w:vMerge w:val="restart"/>
            <w:tcBorders>
              <w:top w:val="single" w:color="auto" w:sz="12" w:space="0"/>
              <w:tl2br w:val="nil"/>
              <w:tr2bl w:val="nil"/>
            </w:tcBorders>
            <w:shd w:val="clear" w:color="auto" w:fill="auto"/>
            <w:noWrap/>
            <w:vAlign w:val="center"/>
          </w:tcPr>
          <w:p w14:paraId="6BA6B3D6">
            <w:pPr>
              <w:pStyle w:val="5"/>
            </w:pPr>
            <w:r>
              <w:rPr>
                <w:rFonts w:hint="eastAsia"/>
              </w:rPr>
              <w:t>其他转换</w:t>
            </w:r>
          </w:p>
        </w:tc>
        <w:tc>
          <w:tcPr>
            <w:tcW w:w="453" w:type="pct"/>
            <w:tcBorders>
              <w:top w:val="single" w:color="auto" w:sz="12" w:space="0"/>
              <w:tl2br w:val="nil"/>
              <w:tr2bl w:val="nil"/>
            </w:tcBorders>
            <w:shd w:val="clear" w:color="auto" w:fill="auto"/>
            <w:noWrap/>
            <w:vAlign w:val="center"/>
          </w:tcPr>
          <w:p w14:paraId="754E0CCE">
            <w:pPr>
              <w:pStyle w:val="5"/>
            </w:pPr>
            <w:r>
              <w:rPr>
                <w:rFonts w:hint="eastAsia"/>
              </w:rPr>
              <w:t>煤炭</w:t>
            </w:r>
          </w:p>
        </w:tc>
        <w:tc>
          <w:tcPr>
            <w:tcW w:w="362" w:type="pct"/>
            <w:tcBorders>
              <w:top w:val="single" w:color="auto" w:sz="12" w:space="0"/>
              <w:tl2br w:val="nil"/>
              <w:tr2bl w:val="nil"/>
            </w:tcBorders>
            <w:shd w:val="clear" w:color="auto" w:fill="auto"/>
            <w:noWrap/>
            <w:vAlign w:val="center"/>
          </w:tcPr>
          <w:p w14:paraId="4E4E229C">
            <w:pPr>
              <w:pStyle w:val="5"/>
            </w:pPr>
            <w:r>
              <w:rPr>
                <w:rFonts w:hint="eastAsia"/>
              </w:rPr>
              <w:t xml:space="preserve">8.14 </w:t>
            </w:r>
          </w:p>
        </w:tc>
        <w:tc>
          <w:tcPr>
            <w:tcW w:w="362" w:type="pct"/>
            <w:tcBorders>
              <w:top w:val="single" w:color="auto" w:sz="12" w:space="0"/>
              <w:tl2br w:val="nil"/>
              <w:tr2bl w:val="nil"/>
            </w:tcBorders>
            <w:shd w:val="clear" w:color="auto" w:fill="auto"/>
            <w:noWrap/>
            <w:vAlign w:val="center"/>
          </w:tcPr>
          <w:p w14:paraId="2692AA8B">
            <w:pPr>
              <w:pStyle w:val="5"/>
              <w:rPr>
                <w:b/>
                <w:bCs/>
              </w:rPr>
            </w:pPr>
            <w:r>
              <w:rPr>
                <w:rFonts w:hint="eastAsia"/>
                <w:b/>
                <w:bCs/>
              </w:rPr>
              <w:t xml:space="preserve">8.43 </w:t>
            </w:r>
          </w:p>
        </w:tc>
        <w:tc>
          <w:tcPr>
            <w:tcW w:w="362" w:type="pct"/>
            <w:tcBorders>
              <w:top w:val="single" w:color="auto" w:sz="12" w:space="0"/>
              <w:tl2br w:val="nil"/>
              <w:tr2bl w:val="nil"/>
            </w:tcBorders>
            <w:shd w:val="clear" w:color="auto" w:fill="auto"/>
            <w:noWrap/>
            <w:vAlign w:val="center"/>
          </w:tcPr>
          <w:p w14:paraId="63A5513D">
            <w:pPr>
              <w:pStyle w:val="5"/>
              <w:rPr>
                <w:b/>
                <w:bCs/>
              </w:rPr>
            </w:pPr>
            <w:r>
              <w:rPr>
                <w:rFonts w:hint="eastAsia"/>
                <w:b/>
                <w:bCs/>
              </w:rPr>
              <w:t xml:space="preserve">8.30 </w:t>
            </w:r>
          </w:p>
        </w:tc>
        <w:tc>
          <w:tcPr>
            <w:tcW w:w="362" w:type="pct"/>
            <w:tcBorders>
              <w:top w:val="single" w:color="auto" w:sz="12" w:space="0"/>
              <w:tl2br w:val="nil"/>
              <w:tr2bl w:val="nil"/>
            </w:tcBorders>
            <w:shd w:val="clear" w:color="auto" w:fill="auto"/>
            <w:noWrap/>
            <w:vAlign w:val="center"/>
          </w:tcPr>
          <w:p w14:paraId="582A7A95">
            <w:pPr>
              <w:pStyle w:val="5"/>
            </w:pPr>
            <w:r>
              <w:rPr>
                <w:rFonts w:hint="eastAsia"/>
              </w:rPr>
              <w:t xml:space="preserve">8.86 </w:t>
            </w:r>
          </w:p>
        </w:tc>
        <w:tc>
          <w:tcPr>
            <w:tcW w:w="363" w:type="pct"/>
            <w:tcBorders>
              <w:top w:val="single" w:color="auto" w:sz="12" w:space="0"/>
              <w:tl2br w:val="nil"/>
              <w:tr2bl w:val="nil"/>
            </w:tcBorders>
            <w:shd w:val="clear" w:color="auto" w:fill="auto"/>
            <w:noWrap/>
            <w:vAlign w:val="center"/>
          </w:tcPr>
          <w:p w14:paraId="70AD95C5">
            <w:pPr>
              <w:pStyle w:val="5"/>
            </w:pPr>
            <w:r>
              <w:rPr>
                <w:rFonts w:hint="eastAsia"/>
              </w:rPr>
              <w:t xml:space="preserve">8.04 </w:t>
            </w:r>
          </w:p>
        </w:tc>
        <w:tc>
          <w:tcPr>
            <w:tcW w:w="363" w:type="pct"/>
            <w:tcBorders>
              <w:top w:val="single" w:color="auto" w:sz="12" w:space="0"/>
              <w:tl2br w:val="nil"/>
              <w:tr2bl w:val="nil"/>
            </w:tcBorders>
            <w:shd w:val="clear" w:color="auto" w:fill="auto"/>
            <w:noWrap/>
            <w:vAlign w:val="center"/>
          </w:tcPr>
          <w:p w14:paraId="4E579922">
            <w:pPr>
              <w:pStyle w:val="5"/>
            </w:pPr>
            <w:r>
              <w:rPr>
                <w:rFonts w:hint="eastAsia"/>
              </w:rPr>
              <w:t xml:space="preserve">7.89 </w:t>
            </w:r>
          </w:p>
        </w:tc>
        <w:tc>
          <w:tcPr>
            <w:tcW w:w="363" w:type="pct"/>
            <w:tcBorders>
              <w:top w:val="single" w:color="auto" w:sz="12" w:space="0"/>
              <w:tl2br w:val="nil"/>
              <w:tr2bl w:val="nil"/>
            </w:tcBorders>
            <w:shd w:val="clear" w:color="auto" w:fill="auto"/>
            <w:noWrap/>
            <w:vAlign w:val="center"/>
          </w:tcPr>
          <w:p w14:paraId="119A7CDB">
            <w:pPr>
              <w:pStyle w:val="5"/>
            </w:pPr>
            <w:r>
              <w:rPr>
                <w:rFonts w:hint="eastAsia"/>
              </w:rPr>
              <w:t xml:space="preserve">7.86 </w:t>
            </w:r>
          </w:p>
        </w:tc>
        <w:tc>
          <w:tcPr>
            <w:tcW w:w="363" w:type="pct"/>
            <w:tcBorders>
              <w:top w:val="single" w:color="auto" w:sz="12" w:space="0"/>
              <w:tl2br w:val="nil"/>
              <w:tr2bl w:val="nil"/>
            </w:tcBorders>
            <w:shd w:val="clear" w:color="auto" w:fill="auto"/>
            <w:noWrap/>
            <w:vAlign w:val="center"/>
          </w:tcPr>
          <w:p w14:paraId="6EB48651">
            <w:pPr>
              <w:pStyle w:val="5"/>
            </w:pPr>
            <w:r>
              <w:rPr>
                <w:rFonts w:hint="eastAsia"/>
              </w:rPr>
              <w:t xml:space="preserve">7.32 </w:t>
            </w:r>
          </w:p>
        </w:tc>
        <w:tc>
          <w:tcPr>
            <w:tcW w:w="363" w:type="pct"/>
            <w:tcBorders>
              <w:top w:val="single" w:color="auto" w:sz="12" w:space="0"/>
              <w:tl2br w:val="nil"/>
              <w:tr2bl w:val="nil"/>
            </w:tcBorders>
            <w:shd w:val="clear" w:color="auto" w:fill="auto"/>
            <w:noWrap/>
            <w:vAlign w:val="center"/>
          </w:tcPr>
          <w:p w14:paraId="1E91CA70">
            <w:pPr>
              <w:pStyle w:val="5"/>
            </w:pPr>
            <w:r>
              <w:rPr>
                <w:rFonts w:hint="eastAsia"/>
              </w:rPr>
              <w:t xml:space="preserve">7.33 </w:t>
            </w:r>
          </w:p>
        </w:tc>
        <w:tc>
          <w:tcPr>
            <w:tcW w:w="363" w:type="pct"/>
            <w:tcBorders>
              <w:top w:val="single" w:color="auto" w:sz="12" w:space="0"/>
              <w:tl2br w:val="nil"/>
              <w:tr2bl w:val="nil"/>
            </w:tcBorders>
            <w:shd w:val="clear" w:color="auto" w:fill="auto"/>
            <w:noWrap/>
            <w:vAlign w:val="center"/>
          </w:tcPr>
          <w:p w14:paraId="5A0FEBA6">
            <w:pPr>
              <w:pStyle w:val="5"/>
            </w:pPr>
            <w:r>
              <w:rPr>
                <w:rFonts w:hint="eastAsia"/>
              </w:rPr>
              <w:t xml:space="preserve">7.26 </w:t>
            </w:r>
          </w:p>
        </w:tc>
        <w:tc>
          <w:tcPr>
            <w:tcW w:w="357" w:type="pct"/>
            <w:tcBorders>
              <w:top w:val="single" w:color="auto" w:sz="12" w:space="0"/>
              <w:tl2br w:val="nil"/>
              <w:tr2bl w:val="nil"/>
            </w:tcBorders>
            <w:shd w:val="clear" w:color="auto" w:fill="auto"/>
            <w:noWrap/>
            <w:vAlign w:val="center"/>
          </w:tcPr>
          <w:p w14:paraId="2FD02BA7">
            <w:pPr>
              <w:pStyle w:val="5"/>
            </w:pPr>
            <w:r>
              <w:rPr>
                <w:rFonts w:hint="eastAsia"/>
              </w:rPr>
              <w:t xml:space="preserve">7.28 </w:t>
            </w:r>
          </w:p>
        </w:tc>
      </w:tr>
      <w:tr w14:paraId="69F163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565" w:type="pct"/>
            <w:vMerge w:val="continue"/>
            <w:tcBorders>
              <w:tl2br w:val="nil"/>
              <w:tr2bl w:val="nil"/>
            </w:tcBorders>
            <w:vAlign w:val="center"/>
          </w:tcPr>
          <w:p w14:paraId="6453C6EB">
            <w:pPr>
              <w:pStyle w:val="5"/>
            </w:pPr>
          </w:p>
        </w:tc>
        <w:tc>
          <w:tcPr>
            <w:tcW w:w="453" w:type="pct"/>
            <w:tcBorders>
              <w:tl2br w:val="nil"/>
              <w:tr2bl w:val="nil"/>
            </w:tcBorders>
            <w:shd w:val="clear" w:color="auto" w:fill="auto"/>
            <w:noWrap/>
            <w:vAlign w:val="center"/>
          </w:tcPr>
          <w:p w14:paraId="7D030367">
            <w:pPr>
              <w:pStyle w:val="5"/>
            </w:pPr>
            <w:r>
              <w:rPr>
                <w:rFonts w:hint="eastAsia"/>
              </w:rPr>
              <w:t>油品</w:t>
            </w:r>
          </w:p>
        </w:tc>
        <w:tc>
          <w:tcPr>
            <w:tcW w:w="362" w:type="pct"/>
            <w:tcBorders>
              <w:tl2br w:val="nil"/>
              <w:tr2bl w:val="nil"/>
            </w:tcBorders>
            <w:shd w:val="clear" w:color="auto" w:fill="auto"/>
            <w:noWrap/>
            <w:vAlign w:val="center"/>
          </w:tcPr>
          <w:p w14:paraId="77A6850B">
            <w:pPr>
              <w:pStyle w:val="5"/>
            </w:pPr>
            <w:r>
              <w:rPr>
                <w:rFonts w:hint="eastAsia"/>
              </w:rPr>
              <w:t xml:space="preserve">1.22 </w:t>
            </w:r>
          </w:p>
        </w:tc>
        <w:tc>
          <w:tcPr>
            <w:tcW w:w="362" w:type="pct"/>
            <w:tcBorders>
              <w:tl2br w:val="nil"/>
              <w:tr2bl w:val="nil"/>
            </w:tcBorders>
            <w:shd w:val="clear" w:color="auto" w:fill="auto"/>
            <w:noWrap/>
            <w:vAlign w:val="center"/>
          </w:tcPr>
          <w:p w14:paraId="4A4AF64D">
            <w:pPr>
              <w:pStyle w:val="5"/>
            </w:pPr>
            <w:r>
              <w:rPr>
                <w:rFonts w:hint="eastAsia"/>
              </w:rPr>
              <w:t xml:space="preserve">1.25 </w:t>
            </w:r>
          </w:p>
        </w:tc>
        <w:tc>
          <w:tcPr>
            <w:tcW w:w="362" w:type="pct"/>
            <w:tcBorders>
              <w:tl2br w:val="nil"/>
              <w:tr2bl w:val="nil"/>
            </w:tcBorders>
            <w:shd w:val="clear" w:color="auto" w:fill="auto"/>
            <w:noWrap/>
            <w:vAlign w:val="center"/>
          </w:tcPr>
          <w:p w14:paraId="38D7B2D4">
            <w:pPr>
              <w:pStyle w:val="5"/>
            </w:pPr>
            <w:r>
              <w:rPr>
                <w:rFonts w:hint="eastAsia"/>
              </w:rPr>
              <w:t xml:space="preserve">1.45 </w:t>
            </w:r>
          </w:p>
        </w:tc>
        <w:tc>
          <w:tcPr>
            <w:tcW w:w="362" w:type="pct"/>
            <w:tcBorders>
              <w:tl2br w:val="nil"/>
              <w:tr2bl w:val="nil"/>
            </w:tcBorders>
            <w:shd w:val="clear" w:color="auto" w:fill="auto"/>
            <w:noWrap/>
            <w:vAlign w:val="center"/>
          </w:tcPr>
          <w:p w14:paraId="45F43419">
            <w:pPr>
              <w:pStyle w:val="5"/>
            </w:pPr>
            <w:r>
              <w:rPr>
                <w:rFonts w:hint="eastAsia"/>
              </w:rPr>
              <w:t xml:space="preserve">1.52 </w:t>
            </w:r>
          </w:p>
        </w:tc>
        <w:tc>
          <w:tcPr>
            <w:tcW w:w="363" w:type="pct"/>
            <w:tcBorders>
              <w:tl2br w:val="nil"/>
              <w:tr2bl w:val="nil"/>
            </w:tcBorders>
            <w:shd w:val="clear" w:color="auto" w:fill="auto"/>
            <w:noWrap/>
            <w:vAlign w:val="center"/>
          </w:tcPr>
          <w:p w14:paraId="447F8F0E">
            <w:pPr>
              <w:pStyle w:val="5"/>
            </w:pPr>
            <w:r>
              <w:rPr>
                <w:rFonts w:hint="eastAsia"/>
              </w:rPr>
              <w:t xml:space="preserve">1.69 </w:t>
            </w:r>
          </w:p>
        </w:tc>
        <w:tc>
          <w:tcPr>
            <w:tcW w:w="363" w:type="pct"/>
            <w:tcBorders>
              <w:tl2br w:val="nil"/>
              <w:tr2bl w:val="nil"/>
            </w:tcBorders>
            <w:shd w:val="clear" w:color="auto" w:fill="auto"/>
            <w:noWrap/>
            <w:vAlign w:val="center"/>
          </w:tcPr>
          <w:p w14:paraId="6C9FDC1B">
            <w:pPr>
              <w:pStyle w:val="5"/>
            </w:pPr>
            <w:r>
              <w:rPr>
                <w:rFonts w:hint="eastAsia"/>
              </w:rPr>
              <w:t xml:space="preserve">1.72 </w:t>
            </w:r>
          </w:p>
        </w:tc>
        <w:tc>
          <w:tcPr>
            <w:tcW w:w="363" w:type="pct"/>
            <w:tcBorders>
              <w:tl2br w:val="nil"/>
              <w:tr2bl w:val="nil"/>
            </w:tcBorders>
            <w:shd w:val="clear" w:color="auto" w:fill="auto"/>
            <w:noWrap/>
            <w:vAlign w:val="center"/>
          </w:tcPr>
          <w:p w14:paraId="4BCBF7B6">
            <w:pPr>
              <w:pStyle w:val="5"/>
            </w:pPr>
            <w:r>
              <w:rPr>
                <w:rFonts w:hint="eastAsia"/>
              </w:rPr>
              <w:t xml:space="preserve">1.89 </w:t>
            </w:r>
          </w:p>
        </w:tc>
        <w:tc>
          <w:tcPr>
            <w:tcW w:w="363" w:type="pct"/>
            <w:tcBorders>
              <w:tl2br w:val="nil"/>
              <w:tr2bl w:val="nil"/>
            </w:tcBorders>
            <w:shd w:val="clear" w:color="auto" w:fill="auto"/>
            <w:noWrap/>
            <w:vAlign w:val="center"/>
          </w:tcPr>
          <w:p w14:paraId="6AEADD5A">
            <w:pPr>
              <w:pStyle w:val="5"/>
            </w:pPr>
            <w:r>
              <w:rPr>
                <w:rFonts w:hint="eastAsia"/>
              </w:rPr>
              <w:t xml:space="preserve">2.04 </w:t>
            </w:r>
          </w:p>
        </w:tc>
        <w:tc>
          <w:tcPr>
            <w:tcW w:w="363" w:type="pct"/>
            <w:tcBorders>
              <w:tl2br w:val="nil"/>
              <w:tr2bl w:val="nil"/>
            </w:tcBorders>
            <w:shd w:val="clear" w:color="auto" w:fill="auto"/>
            <w:noWrap/>
            <w:vAlign w:val="center"/>
          </w:tcPr>
          <w:p w14:paraId="4F3AB689">
            <w:pPr>
              <w:pStyle w:val="5"/>
            </w:pPr>
            <w:r>
              <w:rPr>
                <w:rFonts w:hint="eastAsia"/>
              </w:rPr>
              <w:t xml:space="preserve">2.48 </w:t>
            </w:r>
          </w:p>
        </w:tc>
        <w:tc>
          <w:tcPr>
            <w:tcW w:w="363" w:type="pct"/>
            <w:tcBorders>
              <w:tl2br w:val="nil"/>
              <w:tr2bl w:val="nil"/>
            </w:tcBorders>
            <w:shd w:val="clear" w:color="auto" w:fill="auto"/>
            <w:noWrap/>
            <w:vAlign w:val="center"/>
          </w:tcPr>
          <w:p w14:paraId="1A7994E4">
            <w:pPr>
              <w:pStyle w:val="5"/>
            </w:pPr>
            <w:r>
              <w:rPr>
                <w:rFonts w:hint="eastAsia"/>
              </w:rPr>
              <w:t xml:space="preserve">2.36 </w:t>
            </w:r>
          </w:p>
        </w:tc>
        <w:tc>
          <w:tcPr>
            <w:tcW w:w="357" w:type="pct"/>
            <w:tcBorders>
              <w:tl2br w:val="nil"/>
              <w:tr2bl w:val="nil"/>
            </w:tcBorders>
            <w:shd w:val="clear" w:color="auto" w:fill="auto"/>
            <w:noWrap/>
            <w:vAlign w:val="center"/>
          </w:tcPr>
          <w:p w14:paraId="4551B09D">
            <w:pPr>
              <w:pStyle w:val="5"/>
            </w:pPr>
            <w:r>
              <w:rPr>
                <w:rFonts w:hint="eastAsia"/>
              </w:rPr>
              <w:t xml:space="preserve">2.09 </w:t>
            </w:r>
          </w:p>
        </w:tc>
      </w:tr>
      <w:tr w14:paraId="7EC43C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565" w:type="pct"/>
            <w:vMerge w:val="continue"/>
            <w:tcBorders>
              <w:tl2br w:val="nil"/>
              <w:tr2bl w:val="nil"/>
            </w:tcBorders>
            <w:vAlign w:val="center"/>
          </w:tcPr>
          <w:p w14:paraId="6C7B933B">
            <w:pPr>
              <w:pStyle w:val="5"/>
            </w:pPr>
          </w:p>
        </w:tc>
        <w:tc>
          <w:tcPr>
            <w:tcW w:w="453" w:type="pct"/>
            <w:tcBorders>
              <w:tl2br w:val="nil"/>
              <w:tr2bl w:val="nil"/>
            </w:tcBorders>
            <w:shd w:val="clear" w:color="auto" w:fill="auto"/>
            <w:noWrap/>
            <w:vAlign w:val="center"/>
          </w:tcPr>
          <w:p w14:paraId="5BCC2DDA">
            <w:pPr>
              <w:pStyle w:val="5"/>
            </w:pPr>
            <w:r>
              <w:rPr>
                <w:rFonts w:hint="eastAsia"/>
              </w:rPr>
              <w:t>天然气</w:t>
            </w:r>
          </w:p>
        </w:tc>
        <w:tc>
          <w:tcPr>
            <w:tcW w:w="362" w:type="pct"/>
            <w:tcBorders>
              <w:tl2br w:val="nil"/>
              <w:tr2bl w:val="nil"/>
            </w:tcBorders>
            <w:shd w:val="clear" w:color="auto" w:fill="auto"/>
            <w:noWrap/>
            <w:vAlign w:val="center"/>
          </w:tcPr>
          <w:p w14:paraId="4307E1EE">
            <w:pPr>
              <w:pStyle w:val="5"/>
            </w:pPr>
            <w:r>
              <w:rPr>
                <w:rFonts w:hint="eastAsia"/>
              </w:rPr>
              <w:t>-</w:t>
            </w:r>
          </w:p>
        </w:tc>
        <w:tc>
          <w:tcPr>
            <w:tcW w:w="362" w:type="pct"/>
            <w:tcBorders>
              <w:tl2br w:val="nil"/>
              <w:tr2bl w:val="nil"/>
            </w:tcBorders>
            <w:shd w:val="clear" w:color="auto" w:fill="auto"/>
            <w:noWrap/>
            <w:vAlign w:val="center"/>
          </w:tcPr>
          <w:p w14:paraId="20734A38">
            <w:pPr>
              <w:pStyle w:val="5"/>
            </w:pPr>
            <w:r>
              <w:rPr>
                <w:rFonts w:hint="eastAsia"/>
              </w:rPr>
              <w:t>-</w:t>
            </w:r>
          </w:p>
        </w:tc>
        <w:tc>
          <w:tcPr>
            <w:tcW w:w="362" w:type="pct"/>
            <w:tcBorders>
              <w:tl2br w:val="nil"/>
              <w:tr2bl w:val="nil"/>
            </w:tcBorders>
            <w:shd w:val="clear" w:color="auto" w:fill="auto"/>
            <w:noWrap/>
            <w:vAlign w:val="center"/>
          </w:tcPr>
          <w:p w14:paraId="01F30942">
            <w:pPr>
              <w:pStyle w:val="5"/>
            </w:pPr>
            <w:r>
              <w:rPr>
                <w:rFonts w:hint="eastAsia"/>
              </w:rPr>
              <w:t>-</w:t>
            </w:r>
          </w:p>
        </w:tc>
        <w:tc>
          <w:tcPr>
            <w:tcW w:w="362" w:type="pct"/>
            <w:tcBorders>
              <w:tl2br w:val="nil"/>
              <w:tr2bl w:val="nil"/>
            </w:tcBorders>
            <w:shd w:val="clear" w:color="auto" w:fill="auto"/>
            <w:noWrap/>
            <w:vAlign w:val="center"/>
          </w:tcPr>
          <w:p w14:paraId="63B6E451">
            <w:pPr>
              <w:pStyle w:val="5"/>
            </w:pPr>
            <w:r>
              <w:rPr>
                <w:rFonts w:hint="eastAsia"/>
              </w:rPr>
              <w:t>-</w:t>
            </w:r>
          </w:p>
        </w:tc>
        <w:tc>
          <w:tcPr>
            <w:tcW w:w="363" w:type="pct"/>
            <w:tcBorders>
              <w:tl2br w:val="nil"/>
              <w:tr2bl w:val="nil"/>
            </w:tcBorders>
            <w:shd w:val="clear" w:color="auto" w:fill="auto"/>
            <w:noWrap/>
            <w:vAlign w:val="center"/>
          </w:tcPr>
          <w:p w14:paraId="7A61F23B">
            <w:pPr>
              <w:pStyle w:val="5"/>
            </w:pPr>
            <w:r>
              <w:rPr>
                <w:rFonts w:hint="eastAsia"/>
              </w:rPr>
              <w:t xml:space="preserve">0.48 </w:t>
            </w:r>
          </w:p>
        </w:tc>
        <w:tc>
          <w:tcPr>
            <w:tcW w:w="363" w:type="pct"/>
            <w:tcBorders>
              <w:tl2br w:val="nil"/>
              <w:tr2bl w:val="nil"/>
            </w:tcBorders>
            <w:shd w:val="clear" w:color="auto" w:fill="auto"/>
            <w:noWrap/>
            <w:vAlign w:val="center"/>
          </w:tcPr>
          <w:p w14:paraId="1A96CD7A">
            <w:pPr>
              <w:pStyle w:val="5"/>
            </w:pPr>
            <w:r>
              <w:rPr>
                <w:rFonts w:hint="eastAsia"/>
              </w:rPr>
              <w:t xml:space="preserve">0.83 </w:t>
            </w:r>
          </w:p>
        </w:tc>
        <w:tc>
          <w:tcPr>
            <w:tcW w:w="363" w:type="pct"/>
            <w:tcBorders>
              <w:tl2br w:val="nil"/>
              <w:tr2bl w:val="nil"/>
            </w:tcBorders>
            <w:shd w:val="clear" w:color="auto" w:fill="auto"/>
            <w:noWrap/>
            <w:vAlign w:val="center"/>
          </w:tcPr>
          <w:p w14:paraId="26558788">
            <w:pPr>
              <w:pStyle w:val="5"/>
            </w:pPr>
            <w:r>
              <w:rPr>
                <w:rFonts w:hint="eastAsia"/>
              </w:rPr>
              <w:t xml:space="preserve">1.16 </w:t>
            </w:r>
          </w:p>
        </w:tc>
        <w:tc>
          <w:tcPr>
            <w:tcW w:w="363" w:type="pct"/>
            <w:tcBorders>
              <w:tl2br w:val="nil"/>
              <w:tr2bl w:val="nil"/>
            </w:tcBorders>
            <w:shd w:val="clear" w:color="auto" w:fill="auto"/>
            <w:noWrap/>
            <w:vAlign w:val="center"/>
          </w:tcPr>
          <w:p w14:paraId="3A3D2773">
            <w:pPr>
              <w:pStyle w:val="5"/>
            </w:pPr>
            <w:r>
              <w:rPr>
                <w:rFonts w:hint="eastAsia"/>
              </w:rPr>
              <w:t>-</w:t>
            </w:r>
          </w:p>
        </w:tc>
        <w:tc>
          <w:tcPr>
            <w:tcW w:w="363" w:type="pct"/>
            <w:tcBorders>
              <w:tl2br w:val="nil"/>
              <w:tr2bl w:val="nil"/>
            </w:tcBorders>
            <w:shd w:val="clear" w:color="auto" w:fill="auto"/>
            <w:noWrap/>
            <w:vAlign w:val="center"/>
          </w:tcPr>
          <w:p w14:paraId="571F45B6">
            <w:pPr>
              <w:pStyle w:val="5"/>
            </w:pPr>
            <w:r>
              <w:rPr>
                <w:rFonts w:hint="eastAsia"/>
              </w:rPr>
              <w:t>-</w:t>
            </w:r>
          </w:p>
        </w:tc>
        <w:tc>
          <w:tcPr>
            <w:tcW w:w="363" w:type="pct"/>
            <w:tcBorders>
              <w:tl2br w:val="nil"/>
              <w:tr2bl w:val="nil"/>
            </w:tcBorders>
            <w:shd w:val="clear" w:color="auto" w:fill="auto"/>
            <w:noWrap/>
            <w:vAlign w:val="center"/>
          </w:tcPr>
          <w:p w14:paraId="65C23646">
            <w:pPr>
              <w:pStyle w:val="5"/>
            </w:pPr>
            <w:r>
              <w:rPr>
                <w:rFonts w:hint="eastAsia"/>
              </w:rPr>
              <w:t xml:space="preserve">0.88 </w:t>
            </w:r>
          </w:p>
        </w:tc>
        <w:tc>
          <w:tcPr>
            <w:tcW w:w="357" w:type="pct"/>
            <w:tcBorders>
              <w:tl2br w:val="nil"/>
              <w:tr2bl w:val="nil"/>
            </w:tcBorders>
            <w:shd w:val="clear" w:color="auto" w:fill="auto"/>
            <w:noWrap/>
            <w:vAlign w:val="center"/>
          </w:tcPr>
          <w:p w14:paraId="66A90F7E">
            <w:pPr>
              <w:pStyle w:val="5"/>
              <w:rPr>
                <w:b/>
                <w:bCs/>
              </w:rPr>
            </w:pPr>
            <w:r>
              <w:rPr>
                <w:rFonts w:hint="eastAsia"/>
                <w:b/>
                <w:bCs/>
              </w:rPr>
              <w:t xml:space="preserve">0.84 </w:t>
            </w:r>
          </w:p>
        </w:tc>
      </w:tr>
    </w:tbl>
    <w:p w14:paraId="4950D6C8">
      <w:pPr>
        <w:pStyle w:val="3"/>
      </w:pPr>
      <w:r>
        <w:rPr>
          <w:rFonts w:hint="eastAsia"/>
        </w:rPr>
        <w:t>4</w:t>
      </w:r>
      <w:r>
        <w:t xml:space="preserve">.3 </w:t>
      </w:r>
      <w:r>
        <w:rPr>
          <w:rFonts w:hint="eastAsia"/>
        </w:rPr>
        <w:t>能源供应部门碳排放统计</w:t>
      </w:r>
    </w:p>
    <w:p w14:paraId="3D4C94FE">
      <w:pPr>
        <w:ind w:firstLine="480"/>
      </w:pPr>
      <w:r>
        <w:t>由于</w:t>
      </w:r>
      <w:r>
        <w:rPr>
          <w:rFonts w:hint="eastAsia"/>
        </w:rPr>
        <w:t>能源供应部门在生产能源的同时也会导致大量碳排放，故在进行进一步研究前，需要先行统计能源供应部门的碳排放量。根据附表</w:t>
      </w:r>
      <w:r>
        <w:t>4</w:t>
      </w:r>
      <w:r>
        <w:rPr>
          <w:rFonts w:hint="eastAsia"/>
        </w:rPr>
        <w:t>提供的各能源品（煤炭、油品以及天然气）对应的不同用途（不包括其他消费）的消费量以及附表7提供的能源供应部门的碳排放因子，利用EXCEL汇总统计，易得能源供应部门的碳排放量，如下表所示：</w:t>
      </w:r>
    </w:p>
    <w:p w14:paraId="3DFCA20D">
      <w:pPr>
        <w:pStyle w:val="5"/>
        <w:keepNext/>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3</w:t>
      </w:r>
      <w:r>
        <w:fldChar w:fldCharType="end"/>
      </w:r>
      <w:r>
        <w:t xml:space="preserve"> </w:t>
      </w:r>
      <w:r>
        <w:rPr>
          <w:rFonts w:hint="eastAsia"/>
        </w:rPr>
        <w:t>能源供应部门碳排放量</w:t>
      </w:r>
    </w:p>
    <w:tbl>
      <w:tblPr>
        <w:tblStyle w:val="19"/>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4"/>
        <w:gridCol w:w="726"/>
        <w:gridCol w:w="823"/>
        <w:gridCol w:w="823"/>
        <w:gridCol w:w="823"/>
        <w:gridCol w:w="823"/>
        <w:gridCol w:w="823"/>
        <w:gridCol w:w="823"/>
        <w:gridCol w:w="821"/>
        <w:gridCol w:w="821"/>
        <w:gridCol w:w="823"/>
        <w:gridCol w:w="819"/>
      </w:tblGrid>
      <w:tr w14:paraId="04B059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26" w:type="pct"/>
            <w:tcBorders>
              <w:bottom w:val="single" w:color="auto" w:sz="6" w:space="0"/>
            </w:tcBorders>
            <w:shd w:val="clear" w:color="auto" w:fill="auto"/>
          </w:tcPr>
          <w:p w14:paraId="1FE19508">
            <w:pPr>
              <w:widowControl/>
              <w:ind w:firstLine="0" w:firstLineChars="0"/>
              <w:jc w:val="center"/>
              <w:rPr>
                <w:rFonts w:cs="宋体"/>
                <w:color w:val="000000"/>
                <w:kern w:val="0"/>
                <w:sz w:val="18"/>
                <w:szCs w:val="18"/>
              </w:rPr>
            </w:pPr>
            <w:r>
              <w:rPr>
                <w:rFonts w:cs="宋体"/>
                <w:color w:val="000000"/>
                <w:kern w:val="0"/>
                <w:sz w:val="18"/>
                <w:szCs w:val="18"/>
              </w:rPr>
              <w:t>年份</w:t>
            </w:r>
          </w:p>
        </w:tc>
        <w:tc>
          <w:tcPr>
            <w:tcW w:w="379" w:type="pct"/>
            <w:tcBorders>
              <w:bottom w:val="single" w:color="auto" w:sz="6" w:space="0"/>
            </w:tcBorders>
            <w:shd w:val="clear" w:color="auto" w:fill="auto"/>
            <w:noWrap/>
            <w:vAlign w:val="center"/>
          </w:tcPr>
          <w:p w14:paraId="2C1F1240">
            <w:pPr>
              <w:widowControl/>
              <w:ind w:firstLine="0" w:firstLineChars="0"/>
              <w:jc w:val="center"/>
              <w:rPr>
                <w:color w:val="000000"/>
                <w:kern w:val="0"/>
                <w:sz w:val="18"/>
                <w:szCs w:val="18"/>
              </w:rPr>
            </w:pPr>
            <w:r>
              <w:rPr>
                <w:color w:val="000000"/>
                <w:kern w:val="0"/>
                <w:sz w:val="18"/>
                <w:szCs w:val="18"/>
              </w:rPr>
              <w:t>2010</w:t>
            </w:r>
          </w:p>
        </w:tc>
        <w:tc>
          <w:tcPr>
            <w:tcW w:w="429" w:type="pct"/>
            <w:tcBorders>
              <w:bottom w:val="single" w:color="auto" w:sz="6" w:space="0"/>
            </w:tcBorders>
            <w:shd w:val="clear" w:color="auto" w:fill="auto"/>
            <w:noWrap/>
            <w:vAlign w:val="center"/>
          </w:tcPr>
          <w:p w14:paraId="3F0BD986">
            <w:pPr>
              <w:widowControl/>
              <w:ind w:firstLine="0" w:firstLineChars="0"/>
              <w:jc w:val="center"/>
              <w:rPr>
                <w:color w:val="000000"/>
                <w:kern w:val="0"/>
                <w:sz w:val="18"/>
                <w:szCs w:val="18"/>
              </w:rPr>
            </w:pPr>
            <w:r>
              <w:rPr>
                <w:color w:val="000000"/>
                <w:kern w:val="0"/>
                <w:sz w:val="18"/>
                <w:szCs w:val="18"/>
              </w:rPr>
              <w:t>2011</w:t>
            </w:r>
          </w:p>
        </w:tc>
        <w:tc>
          <w:tcPr>
            <w:tcW w:w="429" w:type="pct"/>
            <w:tcBorders>
              <w:bottom w:val="single" w:color="auto" w:sz="6" w:space="0"/>
            </w:tcBorders>
            <w:shd w:val="clear" w:color="auto" w:fill="auto"/>
            <w:noWrap/>
            <w:vAlign w:val="center"/>
          </w:tcPr>
          <w:p w14:paraId="44A4ACF7">
            <w:pPr>
              <w:widowControl/>
              <w:ind w:firstLine="0" w:firstLineChars="0"/>
              <w:jc w:val="center"/>
              <w:rPr>
                <w:color w:val="000000"/>
                <w:kern w:val="0"/>
                <w:sz w:val="18"/>
                <w:szCs w:val="18"/>
              </w:rPr>
            </w:pPr>
            <w:r>
              <w:rPr>
                <w:color w:val="000000"/>
                <w:kern w:val="0"/>
                <w:sz w:val="18"/>
                <w:szCs w:val="18"/>
              </w:rPr>
              <w:t>2012</w:t>
            </w:r>
          </w:p>
        </w:tc>
        <w:tc>
          <w:tcPr>
            <w:tcW w:w="429" w:type="pct"/>
            <w:tcBorders>
              <w:bottom w:val="single" w:color="auto" w:sz="6" w:space="0"/>
            </w:tcBorders>
            <w:shd w:val="clear" w:color="auto" w:fill="auto"/>
            <w:noWrap/>
            <w:vAlign w:val="center"/>
          </w:tcPr>
          <w:p w14:paraId="7C8C5DE9">
            <w:pPr>
              <w:widowControl/>
              <w:ind w:firstLine="0" w:firstLineChars="0"/>
              <w:jc w:val="center"/>
              <w:rPr>
                <w:color w:val="000000"/>
                <w:kern w:val="0"/>
                <w:sz w:val="18"/>
                <w:szCs w:val="18"/>
              </w:rPr>
            </w:pPr>
            <w:r>
              <w:rPr>
                <w:color w:val="000000"/>
                <w:kern w:val="0"/>
                <w:sz w:val="18"/>
                <w:szCs w:val="18"/>
              </w:rPr>
              <w:t>2013</w:t>
            </w:r>
          </w:p>
        </w:tc>
        <w:tc>
          <w:tcPr>
            <w:tcW w:w="429" w:type="pct"/>
            <w:tcBorders>
              <w:bottom w:val="single" w:color="auto" w:sz="6" w:space="0"/>
            </w:tcBorders>
            <w:shd w:val="clear" w:color="auto" w:fill="auto"/>
            <w:noWrap/>
            <w:vAlign w:val="center"/>
          </w:tcPr>
          <w:p w14:paraId="2FFBC036">
            <w:pPr>
              <w:widowControl/>
              <w:ind w:firstLine="0" w:firstLineChars="0"/>
              <w:jc w:val="center"/>
              <w:rPr>
                <w:color w:val="000000"/>
                <w:kern w:val="0"/>
                <w:sz w:val="18"/>
                <w:szCs w:val="18"/>
              </w:rPr>
            </w:pPr>
            <w:r>
              <w:rPr>
                <w:color w:val="000000"/>
                <w:kern w:val="0"/>
                <w:sz w:val="18"/>
                <w:szCs w:val="18"/>
              </w:rPr>
              <w:t>2014</w:t>
            </w:r>
          </w:p>
        </w:tc>
        <w:tc>
          <w:tcPr>
            <w:tcW w:w="429" w:type="pct"/>
            <w:tcBorders>
              <w:bottom w:val="single" w:color="auto" w:sz="6" w:space="0"/>
            </w:tcBorders>
            <w:shd w:val="clear" w:color="auto" w:fill="auto"/>
            <w:noWrap/>
            <w:vAlign w:val="center"/>
          </w:tcPr>
          <w:p w14:paraId="6809A82A">
            <w:pPr>
              <w:widowControl/>
              <w:ind w:firstLine="0" w:firstLineChars="0"/>
              <w:jc w:val="center"/>
              <w:rPr>
                <w:color w:val="000000"/>
                <w:kern w:val="0"/>
                <w:sz w:val="18"/>
                <w:szCs w:val="18"/>
              </w:rPr>
            </w:pPr>
            <w:r>
              <w:rPr>
                <w:color w:val="000000"/>
                <w:kern w:val="0"/>
                <w:sz w:val="18"/>
                <w:szCs w:val="18"/>
              </w:rPr>
              <w:t>2015</w:t>
            </w:r>
          </w:p>
        </w:tc>
        <w:tc>
          <w:tcPr>
            <w:tcW w:w="429" w:type="pct"/>
            <w:tcBorders>
              <w:bottom w:val="single" w:color="auto" w:sz="6" w:space="0"/>
            </w:tcBorders>
            <w:shd w:val="clear" w:color="auto" w:fill="auto"/>
            <w:noWrap/>
            <w:vAlign w:val="center"/>
          </w:tcPr>
          <w:p w14:paraId="55853736">
            <w:pPr>
              <w:widowControl/>
              <w:ind w:firstLine="0" w:firstLineChars="0"/>
              <w:jc w:val="center"/>
              <w:rPr>
                <w:color w:val="000000"/>
                <w:kern w:val="0"/>
                <w:sz w:val="18"/>
                <w:szCs w:val="18"/>
              </w:rPr>
            </w:pPr>
            <w:r>
              <w:rPr>
                <w:color w:val="000000"/>
                <w:kern w:val="0"/>
                <w:sz w:val="18"/>
                <w:szCs w:val="18"/>
              </w:rPr>
              <w:t>2016</w:t>
            </w:r>
          </w:p>
        </w:tc>
        <w:tc>
          <w:tcPr>
            <w:tcW w:w="428" w:type="pct"/>
            <w:tcBorders>
              <w:bottom w:val="single" w:color="auto" w:sz="6" w:space="0"/>
            </w:tcBorders>
            <w:shd w:val="clear" w:color="auto" w:fill="auto"/>
            <w:noWrap/>
            <w:vAlign w:val="center"/>
          </w:tcPr>
          <w:p w14:paraId="72A3F84B">
            <w:pPr>
              <w:widowControl/>
              <w:ind w:firstLine="0" w:firstLineChars="0"/>
              <w:jc w:val="center"/>
              <w:rPr>
                <w:color w:val="000000"/>
                <w:kern w:val="0"/>
                <w:sz w:val="18"/>
                <w:szCs w:val="18"/>
              </w:rPr>
            </w:pPr>
            <w:r>
              <w:rPr>
                <w:color w:val="000000"/>
                <w:kern w:val="0"/>
                <w:sz w:val="18"/>
                <w:szCs w:val="18"/>
              </w:rPr>
              <w:t>2017</w:t>
            </w:r>
          </w:p>
        </w:tc>
        <w:tc>
          <w:tcPr>
            <w:tcW w:w="428" w:type="pct"/>
            <w:tcBorders>
              <w:bottom w:val="single" w:color="auto" w:sz="6" w:space="0"/>
            </w:tcBorders>
            <w:shd w:val="clear" w:color="auto" w:fill="auto"/>
            <w:noWrap/>
            <w:vAlign w:val="center"/>
          </w:tcPr>
          <w:p w14:paraId="177941BF">
            <w:pPr>
              <w:widowControl/>
              <w:ind w:firstLine="0" w:firstLineChars="0"/>
              <w:jc w:val="center"/>
              <w:rPr>
                <w:color w:val="000000"/>
                <w:kern w:val="0"/>
                <w:sz w:val="18"/>
                <w:szCs w:val="18"/>
              </w:rPr>
            </w:pPr>
            <w:r>
              <w:rPr>
                <w:color w:val="000000"/>
                <w:kern w:val="0"/>
                <w:sz w:val="18"/>
                <w:szCs w:val="18"/>
              </w:rPr>
              <w:t>2018</w:t>
            </w:r>
          </w:p>
        </w:tc>
        <w:tc>
          <w:tcPr>
            <w:tcW w:w="429" w:type="pct"/>
            <w:tcBorders>
              <w:bottom w:val="single" w:color="auto" w:sz="6" w:space="0"/>
            </w:tcBorders>
            <w:shd w:val="clear" w:color="auto" w:fill="auto"/>
            <w:noWrap/>
            <w:vAlign w:val="bottom"/>
          </w:tcPr>
          <w:p w14:paraId="21DBF077">
            <w:pPr>
              <w:widowControl/>
              <w:ind w:firstLine="0" w:firstLineChars="0"/>
              <w:rPr>
                <w:color w:val="000000"/>
                <w:kern w:val="0"/>
                <w:sz w:val="18"/>
                <w:szCs w:val="18"/>
              </w:rPr>
            </w:pPr>
            <w:r>
              <w:rPr>
                <w:color w:val="000000"/>
                <w:kern w:val="0"/>
                <w:sz w:val="18"/>
                <w:szCs w:val="18"/>
              </w:rPr>
              <w:t>2019</w:t>
            </w:r>
          </w:p>
        </w:tc>
        <w:tc>
          <w:tcPr>
            <w:tcW w:w="427" w:type="pct"/>
            <w:tcBorders>
              <w:bottom w:val="single" w:color="auto" w:sz="6" w:space="0"/>
            </w:tcBorders>
            <w:shd w:val="clear" w:color="auto" w:fill="auto"/>
            <w:noWrap/>
            <w:vAlign w:val="bottom"/>
          </w:tcPr>
          <w:p w14:paraId="0DA4C1ED">
            <w:pPr>
              <w:widowControl/>
              <w:ind w:firstLine="0" w:firstLineChars="0"/>
              <w:jc w:val="center"/>
              <w:rPr>
                <w:color w:val="000000"/>
                <w:kern w:val="0"/>
                <w:sz w:val="18"/>
                <w:szCs w:val="18"/>
              </w:rPr>
            </w:pPr>
            <w:r>
              <w:rPr>
                <w:color w:val="000000"/>
                <w:kern w:val="0"/>
                <w:sz w:val="18"/>
                <w:szCs w:val="18"/>
              </w:rPr>
              <w:t>2020</w:t>
            </w:r>
          </w:p>
        </w:tc>
      </w:tr>
      <w:tr w14:paraId="2AB35E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26" w:type="pct"/>
            <w:tcBorders>
              <w:top w:val="single" w:color="auto" w:sz="6" w:space="0"/>
              <w:tl2br w:val="nil"/>
              <w:tr2bl w:val="nil"/>
            </w:tcBorders>
            <w:shd w:val="clear" w:color="auto" w:fill="auto"/>
          </w:tcPr>
          <w:p w14:paraId="7C671489">
            <w:pPr>
              <w:widowControl/>
              <w:ind w:firstLine="0" w:firstLineChars="0"/>
              <w:jc w:val="center"/>
              <w:rPr>
                <w:rFonts w:cs="宋体"/>
                <w:color w:val="000000"/>
                <w:kern w:val="0"/>
                <w:sz w:val="18"/>
                <w:szCs w:val="18"/>
              </w:rPr>
            </w:pPr>
            <w:r>
              <w:rPr>
                <w:rFonts w:cs="宋体"/>
                <w:color w:val="000000"/>
                <w:kern w:val="0"/>
                <w:sz w:val="18"/>
                <w:szCs w:val="18"/>
              </w:rPr>
              <w:t>合计</w:t>
            </w:r>
          </w:p>
        </w:tc>
        <w:tc>
          <w:tcPr>
            <w:tcW w:w="379" w:type="pct"/>
            <w:tcBorders>
              <w:top w:val="single" w:color="auto" w:sz="6" w:space="0"/>
              <w:tl2br w:val="nil"/>
              <w:tr2bl w:val="nil"/>
            </w:tcBorders>
            <w:shd w:val="clear" w:color="auto" w:fill="auto"/>
            <w:noWrap/>
            <w:vAlign w:val="bottom"/>
          </w:tcPr>
          <w:p w14:paraId="198BC814">
            <w:pPr>
              <w:widowControl/>
              <w:ind w:firstLine="0" w:firstLineChars="0"/>
              <w:jc w:val="center"/>
              <w:rPr>
                <w:color w:val="000000"/>
                <w:kern w:val="0"/>
                <w:sz w:val="18"/>
                <w:szCs w:val="18"/>
              </w:rPr>
            </w:pPr>
            <w:r>
              <w:rPr>
                <w:color w:val="000000"/>
                <w:kern w:val="0"/>
                <w:sz w:val="18"/>
                <w:szCs w:val="18"/>
              </w:rPr>
              <w:t>92159</w:t>
            </w:r>
          </w:p>
        </w:tc>
        <w:tc>
          <w:tcPr>
            <w:tcW w:w="429" w:type="pct"/>
            <w:tcBorders>
              <w:top w:val="single" w:color="auto" w:sz="6" w:space="0"/>
              <w:tl2br w:val="nil"/>
              <w:tr2bl w:val="nil"/>
            </w:tcBorders>
            <w:shd w:val="clear" w:color="auto" w:fill="auto"/>
            <w:noWrap/>
            <w:vAlign w:val="bottom"/>
          </w:tcPr>
          <w:p w14:paraId="228767EE">
            <w:pPr>
              <w:widowControl/>
              <w:ind w:firstLine="0" w:firstLineChars="0"/>
              <w:jc w:val="center"/>
              <w:rPr>
                <w:color w:val="000000"/>
                <w:kern w:val="0"/>
                <w:sz w:val="18"/>
                <w:szCs w:val="18"/>
              </w:rPr>
            </w:pPr>
            <w:r>
              <w:rPr>
                <w:color w:val="000000"/>
                <w:kern w:val="0"/>
                <w:sz w:val="18"/>
                <w:szCs w:val="18"/>
              </w:rPr>
              <w:t>102050</w:t>
            </w:r>
          </w:p>
        </w:tc>
        <w:tc>
          <w:tcPr>
            <w:tcW w:w="429" w:type="pct"/>
            <w:tcBorders>
              <w:top w:val="single" w:color="auto" w:sz="6" w:space="0"/>
              <w:tl2br w:val="nil"/>
              <w:tr2bl w:val="nil"/>
            </w:tcBorders>
            <w:shd w:val="clear" w:color="auto" w:fill="auto"/>
            <w:noWrap/>
            <w:vAlign w:val="bottom"/>
          </w:tcPr>
          <w:p w14:paraId="3FAAE5EF">
            <w:pPr>
              <w:widowControl/>
              <w:ind w:firstLine="0" w:firstLineChars="0"/>
              <w:jc w:val="center"/>
              <w:rPr>
                <w:color w:val="000000"/>
                <w:kern w:val="0"/>
                <w:sz w:val="18"/>
                <w:szCs w:val="18"/>
              </w:rPr>
            </w:pPr>
            <w:r>
              <w:rPr>
                <w:color w:val="000000"/>
                <w:kern w:val="0"/>
                <w:sz w:val="18"/>
                <w:szCs w:val="18"/>
              </w:rPr>
              <w:t>100205</w:t>
            </w:r>
          </w:p>
        </w:tc>
        <w:tc>
          <w:tcPr>
            <w:tcW w:w="429" w:type="pct"/>
            <w:tcBorders>
              <w:top w:val="single" w:color="auto" w:sz="6" w:space="0"/>
              <w:tl2br w:val="nil"/>
              <w:tr2bl w:val="nil"/>
            </w:tcBorders>
            <w:shd w:val="clear" w:color="auto" w:fill="auto"/>
            <w:noWrap/>
            <w:vAlign w:val="bottom"/>
          </w:tcPr>
          <w:p w14:paraId="1A43DED0">
            <w:pPr>
              <w:widowControl/>
              <w:ind w:firstLine="0" w:firstLineChars="0"/>
              <w:jc w:val="center"/>
              <w:rPr>
                <w:color w:val="000000"/>
                <w:kern w:val="0"/>
                <w:sz w:val="18"/>
                <w:szCs w:val="18"/>
              </w:rPr>
            </w:pPr>
            <w:r>
              <w:rPr>
                <w:color w:val="000000"/>
                <w:kern w:val="0"/>
                <w:sz w:val="18"/>
                <w:szCs w:val="18"/>
              </w:rPr>
              <w:t>111210</w:t>
            </w:r>
          </w:p>
        </w:tc>
        <w:tc>
          <w:tcPr>
            <w:tcW w:w="429" w:type="pct"/>
            <w:tcBorders>
              <w:top w:val="single" w:color="auto" w:sz="6" w:space="0"/>
              <w:tl2br w:val="nil"/>
              <w:tr2bl w:val="nil"/>
            </w:tcBorders>
            <w:shd w:val="clear" w:color="auto" w:fill="auto"/>
            <w:noWrap/>
            <w:vAlign w:val="bottom"/>
          </w:tcPr>
          <w:p w14:paraId="38C79500">
            <w:pPr>
              <w:widowControl/>
              <w:ind w:firstLine="0" w:firstLineChars="0"/>
              <w:jc w:val="center"/>
              <w:rPr>
                <w:color w:val="000000"/>
                <w:kern w:val="0"/>
                <w:sz w:val="18"/>
                <w:szCs w:val="18"/>
              </w:rPr>
            </w:pPr>
            <w:r>
              <w:rPr>
                <w:color w:val="000000"/>
                <w:kern w:val="0"/>
                <w:sz w:val="18"/>
                <w:szCs w:val="18"/>
              </w:rPr>
              <w:t>104759</w:t>
            </w:r>
          </w:p>
        </w:tc>
        <w:tc>
          <w:tcPr>
            <w:tcW w:w="429" w:type="pct"/>
            <w:tcBorders>
              <w:top w:val="single" w:color="auto" w:sz="6" w:space="0"/>
              <w:tl2br w:val="nil"/>
              <w:tr2bl w:val="nil"/>
            </w:tcBorders>
            <w:shd w:val="clear" w:color="auto" w:fill="auto"/>
            <w:noWrap/>
            <w:vAlign w:val="bottom"/>
          </w:tcPr>
          <w:p w14:paraId="5BABE6C2">
            <w:pPr>
              <w:widowControl/>
              <w:ind w:firstLine="0" w:firstLineChars="0"/>
              <w:jc w:val="center"/>
              <w:rPr>
                <w:color w:val="000000"/>
                <w:kern w:val="0"/>
                <w:sz w:val="18"/>
                <w:szCs w:val="18"/>
              </w:rPr>
            </w:pPr>
            <w:r>
              <w:rPr>
                <w:color w:val="000000"/>
                <w:kern w:val="0"/>
                <w:sz w:val="18"/>
                <w:szCs w:val="18"/>
              </w:rPr>
              <w:t>106361</w:t>
            </w:r>
          </w:p>
        </w:tc>
        <w:tc>
          <w:tcPr>
            <w:tcW w:w="429" w:type="pct"/>
            <w:tcBorders>
              <w:top w:val="single" w:color="auto" w:sz="6" w:space="0"/>
              <w:tl2br w:val="nil"/>
              <w:tr2bl w:val="nil"/>
            </w:tcBorders>
            <w:shd w:val="clear" w:color="auto" w:fill="auto"/>
            <w:noWrap/>
            <w:vAlign w:val="bottom"/>
          </w:tcPr>
          <w:p w14:paraId="6CC07E6F">
            <w:pPr>
              <w:widowControl/>
              <w:ind w:firstLine="0" w:firstLineChars="0"/>
              <w:jc w:val="center"/>
              <w:rPr>
                <w:color w:val="000000"/>
                <w:kern w:val="0"/>
                <w:sz w:val="18"/>
                <w:szCs w:val="18"/>
              </w:rPr>
            </w:pPr>
            <w:r>
              <w:rPr>
                <w:color w:val="000000"/>
                <w:kern w:val="0"/>
                <w:sz w:val="18"/>
                <w:szCs w:val="18"/>
              </w:rPr>
              <w:t>108124</w:t>
            </w:r>
          </w:p>
        </w:tc>
        <w:tc>
          <w:tcPr>
            <w:tcW w:w="428" w:type="pct"/>
            <w:tcBorders>
              <w:top w:val="single" w:color="auto" w:sz="6" w:space="0"/>
              <w:tl2br w:val="nil"/>
              <w:tr2bl w:val="nil"/>
            </w:tcBorders>
            <w:shd w:val="clear" w:color="auto" w:fill="auto"/>
            <w:noWrap/>
            <w:vAlign w:val="bottom"/>
          </w:tcPr>
          <w:p w14:paraId="2FBF5FFC">
            <w:pPr>
              <w:widowControl/>
              <w:ind w:firstLine="0" w:firstLineChars="0"/>
              <w:jc w:val="center"/>
              <w:rPr>
                <w:color w:val="000000"/>
                <w:kern w:val="0"/>
                <w:sz w:val="18"/>
                <w:szCs w:val="18"/>
              </w:rPr>
            </w:pPr>
            <w:r>
              <w:rPr>
                <w:color w:val="000000"/>
                <w:kern w:val="0"/>
                <w:sz w:val="18"/>
                <w:szCs w:val="18"/>
              </w:rPr>
              <w:t>104121</w:t>
            </w:r>
          </w:p>
        </w:tc>
        <w:tc>
          <w:tcPr>
            <w:tcW w:w="428" w:type="pct"/>
            <w:tcBorders>
              <w:top w:val="single" w:color="auto" w:sz="6" w:space="0"/>
              <w:tl2br w:val="nil"/>
              <w:tr2bl w:val="nil"/>
            </w:tcBorders>
            <w:shd w:val="clear" w:color="auto" w:fill="auto"/>
            <w:noWrap/>
            <w:vAlign w:val="bottom"/>
          </w:tcPr>
          <w:p w14:paraId="5BD22388">
            <w:pPr>
              <w:widowControl/>
              <w:ind w:firstLine="0" w:firstLineChars="0"/>
              <w:jc w:val="center"/>
              <w:rPr>
                <w:color w:val="000000"/>
                <w:kern w:val="0"/>
                <w:sz w:val="18"/>
                <w:szCs w:val="18"/>
              </w:rPr>
            </w:pPr>
            <w:r>
              <w:rPr>
                <w:color w:val="000000"/>
                <w:kern w:val="0"/>
                <w:sz w:val="18"/>
                <w:szCs w:val="18"/>
              </w:rPr>
              <w:t>103515</w:t>
            </w:r>
          </w:p>
        </w:tc>
        <w:tc>
          <w:tcPr>
            <w:tcW w:w="429" w:type="pct"/>
            <w:tcBorders>
              <w:top w:val="single" w:color="auto" w:sz="6" w:space="0"/>
              <w:tl2br w:val="nil"/>
              <w:tr2bl w:val="nil"/>
            </w:tcBorders>
            <w:shd w:val="clear" w:color="auto" w:fill="auto"/>
            <w:noWrap/>
            <w:vAlign w:val="bottom"/>
          </w:tcPr>
          <w:p w14:paraId="27AA0235">
            <w:pPr>
              <w:widowControl/>
              <w:ind w:firstLine="0" w:firstLineChars="0"/>
              <w:jc w:val="center"/>
              <w:rPr>
                <w:color w:val="000000"/>
                <w:kern w:val="0"/>
                <w:sz w:val="18"/>
                <w:szCs w:val="18"/>
              </w:rPr>
            </w:pPr>
            <w:r>
              <w:rPr>
                <w:color w:val="000000"/>
                <w:kern w:val="0"/>
                <w:sz w:val="18"/>
                <w:szCs w:val="18"/>
              </w:rPr>
              <w:t>109919</w:t>
            </w:r>
          </w:p>
        </w:tc>
        <w:tc>
          <w:tcPr>
            <w:tcW w:w="427" w:type="pct"/>
            <w:tcBorders>
              <w:top w:val="single" w:color="auto" w:sz="6" w:space="0"/>
              <w:tl2br w:val="nil"/>
              <w:tr2bl w:val="nil"/>
            </w:tcBorders>
            <w:shd w:val="clear" w:color="auto" w:fill="auto"/>
            <w:noWrap/>
            <w:vAlign w:val="bottom"/>
          </w:tcPr>
          <w:p w14:paraId="40237103">
            <w:pPr>
              <w:widowControl/>
              <w:ind w:firstLine="0" w:firstLineChars="0"/>
              <w:jc w:val="center"/>
              <w:rPr>
                <w:color w:val="000000"/>
                <w:kern w:val="0"/>
                <w:sz w:val="18"/>
                <w:szCs w:val="18"/>
              </w:rPr>
            </w:pPr>
            <w:r>
              <w:rPr>
                <w:color w:val="000000"/>
                <w:kern w:val="0"/>
                <w:sz w:val="18"/>
                <w:szCs w:val="18"/>
              </w:rPr>
              <w:t>104588</w:t>
            </w:r>
          </w:p>
        </w:tc>
      </w:tr>
    </w:tbl>
    <w:p w14:paraId="3E2BEA05">
      <w:pPr>
        <w:ind w:firstLine="480"/>
      </w:pPr>
    </w:p>
    <w:p w14:paraId="35BD9EBA">
      <w:pPr>
        <w:pStyle w:val="2"/>
      </w:pPr>
      <w:r>
        <w:rPr>
          <w:rFonts w:hint="eastAsia"/>
          <w:b/>
          <w:bCs w:val="0"/>
        </w:rPr>
        <w:t>5</w:t>
      </w:r>
      <w:r>
        <w:t xml:space="preserve"> </w:t>
      </w:r>
      <w:r>
        <w:rPr>
          <w:rFonts w:hint="eastAsia"/>
        </w:rPr>
        <w:t>模型的建立与求解</w:t>
      </w:r>
    </w:p>
    <w:p w14:paraId="467F2867">
      <w:pPr>
        <w:pStyle w:val="3"/>
      </w:pPr>
      <w:r>
        <w:rPr>
          <w:rFonts w:hint="eastAsia"/>
        </w:rPr>
        <w:t>5</w:t>
      </w:r>
      <w:r>
        <w:t xml:space="preserve">.1 </w:t>
      </w:r>
      <w:r>
        <w:rPr>
          <w:rFonts w:hint="eastAsia"/>
        </w:rPr>
        <w:t>问题一的求解</w:t>
      </w:r>
    </w:p>
    <w:p w14:paraId="173DC14D">
      <w:pPr>
        <w:ind w:firstLine="0" w:firstLineChars="0"/>
        <w:rPr>
          <w:b/>
          <w:bCs/>
        </w:rPr>
      </w:pPr>
      <w:r>
        <w:rPr>
          <w:rFonts w:hint="eastAsia"/>
          <w:b/>
          <w:bCs/>
        </w:rPr>
        <w:t>5</w:t>
      </w:r>
      <w:r>
        <w:rPr>
          <w:b/>
          <w:bCs/>
        </w:rPr>
        <w:t>.1.1</w:t>
      </w:r>
      <w:r>
        <w:rPr>
          <w:rFonts w:hint="eastAsia"/>
          <w:b/>
          <w:bCs/>
        </w:rPr>
        <w:t>搭建多元回归指标库</w:t>
      </w:r>
    </w:p>
    <w:p w14:paraId="372D5E32">
      <w:pPr>
        <w:ind w:firstLine="480"/>
      </w:pPr>
      <w:r>
        <w:rPr>
          <w:rFonts w:hint="eastAsia"/>
        </w:rPr>
        <w:t>人口、经济增长与能源消费量以及能源消费量与碳排放量之间存在关联关系，故不难预见，在对碳排放量进行刻画时，需要考虑人口、经济以及能源消费量三个方面。此外，</w:t>
      </w:r>
    </w:p>
    <w:p w14:paraId="628378FB">
      <w:pPr>
        <w:ind w:firstLine="0" w:firstLineChars="0"/>
      </w:pPr>
      <w:r>
        <w:rPr>
          <w:rFonts w:hint="eastAsia"/>
        </w:rPr>
        <w:t>为寻求经济增长与碳排放量的负相关变化，还要考虑能源利用效率和非化石能源消费比重两个方面，其中能源利用效率可以用单位GDP能耗衡量。参照近年来部分学者关于碳排放的文献和</w:t>
      </w:r>
      <w:r>
        <w:t>KAYA</w:t>
      </w:r>
      <w:r>
        <w:rPr>
          <w:rFonts w:hint="eastAsia"/>
        </w:rPr>
        <w:t>模型的指标体系以及区域双碳目标实践的综合性的基础上，团队建立以下指标库。其中一级指标四个分别围绕双碳目标的重点影响因素展开，包括人口、区域经济和能源消费量</w:t>
      </w:r>
      <w:r>
        <w:t>；二</w:t>
      </w:r>
      <w:r>
        <w:rPr>
          <w:rFonts w:hint="eastAsia"/>
        </w:rPr>
        <w:t>级指标围绕着一级指标从不同层级和角度设计，如关于部门、产业、能源种类的不同消费量指标系列，可以很好的帮助决策者从不同角度做好路径规划。由于存在六个部门，因此在统计数据时将二级指标进一步细分至三级指标，指代各部门的相关指标。指标库如下表所示（三级指标从略）：</w:t>
      </w:r>
    </w:p>
    <w:p w14:paraId="68C526B3">
      <w:pPr>
        <w:pStyle w:val="5"/>
        <w:keepNext/>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4</w:t>
      </w:r>
      <w:r>
        <w:fldChar w:fldCharType="end"/>
      </w:r>
      <w:r>
        <w:t xml:space="preserve"> </w:t>
      </w:r>
      <w:r>
        <w:rPr>
          <w:rFonts w:hint="eastAsia"/>
        </w:rPr>
        <w:t>多元回归指标库</w:t>
      </w:r>
    </w:p>
    <w:tbl>
      <w:tblPr>
        <w:tblStyle w:val="19"/>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16"/>
        <w:gridCol w:w="3827"/>
        <w:gridCol w:w="3829"/>
      </w:tblGrid>
      <w:tr w14:paraId="11E836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trPr>
        <w:tc>
          <w:tcPr>
            <w:tcW w:w="1001" w:type="pct"/>
            <w:tcBorders>
              <w:bottom w:val="single" w:color="auto" w:sz="12" w:space="0"/>
            </w:tcBorders>
            <w:vAlign w:val="center"/>
          </w:tcPr>
          <w:p w14:paraId="6E6A81FB">
            <w:pPr>
              <w:pStyle w:val="5"/>
            </w:pPr>
            <w:r>
              <w:rPr>
                <w:rFonts w:hint="eastAsia"/>
              </w:rPr>
              <w:t>一级指标</w:t>
            </w:r>
          </w:p>
        </w:tc>
        <w:tc>
          <w:tcPr>
            <w:tcW w:w="1999" w:type="pct"/>
            <w:tcBorders>
              <w:bottom w:val="single" w:color="auto" w:sz="12" w:space="0"/>
            </w:tcBorders>
            <w:vAlign w:val="center"/>
          </w:tcPr>
          <w:p w14:paraId="07097C0A">
            <w:pPr>
              <w:pStyle w:val="5"/>
            </w:pPr>
            <w:r>
              <w:rPr>
                <w:rFonts w:hint="eastAsia"/>
              </w:rPr>
              <w:t>二级指标</w:t>
            </w:r>
          </w:p>
        </w:tc>
        <w:tc>
          <w:tcPr>
            <w:tcW w:w="1999" w:type="pct"/>
            <w:tcBorders>
              <w:bottom w:val="single" w:color="auto" w:sz="12" w:space="0"/>
            </w:tcBorders>
          </w:tcPr>
          <w:p w14:paraId="28D2B245">
            <w:pPr>
              <w:pStyle w:val="5"/>
            </w:pPr>
            <w:r>
              <w:rPr>
                <w:rFonts w:hint="eastAsia"/>
              </w:rPr>
              <w:t>符号说明</w:t>
            </w:r>
          </w:p>
        </w:tc>
      </w:tr>
      <w:tr w14:paraId="0A4DE0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trPr>
        <w:tc>
          <w:tcPr>
            <w:tcW w:w="1001" w:type="pct"/>
            <w:vMerge w:val="restart"/>
            <w:tcBorders>
              <w:top w:val="single" w:color="auto" w:sz="12" w:space="0"/>
            </w:tcBorders>
            <w:vAlign w:val="center"/>
          </w:tcPr>
          <w:p w14:paraId="148DB513">
            <w:pPr>
              <w:pStyle w:val="5"/>
            </w:pPr>
            <w:r>
              <w:rPr>
                <w:rFonts w:hint="eastAsia"/>
              </w:rPr>
              <w:t>人口指标</w:t>
            </w:r>
          </w:p>
        </w:tc>
        <w:tc>
          <w:tcPr>
            <w:tcW w:w="1999" w:type="pct"/>
            <w:tcBorders>
              <w:top w:val="single" w:color="auto" w:sz="12" w:space="0"/>
            </w:tcBorders>
            <w:vAlign w:val="center"/>
          </w:tcPr>
          <w:p w14:paraId="1B6845E3">
            <w:pPr>
              <w:pStyle w:val="5"/>
            </w:pPr>
            <w:r>
              <w:rPr>
                <w:rFonts w:hint="eastAsia"/>
              </w:rPr>
              <w:t>人口</w:t>
            </w:r>
          </w:p>
        </w:tc>
        <w:tc>
          <w:tcPr>
            <w:tcW w:w="1999" w:type="pct"/>
            <w:tcBorders>
              <w:top w:val="single" w:color="auto" w:sz="12" w:space="0"/>
            </w:tcBorders>
          </w:tcPr>
          <w:p w14:paraId="4721A6AD">
            <w:pPr>
              <w:pStyle w:val="5"/>
            </w:pPr>
            <m:oMathPara>
              <m:oMath>
                <m:r>
                  <m:rPr/>
                  <w:rPr>
                    <w:rFonts w:ascii="Cambria Math" w:hAnsi="Cambria Math"/>
                  </w:rPr>
                  <m:t>P</m:t>
                </m:r>
              </m:oMath>
            </m:oMathPara>
          </w:p>
        </w:tc>
      </w:tr>
      <w:tr w14:paraId="556960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trPr>
        <w:tc>
          <w:tcPr>
            <w:tcW w:w="1001" w:type="pct"/>
            <w:vMerge w:val="continue"/>
            <w:vAlign w:val="center"/>
          </w:tcPr>
          <w:p w14:paraId="68B78DF7">
            <w:pPr>
              <w:pStyle w:val="5"/>
            </w:pPr>
          </w:p>
        </w:tc>
        <w:tc>
          <w:tcPr>
            <w:tcW w:w="1999" w:type="pct"/>
            <w:vAlign w:val="center"/>
          </w:tcPr>
          <w:p w14:paraId="64CE3237">
            <w:pPr>
              <w:pStyle w:val="5"/>
            </w:pPr>
            <w:r>
              <w:rPr>
                <w:rFonts w:hint="eastAsia"/>
              </w:rPr>
              <w:t>人口增长率</w:t>
            </w:r>
          </w:p>
        </w:tc>
        <w:tc>
          <w:tcPr>
            <w:tcW w:w="1999" w:type="pct"/>
          </w:tcPr>
          <w:p w14:paraId="451BCFCA">
            <w:pPr>
              <w:pStyle w:val="5"/>
            </w:pPr>
            <m:oMathPara>
              <m:oMath>
                <m:sSub>
                  <m:sSubPr>
                    <m:ctrlPr>
                      <w:rPr>
                        <w:rFonts w:ascii="Cambria Math" w:hAnsi="Cambria Math"/>
                        <w:i/>
                      </w:rPr>
                    </m:ctrlPr>
                  </m:sSubPr>
                  <m:e>
                    <m:r>
                      <m:rPr/>
                      <w:rPr>
                        <w:rFonts w:hint="eastAsia"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oMath>
            </m:oMathPara>
          </w:p>
        </w:tc>
      </w:tr>
      <w:tr w14:paraId="30BFE9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trPr>
        <w:tc>
          <w:tcPr>
            <w:tcW w:w="1001" w:type="pct"/>
            <w:vMerge w:val="continue"/>
            <w:vAlign w:val="center"/>
          </w:tcPr>
          <w:p w14:paraId="46BAB129">
            <w:pPr>
              <w:pStyle w:val="5"/>
            </w:pPr>
          </w:p>
        </w:tc>
        <w:tc>
          <w:tcPr>
            <w:tcW w:w="1999" w:type="pct"/>
            <w:vAlign w:val="center"/>
          </w:tcPr>
          <w:p w14:paraId="032B5747">
            <w:pPr>
              <w:pStyle w:val="5"/>
            </w:pPr>
            <w:r>
              <w:rPr>
                <w:rFonts w:hint="eastAsia"/>
              </w:rPr>
              <w:t>人口乘数</w:t>
            </w:r>
          </w:p>
        </w:tc>
        <w:tc>
          <w:tcPr>
            <w:tcW w:w="1999" w:type="pct"/>
          </w:tcPr>
          <w:p w14:paraId="1CE81C09">
            <w:pPr>
              <w:pStyle w:val="5"/>
            </w:pPr>
            <m:oMathPara>
              <m:oMath>
                <m:sSub>
                  <m:sSubPr>
                    <m:ctrlPr>
                      <w:rPr>
                        <w:rFonts w:ascii="Cambria Math" w:hAnsi="Cambria Math"/>
                        <w:i/>
                      </w:rPr>
                    </m:ctrlPr>
                  </m:sSubPr>
                  <m:e>
                    <m:r>
                      <m:rPr/>
                      <w:rPr>
                        <w:rFonts w:hint="eastAsia"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oMath>
            </m:oMathPara>
          </w:p>
        </w:tc>
      </w:tr>
      <w:tr w14:paraId="7934AC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trPr>
        <w:tc>
          <w:tcPr>
            <w:tcW w:w="1001" w:type="pct"/>
            <w:vAlign w:val="center"/>
          </w:tcPr>
          <w:p w14:paraId="413F8324">
            <w:pPr>
              <w:pStyle w:val="5"/>
            </w:pPr>
          </w:p>
        </w:tc>
        <w:tc>
          <w:tcPr>
            <w:tcW w:w="1999" w:type="pct"/>
            <w:vAlign w:val="center"/>
          </w:tcPr>
          <w:p w14:paraId="3C96E02F">
            <w:pPr>
              <w:pStyle w:val="5"/>
            </w:pPr>
            <w:r>
              <w:rPr>
                <w:rFonts w:hint="eastAsia"/>
              </w:rPr>
              <w:t>GDP</w:t>
            </w:r>
          </w:p>
        </w:tc>
        <w:tc>
          <w:tcPr>
            <w:tcW w:w="1999" w:type="pct"/>
          </w:tcPr>
          <w:p w14:paraId="03233854">
            <w:pPr>
              <w:pStyle w:val="5"/>
            </w:pPr>
            <w:r>
              <w:rPr>
                <w:rFonts w:hint="eastAsia"/>
              </w:rPr>
              <w:t>GDP</w:t>
            </w:r>
          </w:p>
        </w:tc>
      </w:tr>
      <w:tr w14:paraId="17D9CE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01" w:type="pct"/>
            <w:vMerge w:val="restart"/>
            <w:vAlign w:val="center"/>
          </w:tcPr>
          <w:p w14:paraId="4D5C82A6">
            <w:pPr>
              <w:pStyle w:val="5"/>
            </w:pPr>
            <w:r>
              <w:rPr>
                <w:rFonts w:hint="eastAsia"/>
              </w:rPr>
              <w:t>区域经济指标</w:t>
            </w:r>
          </w:p>
        </w:tc>
        <w:tc>
          <w:tcPr>
            <w:tcW w:w="1999" w:type="pct"/>
            <w:vAlign w:val="center"/>
          </w:tcPr>
          <w:p w14:paraId="710CEC80">
            <w:pPr>
              <w:pStyle w:val="5"/>
            </w:pPr>
            <w:r>
              <w:rPr>
                <w:rFonts w:hint="eastAsia"/>
              </w:rPr>
              <w:t>各部门经济增加值</w:t>
            </w:r>
          </w:p>
        </w:tc>
        <w:tc>
          <w:tcPr>
            <w:tcW w:w="1999" w:type="pct"/>
          </w:tcPr>
          <w:p w14:paraId="7A3A6EEE">
            <w:pPr>
              <w:pStyle w:val="5"/>
            </w:pPr>
            <m:oMathPara>
              <m:oMath>
                <m:sSub>
                  <m:sSubPr>
                    <m:ctrlPr>
                      <w:rPr>
                        <w:rFonts w:ascii="Cambria Math" w:hAnsi="Cambria Math"/>
                        <w:i/>
                      </w:rPr>
                    </m:ctrlPr>
                  </m:sSubPr>
                  <m:e>
                    <m:r>
                      <m:rPr/>
                      <w:rPr>
                        <w:rFonts w:hint="eastAsia" w:ascii="Cambria Math" w:hAnsi="Cambria Math"/>
                      </w:rPr>
                      <m:t>x</m:t>
                    </m:r>
                    <m:ctrlPr>
                      <w:rPr>
                        <w:rFonts w:ascii="Cambria Math" w:hAnsi="Cambria Math"/>
                        <w:i/>
                      </w:rPr>
                    </m:ctrlPr>
                  </m:e>
                  <m:sub>
                    <m:r>
                      <m:rPr/>
                      <w:rPr>
                        <w:rFonts w:ascii="Cambria Math" w:hAnsi="Cambria Math"/>
                      </w:rPr>
                      <m:t>3−</m:t>
                    </m:r>
                    <m:r>
                      <m:rPr/>
                      <w:rPr>
                        <w:rFonts w:hint="eastAsia" w:ascii="Cambria Math" w:hAnsi="Cambria Math"/>
                      </w:rPr>
                      <m:t>j</m:t>
                    </m:r>
                    <m:ctrlPr>
                      <w:rPr>
                        <w:rFonts w:ascii="Cambria Math" w:hAnsi="Cambria Math"/>
                        <w:i/>
                      </w:rPr>
                    </m:ctrlPr>
                  </m:sub>
                </m:sSub>
              </m:oMath>
            </m:oMathPara>
          </w:p>
        </w:tc>
      </w:tr>
      <w:tr w14:paraId="0D2CB4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trPr>
        <w:tc>
          <w:tcPr>
            <w:tcW w:w="1001" w:type="pct"/>
            <w:vMerge w:val="continue"/>
            <w:vAlign w:val="center"/>
          </w:tcPr>
          <w:p w14:paraId="19CC5E14">
            <w:pPr>
              <w:pStyle w:val="5"/>
            </w:pPr>
          </w:p>
        </w:tc>
        <w:tc>
          <w:tcPr>
            <w:tcW w:w="1999" w:type="pct"/>
            <w:vAlign w:val="center"/>
          </w:tcPr>
          <w:p w14:paraId="5041F3A4">
            <w:pPr>
              <w:pStyle w:val="5"/>
            </w:pPr>
            <w:r>
              <w:rPr>
                <w:rFonts w:hint="eastAsia"/>
              </w:rPr>
              <w:t>年度加权平均GDP</w:t>
            </w:r>
          </w:p>
        </w:tc>
        <w:tc>
          <w:tcPr>
            <w:tcW w:w="1999" w:type="pct"/>
          </w:tcPr>
          <w:p w14:paraId="63CFD85D">
            <w:pPr>
              <w:pStyle w:val="5"/>
            </w:pPr>
            <m:oMathPara>
              <m:oMath>
                <m:sSub>
                  <m:sSubPr>
                    <m:ctrlPr>
                      <w:rPr>
                        <w:rFonts w:ascii="Cambria Math" w:hAnsi="Cambria Math"/>
                        <w:i/>
                      </w:rPr>
                    </m:ctrlPr>
                  </m:sSubPr>
                  <m:e>
                    <m:r>
                      <m:rPr/>
                      <w:rPr>
                        <w:rFonts w:hint="eastAsia" w:ascii="Cambria Math" w:hAnsi="Cambria Math"/>
                      </w:rPr>
                      <m:t>x</m:t>
                    </m:r>
                    <m:ctrlPr>
                      <w:rPr>
                        <w:rFonts w:ascii="Cambria Math" w:hAnsi="Cambria Math"/>
                        <w:i/>
                      </w:rPr>
                    </m:ctrlPr>
                  </m:e>
                  <m:sub>
                    <m:r>
                      <m:rPr/>
                      <w:rPr>
                        <w:rFonts w:ascii="Cambria Math" w:hAnsi="Cambria Math"/>
                      </w:rPr>
                      <m:t>4</m:t>
                    </m:r>
                    <m:ctrlPr>
                      <w:rPr>
                        <w:rFonts w:ascii="Cambria Math" w:hAnsi="Cambria Math"/>
                        <w:i/>
                      </w:rPr>
                    </m:ctrlPr>
                  </m:sub>
                </m:sSub>
              </m:oMath>
            </m:oMathPara>
          </w:p>
        </w:tc>
      </w:tr>
      <w:tr w14:paraId="3698B9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trPr>
        <w:tc>
          <w:tcPr>
            <w:tcW w:w="1001" w:type="pct"/>
            <w:vMerge w:val="continue"/>
            <w:vAlign w:val="center"/>
          </w:tcPr>
          <w:p w14:paraId="070C7ECE">
            <w:pPr>
              <w:pStyle w:val="5"/>
            </w:pPr>
          </w:p>
        </w:tc>
        <w:tc>
          <w:tcPr>
            <w:tcW w:w="1999" w:type="pct"/>
            <w:vAlign w:val="center"/>
          </w:tcPr>
          <w:p w14:paraId="0569601C">
            <w:pPr>
              <w:pStyle w:val="5"/>
            </w:pPr>
            <w:r>
              <w:rPr>
                <w:rFonts w:hint="eastAsia"/>
                <w:lang w:bidi="ar"/>
              </w:rPr>
              <w:t>人均GDP</w:t>
            </w:r>
          </w:p>
        </w:tc>
        <w:tc>
          <w:tcPr>
            <w:tcW w:w="1999" w:type="pct"/>
          </w:tcPr>
          <w:p w14:paraId="67EDF6D2">
            <w:pPr>
              <w:pStyle w:val="5"/>
              <w:rPr>
                <w:lang w:bidi="ar"/>
              </w:rPr>
            </w:pPr>
            <m:oMathPara>
              <m:oMath>
                <m:sSub>
                  <m:sSubPr>
                    <m:ctrlPr>
                      <w:rPr>
                        <w:rFonts w:ascii="Cambria Math" w:hAnsi="Cambria Math"/>
                        <w:i/>
                      </w:rPr>
                    </m:ctrlPr>
                  </m:sSubPr>
                  <m:e>
                    <m:r>
                      <m:rPr/>
                      <w:rPr>
                        <w:rFonts w:hint="eastAsia" w:ascii="Cambria Math" w:hAnsi="Cambria Math"/>
                      </w:rPr>
                      <m:t>x</m:t>
                    </m:r>
                    <m:ctrlPr>
                      <w:rPr>
                        <w:rFonts w:ascii="Cambria Math" w:hAnsi="Cambria Math"/>
                        <w:i/>
                      </w:rPr>
                    </m:ctrlPr>
                  </m:e>
                  <m:sub>
                    <m:r>
                      <m:rPr/>
                      <w:rPr>
                        <w:rFonts w:ascii="Cambria Math" w:hAnsi="Cambria Math"/>
                      </w:rPr>
                      <m:t>5</m:t>
                    </m:r>
                    <m:ctrlPr>
                      <w:rPr>
                        <w:rFonts w:ascii="Cambria Math" w:hAnsi="Cambria Math"/>
                        <w:i/>
                      </w:rPr>
                    </m:ctrlPr>
                  </m:sub>
                </m:sSub>
              </m:oMath>
            </m:oMathPara>
          </w:p>
        </w:tc>
      </w:tr>
      <w:tr w14:paraId="513516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trPr>
        <w:tc>
          <w:tcPr>
            <w:tcW w:w="1001" w:type="pct"/>
            <w:vMerge w:val="continue"/>
            <w:vAlign w:val="center"/>
          </w:tcPr>
          <w:p w14:paraId="1C08F851">
            <w:pPr>
              <w:pStyle w:val="5"/>
            </w:pPr>
          </w:p>
        </w:tc>
        <w:tc>
          <w:tcPr>
            <w:tcW w:w="1999" w:type="pct"/>
            <w:vAlign w:val="center"/>
          </w:tcPr>
          <w:p w14:paraId="1F2B0A41">
            <w:pPr>
              <w:pStyle w:val="5"/>
            </w:pPr>
            <w:r>
              <w:rPr>
                <w:rFonts w:hint="eastAsia"/>
              </w:rPr>
              <w:t>GDP乘数</w:t>
            </w:r>
          </w:p>
        </w:tc>
        <w:tc>
          <w:tcPr>
            <w:tcW w:w="1999" w:type="pct"/>
          </w:tcPr>
          <w:p w14:paraId="611F0FE8">
            <w:pPr>
              <w:pStyle w:val="5"/>
            </w:pPr>
            <m:oMathPara>
              <m:oMath>
                <m:sSub>
                  <m:sSubPr>
                    <m:ctrlPr>
                      <w:rPr>
                        <w:rFonts w:ascii="Cambria Math" w:hAnsi="Cambria Math"/>
                        <w:i/>
                      </w:rPr>
                    </m:ctrlPr>
                  </m:sSubPr>
                  <m:e>
                    <m:r>
                      <m:rPr/>
                      <w:rPr>
                        <w:rFonts w:hint="eastAsia" w:ascii="Cambria Math" w:hAnsi="Cambria Math"/>
                      </w:rPr>
                      <m:t>x</m:t>
                    </m:r>
                    <m:ctrlPr>
                      <w:rPr>
                        <w:rFonts w:ascii="Cambria Math" w:hAnsi="Cambria Math"/>
                        <w:i/>
                      </w:rPr>
                    </m:ctrlPr>
                  </m:e>
                  <m:sub>
                    <m:r>
                      <m:rPr/>
                      <w:rPr>
                        <w:rFonts w:ascii="Cambria Math" w:hAnsi="Cambria Math"/>
                      </w:rPr>
                      <m:t>6</m:t>
                    </m:r>
                    <m:ctrlPr>
                      <w:rPr>
                        <w:rFonts w:ascii="Cambria Math" w:hAnsi="Cambria Math"/>
                        <w:i/>
                      </w:rPr>
                    </m:ctrlPr>
                  </m:sub>
                </m:sSub>
              </m:oMath>
            </m:oMathPara>
          </w:p>
        </w:tc>
      </w:tr>
      <w:tr w14:paraId="44335C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trPr>
        <w:tc>
          <w:tcPr>
            <w:tcW w:w="1001" w:type="pct"/>
            <w:vMerge w:val="continue"/>
            <w:vAlign w:val="center"/>
          </w:tcPr>
          <w:p w14:paraId="7CA8A555">
            <w:pPr>
              <w:pStyle w:val="5"/>
            </w:pPr>
          </w:p>
        </w:tc>
        <w:tc>
          <w:tcPr>
            <w:tcW w:w="1999" w:type="pct"/>
            <w:vAlign w:val="center"/>
          </w:tcPr>
          <w:p w14:paraId="6CDBB81F">
            <w:pPr>
              <w:pStyle w:val="5"/>
            </w:pPr>
            <w:r>
              <w:rPr>
                <w:rFonts w:hint="eastAsia"/>
              </w:rPr>
              <w:t>部门经济增加值增长率</w:t>
            </w:r>
          </w:p>
        </w:tc>
        <w:tc>
          <w:tcPr>
            <w:tcW w:w="1999" w:type="pct"/>
          </w:tcPr>
          <w:p w14:paraId="724C8A1F">
            <w:pPr>
              <w:pStyle w:val="5"/>
            </w:pPr>
            <m:oMathPara>
              <m:oMath>
                <m:sSub>
                  <m:sSubPr>
                    <m:ctrlPr>
                      <w:rPr>
                        <w:rFonts w:ascii="Cambria Math" w:hAnsi="Cambria Math"/>
                        <w:i/>
                      </w:rPr>
                    </m:ctrlPr>
                  </m:sSubPr>
                  <m:e>
                    <m:r>
                      <m:rPr/>
                      <w:rPr>
                        <w:rFonts w:hint="eastAsia" w:ascii="Cambria Math" w:hAnsi="Cambria Math"/>
                      </w:rPr>
                      <m:t>x</m:t>
                    </m:r>
                    <m:ctrlPr>
                      <w:rPr>
                        <w:rFonts w:ascii="Cambria Math" w:hAnsi="Cambria Math"/>
                        <w:i/>
                      </w:rPr>
                    </m:ctrlPr>
                  </m:e>
                  <m:sub>
                    <m:r>
                      <m:rPr/>
                      <w:rPr>
                        <w:rFonts w:ascii="Cambria Math" w:hAnsi="Cambria Math"/>
                      </w:rPr>
                      <m:t>7−</m:t>
                    </m:r>
                    <m:r>
                      <m:rPr/>
                      <w:rPr>
                        <w:rFonts w:hint="eastAsia" w:ascii="Cambria Math" w:hAnsi="Cambria Math"/>
                      </w:rPr>
                      <m:t>j</m:t>
                    </m:r>
                    <m:ctrlPr>
                      <w:rPr>
                        <w:rFonts w:ascii="Cambria Math" w:hAnsi="Cambria Math"/>
                        <w:i/>
                      </w:rPr>
                    </m:ctrlPr>
                  </m:sub>
                </m:sSub>
              </m:oMath>
            </m:oMathPara>
          </w:p>
        </w:tc>
      </w:tr>
      <w:tr w14:paraId="6EAAE63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trPr>
        <w:tc>
          <w:tcPr>
            <w:tcW w:w="1001" w:type="pct"/>
            <w:vMerge w:val="restart"/>
            <w:vAlign w:val="center"/>
          </w:tcPr>
          <w:p w14:paraId="015F09A9">
            <w:pPr>
              <w:pStyle w:val="5"/>
            </w:pPr>
          </w:p>
          <w:p w14:paraId="36024EF1">
            <w:pPr>
              <w:pStyle w:val="5"/>
            </w:pPr>
          </w:p>
          <w:p w14:paraId="6FF2C027">
            <w:pPr>
              <w:pStyle w:val="5"/>
              <w:jc w:val="both"/>
            </w:pPr>
          </w:p>
          <w:p w14:paraId="4EC29CA4">
            <w:pPr>
              <w:pStyle w:val="5"/>
            </w:pPr>
            <w:r>
              <w:rPr>
                <w:rFonts w:hint="eastAsia"/>
              </w:rPr>
              <w:t>能源消费量</w:t>
            </w:r>
          </w:p>
        </w:tc>
        <w:tc>
          <w:tcPr>
            <w:tcW w:w="1999" w:type="pct"/>
            <w:vAlign w:val="center"/>
          </w:tcPr>
          <w:p w14:paraId="1B001ED1">
            <w:pPr>
              <w:pStyle w:val="5"/>
            </w:pPr>
            <w:r>
              <w:rPr>
                <w:rFonts w:hint="eastAsia"/>
              </w:rPr>
              <w:t>二、三产业消费量总和</w:t>
            </w:r>
          </w:p>
        </w:tc>
        <w:tc>
          <w:tcPr>
            <w:tcW w:w="1999" w:type="pct"/>
          </w:tcPr>
          <w:p w14:paraId="44D7B3CA">
            <w:pPr>
              <w:pStyle w:val="5"/>
            </w:pPr>
            <m:oMathPara>
              <m:oMath>
                <m:sSub>
                  <m:sSubPr>
                    <m:ctrlPr>
                      <w:rPr>
                        <w:rFonts w:ascii="Cambria Math" w:hAnsi="Cambria Math"/>
                        <w:i/>
                      </w:rPr>
                    </m:ctrlPr>
                  </m:sSubPr>
                  <m:e>
                    <m:r>
                      <m:rPr/>
                      <w:rPr>
                        <w:rFonts w:hint="eastAsia" w:ascii="Cambria Math" w:hAnsi="Cambria Math"/>
                      </w:rPr>
                      <m:t>x</m:t>
                    </m:r>
                    <m:ctrlPr>
                      <w:rPr>
                        <w:rFonts w:ascii="Cambria Math" w:hAnsi="Cambria Math"/>
                        <w:i/>
                      </w:rPr>
                    </m:ctrlPr>
                  </m:e>
                  <m:sub>
                    <m:r>
                      <m:rPr/>
                      <w:rPr>
                        <w:rFonts w:ascii="Cambria Math" w:hAnsi="Cambria Math"/>
                      </w:rPr>
                      <m:t>8</m:t>
                    </m:r>
                    <m:ctrlPr>
                      <w:rPr>
                        <w:rFonts w:ascii="Cambria Math" w:hAnsi="Cambria Math"/>
                        <w:i/>
                      </w:rPr>
                    </m:ctrlPr>
                  </m:sub>
                </m:sSub>
              </m:oMath>
            </m:oMathPara>
          </w:p>
        </w:tc>
      </w:tr>
      <w:tr w14:paraId="5B9AB6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trPr>
        <w:tc>
          <w:tcPr>
            <w:tcW w:w="1001" w:type="pct"/>
            <w:vMerge w:val="continue"/>
            <w:vAlign w:val="center"/>
          </w:tcPr>
          <w:p w14:paraId="1E5336A0">
            <w:pPr>
              <w:pStyle w:val="5"/>
            </w:pPr>
          </w:p>
        </w:tc>
        <w:tc>
          <w:tcPr>
            <w:tcW w:w="1999" w:type="pct"/>
            <w:vAlign w:val="center"/>
          </w:tcPr>
          <w:p w14:paraId="796348E6">
            <w:pPr>
              <w:pStyle w:val="5"/>
            </w:pPr>
            <w:r>
              <w:rPr>
                <w:rFonts w:hint="eastAsia"/>
              </w:rPr>
              <w:t>能源消费量</w:t>
            </w:r>
          </w:p>
        </w:tc>
        <w:tc>
          <w:tcPr>
            <w:tcW w:w="1999" w:type="pct"/>
          </w:tcPr>
          <w:p w14:paraId="70F0A945">
            <w:pPr>
              <w:pStyle w:val="5"/>
            </w:pPr>
            <w:r>
              <w:rPr>
                <w:rFonts w:hint="eastAsia"/>
              </w:rPr>
              <w:t>E</w:t>
            </w:r>
          </w:p>
        </w:tc>
      </w:tr>
      <w:tr w14:paraId="7DC28E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trPr>
        <w:tc>
          <w:tcPr>
            <w:tcW w:w="1001" w:type="pct"/>
            <w:vMerge w:val="continue"/>
            <w:vAlign w:val="center"/>
          </w:tcPr>
          <w:p w14:paraId="2D4F4904">
            <w:pPr>
              <w:pStyle w:val="5"/>
            </w:pPr>
          </w:p>
        </w:tc>
        <w:tc>
          <w:tcPr>
            <w:tcW w:w="1999" w:type="pct"/>
            <w:vAlign w:val="center"/>
          </w:tcPr>
          <w:p w14:paraId="55B0E15D">
            <w:pPr>
              <w:pStyle w:val="5"/>
            </w:pPr>
            <w:r>
              <w:rPr>
                <w:rFonts w:hint="eastAsia"/>
              </w:rPr>
              <w:t>一次能源消费量增长率</w:t>
            </w:r>
          </w:p>
        </w:tc>
        <w:tc>
          <w:tcPr>
            <w:tcW w:w="1999" w:type="pct"/>
          </w:tcPr>
          <w:p w14:paraId="37FEFFD9">
            <w:pPr>
              <w:pStyle w:val="5"/>
            </w:pPr>
            <m:oMathPara>
              <m:oMath>
                <m:sSub>
                  <m:sSubPr>
                    <m:ctrlPr>
                      <w:rPr>
                        <w:rFonts w:ascii="Cambria Math" w:hAnsi="Cambria Math"/>
                        <w:i/>
                      </w:rPr>
                    </m:ctrlPr>
                  </m:sSubPr>
                  <m:e>
                    <m:r>
                      <m:rPr/>
                      <w:rPr>
                        <w:rFonts w:hint="eastAsia" w:ascii="Cambria Math" w:hAnsi="Cambria Math"/>
                      </w:rPr>
                      <m:t>x</m:t>
                    </m:r>
                    <m:ctrlPr>
                      <w:rPr>
                        <w:rFonts w:ascii="Cambria Math" w:hAnsi="Cambria Math"/>
                        <w:i/>
                      </w:rPr>
                    </m:ctrlPr>
                  </m:e>
                  <m:sub>
                    <m:r>
                      <m:rPr/>
                      <w:rPr>
                        <w:rFonts w:ascii="Cambria Math" w:hAnsi="Cambria Math"/>
                      </w:rPr>
                      <m:t>9</m:t>
                    </m:r>
                    <m:ctrlPr>
                      <w:rPr>
                        <w:rFonts w:ascii="Cambria Math" w:hAnsi="Cambria Math"/>
                        <w:i/>
                      </w:rPr>
                    </m:ctrlPr>
                  </m:sub>
                </m:sSub>
              </m:oMath>
            </m:oMathPara>
          </w:p>
        </w:tc>
      </w:tr>
      <w:tr w14:paraId="1456A1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trPr>
        <w:tc>
          <w:tcPr>
            <w:tcW w:w="1001" w:type="pct"/>
            <w:vMerge w:val="continue"/>
            <w:vAlign w:val="center"/>
          </w:tcPr>
          <w:p w14:paraId="2BE14C38">
            <w:pPr>
              <w:pStyle w:val="5"/>
            </w:pPr>
          </w:p>
        </w:tc>
        <w:tc>
          <w:tcPr>
            <w:tcW w:w="1999" w:type="pct"/>
          </w:tcPr>
          <w:p w14:paraId="7D35CF17">
            <w:pPr>
              <w:pStyle w:val="5"/>
            </w:pPr>
            <w:r>
              <w:rPr>
                <w:rFonts w:hint="eastAsia"/>
              </w:rPr>
              <w:t>部门石化能源消费量百分比</w:t>
            </w:r>
          </w:p>
        </w:tc>
        <w:tc>
          <w:tcPr>
            <w:tcW w:w="1999" w:type="pct"/>
          </w:tcPr>
          <w:p w14:paraId="3006810E">
            <w:pPr>
              <w:pStyle w:val="5"/>
            </w:pPr>
            <m:oMathPara>
              <m:oMath>
                <m:sSub>
                  <m:sSubPr>
                    <m:ctrlPr>
                      <w:rPr>
                        <w:rFonts w:ascii="Cambria Math" w:hAnsi="Cambria Math"/>
                        <w:i/>
                      </w:rPr>
                    </m:ctrlPr>
                  </m:sSubPr>
                  <m:e>
                    <m:r>
                      <m:rPr/>
                      <w:rPr>
                        <w:rFonts w:hint="eastAsia" w:ascii="Cambria Math" w:hAnsi="Cambria Math"/>
                      </w:rPr>
                      <m:t>x</m:t>
                    </m:r>
                    <m:ctrlPr>
                      <w:rPr>
                        <w:rFonts w:ascii="Cambria Math" w:hAnsi="Cambria Math"/>
                        <w:i/>
                      </w:rPr>
                    </m:ctrlPr>
                  </m:e>
                  <m:sub>
                    <m:r>
                      <m:rPr/>
                      <w:rPr>
                        <w:rFonts w:ascii="Cambria Math" w:hAnsi="Cambria Math"/>
                      </w:rPr>
                      <m:t>10−</m:t>
                    </m:r>
                    <m:r>
                      <m:rPr/>
                      <w:rPr>
                        <w:rFonts w:hint="eastAsia" w:ascii="Cambria Math" w:hAnsi="Cambria Math"/>
                      </w:rPr>
                      <m:t>j</m:t>
                    </m:r>
                    <m:ctrlPr>
                      <w:rPr>
                        <w:rFonts w:ascii="Cambria Math" w:hAnsi="Cambria Math"/>
                        <w:i/>
                      </w:rPr>
                    </m:ctrlPr>
                  </m:sub>
                </m:sSub>
              </m:oMath>
            </m:oMathPara>
          </w:p>
        </w:tc>
      </w:tr>
      <w:tr w14:paraId="5104A9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trPr>
        <w:tc>
          <w:tcPr>
            <w:tcW w:w="1001" w:type="pct"/>
            <w:vMerge w:val="continue"/>
            <w:vAlign w:val="center"/>
          </w:tcPr>
          <w:p w14:paraId="5A8D571B">
            <w:pPr>
              <w:pStyle w:val="5"/>
            </w:pPr>
          </w:p>
        </w:tc>
        <w:tc>
          <w:tcPr>
            <w:tcW w:w="1999" w:type="pct"/>
          </w:tcPr>
          <w:p w14:paraId="7B53983F">
            <w:pPr>
              <w:pStyle w:val="5"/>
            </w:pPr>
            <w:r>
              <w:rPr>
                <w:rFonts w:hint="eastAsia"/>
              </w:rPr>
              <w:t>部门能源消费量</w:t>
            </w:r>
          </w:p>
        </w:tc>
        <w:tc>
          <w:tcPr>
            <w:tcW w:w="1999" w:type="pct"/>
          </w:tcPr>
          <w:p w14:paraId="6824D14E">
            <w:pPr>
              <w:pStyle w:val="5"/>
            </w:pPr>
            <m:oMathPara>
              <m:oMath>
                <m:sSub>
                  <m:sSubPr>
                    <m:ctrlPr>
                      <w:rPr>
                        <w:rFonts w:ascii="Cambria Math" w:hAnsi="Cambria Math"/>
                        <w:i/>
                      </w:rPr>
                    </m:ctrlPr>
                  </m:sSubPr>
                  <m:e>
                    <m:r>
                      <m:rPr/>
                      <w:rPr>
                        <w:rFonts w:hint="eastAsia" w:ascii="Cambria Math" w:hAnsi="Cambria Math"/>
                      </w:rPr>
                      <m:t>x</m:t>
                    </m:r>
                    <m:ctrlPr>
                      <w:rPr>
                        <w:rFonts w:ascii="Cambria Math" w:hAnsi="Cambria Math"/>
                        <w:i/>
                      </w:rPr>
                    </m:ctrlPr>
                  </m:e>
                  <m:sub>
                    <m:r>
                      <m:rPr/>
                      <w:rPr>
                        <w:rFonts w:ascii="Cambria Math" w:hAnsi="Cambria Math"/>
                      </w:rPr>
                      <m:t>11−</m:t>
                    </m:r>
                    <m:r>
                      <m:rPr/>
                      <w:rPr>
                        <w:rFonts w:hint="eastAsia" w:ascii="Cambria Math" w:hAnsi="Cambria Math"/>
                      </w:rPr>
                      <m:t>j</m:t>
                    </m:r>
                    <m:ctrlPr>
                      <w:rPr>
                        <w:rFonts w:ascii="Cambria Math" w:hAnsi="Cambria Math"/>
                        <w:i/>
                      </w:rPr>
                    </m:ctrlPr>
                  </m:sub>
                </m:sSub>
              </m:oMath>
            </m:oMathPara>
          </w:p>
        </w:tc>
      </w:tr>
      <w:tr w14:paraId="76328B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trPr>
        <w:tc>
          <w:tcPr>
            <w:tcW w:w="1001" w:type="pct"/>
            <w:vMerge w:val="continue"/>
            <w:vAlign w:val="center"/>
          </w:tcPr>
          <w:p w14:paraId="3ADD68D8">
            <w:pPr>
              <w:pStyle w:val="5"/>
            </w:pPr>
          </w:p>
        </w:tc>
        <w:tc>
          <w:tcPr>
            <w:tcW w:w="1999" w:type="pct"/>
          </w:tcPr>
          <w:p w14:paraId="5B0BFE95">
            <w:pPr>
              <w:pStyle w:val="5"/>
            </w:pPr>
            <w:r>
              <w:rPr>
                <w:rFonts w:hint="eastAsia"/>
              </w:rPr>
              <w:t>部门石化能源碳排放因子</w:t>
            </w:r>
          </w:p>
        </w:tc>
        <w:tc>
          <w:tcPr>
            <w:tcW w:w="1999" w:type="pct"/>
          </w:tcPr>
          <w:p w14:paraId="7A21C5D8">
            <w:pPr>
              <w:pStyle w:val="5"/>
            </w:pPr>
            <m:oMathPara>
              <m:oMath>
                <m:sSub>
                  <m:sSubPr>
                    <m:ctrlPr>
                      <w:rPr>
                        <w:rFonts w:ascii="Cambria Math" w:hAnsi="Cambria Math"/>
                        <w:i/>
                      </w:rPr>
                    </m:ctrlPr>
                  </m:sSubPr>
                  <m:e>
                    <m:r>
                      <m:rPr/>
                      <w:rPr>
                        <w:rFonts w:hint="eastAsia" w:ascii="Cambria Math" w:hAnsi="Cambria Math"/>
                      </w:rPr>
                      <m:t>x</m:t>
                    </m:r>
                    <m:ctrlPr>
                      <w:rPr>
                        <w:rFonts w:ascii="Cambria Math" w:hAnsi="Cambria Math"/>
                        <w:i/>
                      </w:rPr>
                    </m:ctrlPr>
                  </m:e>
                  <m:sub>
                    <m:r>
                      <m:rPr/>
                      <w:rPr>
                        <w:rFonts w:ascii="Cambria Math" w:hAnsi="Cambria Math"/>
                      </w:rPr>
                      <m:t>12−</m:t>
                    </m:r>
                    <m:r>
                      <m:rPr/>
                      <w:rPr>
                        <w:rFonts w:hint="eastAsia" w:ascii="Cambria Math" w:hAnsi="Cambria Math"/>
                      </w:rPr>
                      <m:t>j</m:t>
                    </m:r>
                    <m:ctrlPr>
                      <w:rPr>
                        <w:rFonts w:ascii="Cambria Math" w:hAnsi="Cambria Math"/>
                        <w:i/>
                      </w:rPr>
                    </m:ctrlPr>
                  </m:sub>
                </m:sSub>
              </m:oMath>
            </m:oMathPara>
          </w:p>
        </w:tc>
      </w:tr>
      <w:tr w14:paraId="4A32BE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1001" w:type="pct"/>
            <w:vMerge w:val="continue"/>
            <w:vAlign w:val="center"/>
          </w:tcPr>
          <w:p w14:paraId="0C189A6B">
            <w:pPr>
              <w:pStyle w:val="5"/>
            </w:pPr>
          </w:p>
        </w:tc>
        <w:tc>
          <w:tcPr>
            <w:tcW w:w="1999" w:type="pct"/>
          </w:tcPr>
          <w:p w14:paraId="26E8C0A2">
            <w:pPr>
              <w:pStyle w:val="5"/>
            </w:pPr>
            <w:r>
              <w:rPr>
                <w:rFonts w:hint="eastAsia"/>
              </w:rPr>
              <w:t>部门每单位GDP消费量</w:t>
            </w:r>
          </w:p>
        </w:tc>
        <w:tc>
          <w:tcPr>
            <w:tcW w:w="1999" w:type="pct"/>
          </w:tcPr>
          <w:p w14:paraId="02C43FAB">
            <w:pPr>
              <w:pStyle w:val="5"/>
            </w:pPr>
            <m:oMathPara>
              <m:oMath>
                <m:sSub>
                  <m:sSubPr>
                    <m:ctrlPr>
                      <w:rPr>
                        <w:rFonts w:ascii="Cambria Math" w:hAnsi="Cambria Math"/>
                        <w:i/>
                      </w:rPr>
                    </m:ctrlPr>
                  </m:sSubPr>
                  <m:e>
                    <m:r>
                      <m:rPr/>
                      <w:rPr>
                        <w:rFonts w:hint="eastAsia" w:ascii="Cambria Math" w:hAnsi="Cambria Math"/>
                      </w:rPr>
                      <m:t>x</m:t>
                    </m:r>
                    <m:ctrlPr>
                      <w:rPr>
                        <w:rFonts w:ascii="Cambria Math" w:hAnsi="Cambria Math"/>
                        <w:i/>
                      </w:rPr>
                    </m:ctrlPr>
                  </m:e>
                  <m:sub>
                    <m:r>
                      <m:rPr/>
                      <w:rPr>
                        <w:rFonts w:ascii="Cambria Math" w:hAnsi="Cambria Math"/>
                      </w:rPr>
                      <m:t>13−</m:t>
                    </m:r>
                    <m:r>
                      <m:rPr/>
                      <w:rPr>
                        <w:rFonts w:hint="eastAsia" w:ascii="Cambria Math" w:hAnsi="Cambria Math"/>
                      </w:rPr>
                      <m:t>j</m:t>
                    </m:r>
                    <m:ctrlPr>
                      <w:rPr>
                        <w:rFonts w:ascii="Cambria Math" w:hAnsi="Cambria Math"/>
                        <w:i/>
                      </w:rPr>
                    </m:ctrlPr>
                  </m:sub>
                </m:sSub>
              </m:oMath>
            </m:oMathPara>
          </w:p>
        </w:tc>
      </w:tr>
      <w:tr w14:paraId="235DBA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trPr>
        <w:tc>
          <w:tcPr>
            <w:tcW w:w="1001" w:type="pct"/>
            <w:vMerge w:val="continue"/>
            <w:vAlign w:val="center"/>
          </w:tcPr>
          <w:p w14:paraId="17C11314">
            <w:pPr>
              <w:pStyle w:val="5"/>
            </w:pPr>
          </w:p>
        </w:tc>
        <w:tc>
          <w:tcPr>
            <w:tcW w:w="1999" w:type="pct"/>
            <w:vAlign w:val="bottom"/>
          </w:tcPr>
          <w:p w14:paraId="65059CD0">
            <w:pPr>
              <w:pStyle w:val="5"/>
            </w:pPr>
            <w:r>
              <w:rPr>
                <w:rFonts w:hint="eastAsia"/>
              </w:rPr>
              <w:t>非石化能源品种消费量占比</w:t>
            </w:r>
          </w:p>
        </w:tc>
        <w:tc>
          <w:tcPr>
            <w:tcW w:w="1999" w:type="pct"/>
          </w:tcPr>
          <w:p w14:paraId="38CF13B0">
            <w:pPr>
              <w:pStyle w:val="5"/>
            </w:pPr>
            <m:oMathPara>
              <m:oMath>
                <m:sSub>
                  <m:sSubPr>
                    <m:ctrlPr>
                      <w:rPr>
                        <w:rFonts w:ascii="Cambria Math" w:hAnsi="Cambria Math"/>
                        <w:i/>
                      </w:rPr>
                    </m:ctrlPr>
                  </m:sSubPr>
                  <m:e>
                    <m:r>
                      <m:rPr/>
                      <w:rPr>
                        <w:rFonts w:hint="eastAsia" w:ascii="Cambria Math" w:hAnsi="Cambria Math"/>
                      </w:rPr>
                      <m:t>x</m:t>
                    </m:r>
                    <m:ctrlPr>
                      <w:rPr>
                        <w:rFonts w:ascii="Cambria Math" w:hAnsi="Cambria Math"/>
                        <w:i/>
                      </w:rPr>
                    </m:ctrlPr>
                  </m:e>
                  <m:sub>
                    <m:r>
                      <m:rPr/>
                      <w:rPr>
                        <w:rFonts w:ascii="Cambria Math" w:hAnsi="Cambria Math"/>
                      </w:rPr>
                      <m:t>14</m:t>
                    </m:r>
                    <m:ctrlPr>
                      <w:rPr>
                        <w:rFonts w:ascii="Cambria Math" w:hAnsi="Cambria Math"/>
                        <w:i/>
                      </w:rPr>
                    </m:ctrlPr>
                  </m:sub>
                </m:sSub>
              </m:oMath>
            </m:oMathPara>
          </w:p>
        </w:tc>
      </w:tr>
      <w:tr w14:paraId="5144C2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trPr>
        <w:tc>
          <w:tcPr>
            <w:tcW w:w="1001" w:type="pct"/>
            <w:vMerge w:val="continue"/>
            <w:vAlign w:val="center"/>
          </w:tcPr>
          <w:p w14:paraId="5DC47E92">
            <w:pPr>
              <w:pStyle w:val="5"/>
            </w:pPr>
          </w:p>
        </w:tc>
        <w:tc>
          <w:tcPr>
            <w:tcW w:w="1999" w:type="pct"/>
            <w:vAlign w:val="center"/>
          </w:tcPr>
          <w:p w14:paraId="563884A0">
            <w:pPr>
              <w:pStyle w:val="5"/>
            </w:pPr>
            <w:r>
              <w:rPr>
                <w:rFonts w:hint="eastAsia"/>
                <w:kern w:val="24"/>
              </w:rPr>
              <w:t>单位GDP能耗</w:t>
            </w:r>
          </w:p>
        </w:tc>
        <w:tc>
          <w:tcPr>
            <w:tcW w:w="1999" w:type="pct"/>
          </w:tcPr>
          <w:p w14:paraId="71697BE3">
            <w:pPr>
              <w:pStyle w:val="5"/>
              <w:rPr>
                <w:kern w:val="24"/>
              </w:rPr>
            </w:pPr>
            <m:oMathPara>
              <m:oMath>
                <m:sSub>
                  <m:sSubPr>
                    <m:ctrlPr>
                      <w:rPr>
                        <w:rFonts w:ascii="Cambria Math" w:hAnsi="Cambria Math"/>
                        <w:i/>
                      </w:rPr>
                    </m:ctrlPr>
                  </m:sSubPr>
                  <m:e>
                    <m:r>
                      <m:rPr/>
                      <w:rPr>
                        <w:rFonts w:hint="eastAsia" w:ascii="Cambria Math" w:hAnsi="Cambria Math"/>
                      </w:rPr>
                      <m:t>x</m:t>
                    </m:r>
                    <m:ctrlPr>
                      <w:rPr>
                        <w:rFonts w:ascii="Cambria Math" w:hAnsi="Cambria Math"/>
                        <w:i/>
                      </w:rPr>
                    </m:ctrlPr>
                  </m:e>
                  <m:sub>
                    <m:r>
                      <m:rPr/>
                      <w:rPr>
                        <w:rFonts w:ascii="Cambria Math" w:hAnsi="Cambria Math"/>
                      </w:rPr>
                      <m:t>15</m:t>
                    </m:r>
                    <m:ctrlPr>
                      <w:rPr>
                        <w:rFonts w:ascii="Cambria Math" w:hAnsi="Cambria Math"/>
                        <w:i/>
                      </w:rPr>
                    </m:ctrlPr>
                  </m:sub>
                </m:sSub>
              </m:oMath>
            </m:oMathPara>
          </w:p>
        </w:tc>
      </w:tr>
      <w:tr w14:paraId="305A1D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6" w:hRule="atLeast"/>
        </w:trPr>
        <w:tc>
          <w:tcPr>
            <w:tcW w:w="1001" w:type="pct"/>
            <w:vMerge w:val="continue"/>
            <w:vAlign w:val="center"/>
          </w:tcPr>
          <w:p w14:paraId="55F78911">
            <w:pPr>
              <w:pStyle w:val="5"/>
            </w:pPr>
          </w:p>
        </w:tc>
        <w:tc>
          <w:tcPr>
            <w:tcW w:w="1999" w:type="pct"/>
            <w:vAlign w:val="center"/>
          </w:tcPr>
          <w:p w14:paraId="14523223">
            <w:pPr>
              <w:pStyle w:val="5"/>
            </w:pPr>
            <w:r>
              <w:rPr>
                <w:rFonts w:hint="eastAsia"/>
                <w:lang w:bidi="ar"/>
              </w:rPr>
              <w:t>新能源品种消费量增长率</w:t>
            </w:r>
          </w:p>
        </w:tc>
        <w:tc>
          <w:tcPr>
            <w:tcW w:w="1999" w:type="pct"/>
          </w:tcPr>
          <w:p w14:paraId="25AA41EC">
            <w:pPr>
              <w:pStyle w:val="5"/>
              <w:rPr>
                <w:lang w:bidi="ar"/>
              </w:rPr>
            </w:pPr>
            <m:oMathPara>
              <m:oMath>
                <m:sSub>
                  <m:sSubPr>
                    <m:ctrlPr>
                      <w:rPr>
                        <w:rFonts w:ascii="Cambria Math" w:hAnsi="Cambria Math"/>
                        <w:i/>
                      </w:rPr>
                    </m:ctrlPr>
                  </m:sSubPr>
                  <m:e>
                    <m:r>
                      <m:rPr/>
                      <w:rPr>
                        <w:rFonts w:hint="eastAsia" w:ascii="Cambria Math" w:hAnsi="Cambria Math"/>
                      </w:rPr>
                      <m:t>x</m:t>
                    </m:r>
                    <m:ctrlPr>
                      <w:rPr>
                        <w:rFonts w:ascii="Cambria Math" w:hAnsi="Cambria Math"/>
                        <w:i/>
                      </w:rPr>
                    </m:ctrlPr>
                  </m:e>
                  <m:sub>
                    <m:r>
                      <m:rPr/>
                      <w:rPr>
                        <w:rFonts w:ascii="Cambria Math" w:hAnsi="Cambria Math"/>
                      </w:rPr>
                      <m:t>16</m:t>
                    </m:r>
                    <m:ctrlPr>
                      <w:rPr>
                        <w:rFonts w:ascii="Cambria Math" w:hAnsi="Cambria Math"/>
                        <w:i/>
                      </w:rPr>
                    </m:ctrlPr>
                  </m:sub>
                </m:sSub>
              </m:oMath>
            </m:oMathPara>
          </w:p>
        </w:tc>
      </w:tr>
      <w:tr w14:paraId="7EE7F5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trPr>
        <w:tc>
          <w:tcPr>
            <w:tcW w:w="1001" w:type="pct"/>
            <w:vMerge w:val="continue"/>
            <w:vAlign w:val="center"/>
          </w:tcPr>
          <w:p w14:paraId="0C3792A2">
            <w:pPr>
              <w:pStyle w:val="5"/>
            </w:pPr>
          </w:p>
        </w:tc>
        <w:tc>
          <w:tcPr>
            <w:tcW w:w="1999" w:type="pct"/>
            <w:vAlign w:val="bottom"/>
          </w:tcPr>
          <w:p w14:paraId="4B00F5F1">
            <w:pPr>
              <w:pStyle w:val="5"/>
            </w:pPr>
            <w:r>
              <w:rPr>
                <w:rFonts w:hint="eastAsia"/>
                <w:lang w:bidi="ar"/>
              </w:rPr>
              <w:t>外地调入与非石化源消费量倍数</w:t>
            </w:r>
          </w:p>
        </w:tc>
        <w:tc>
          <w:tcPr>
            <w:tcW w:w="1999" w:type="pct"/>
          </w:tcPr>
          <w:p w14:paraId="65B4B181">
            <w:pPr>
              <w:pStyle w:val="5"/>
              <w:rPr>
                <w:lang w:bidi="ar"/>
              </w:rPr>
            </w:pPr>
            <m:oMathPara>
              <m:oMath>
                <m:sSub>
                  <m:sSubPr>
                    <m:ctrlPr>
                      <w:rPr>
                        <w:rFonts w:ascii="Cambria Math" w:hAnsi="Cambria Math"/>
                        <w:i/>
                      </w:rPr>
                    </m:ctrlPr>
                  </m:sSubPr>
                  <m:e>
                    <m:r>
                      <m:rPr/>
                      <w:rPr>
                        <w:rFonts w:hint="eastAsia" w:ascii="Cambria Math" w:hAnsi="Cambria Math"/>
                      </w:rPr>
                      <m:t>x</m:t>
                    </m:r>
                    <m:ctrlPr>
                      <w:rPr>
                        <w:rFonts w:ascii="Cambria Math" w:hAnsi="Cambria Math"/>
                        <w:i/>
                      </w:rPr>
                    </m:ctrlPr>
                  </m:e>
                  <m:sub>
                    <m:r>
                      <m:rPr/>
                      <w:rPr>
                        <w:rFonts w:ascii="Cambria Math" w:hAnsi="Cambria Math"/>
                      </w:rPr>
                      <m:t>17</m:t>
                    </m:r>
                    <m:ctrlPr>
                      <w:rPr>
                        <w:rFonts w:ascii="Cambria Math" w:hAnsi="Cambria Math"/>
                        <w:i/>
                      </w:rPr>
                    </m:ctrlPr>
                  </m:sub>
                </m:sSub>
              </m:oMath>
            </m:oMathPara>
          </w:p>
        </w:tc>
      </w:tr>
      <w:tr w14:paraId="60C7FC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trPr>
        <w:tc>
          <w:tcPr>
            <w:tcW w:w="1001" w:type="pct"/>
            <w:vMerge w:val="continue"/>
            <w:vAlign w:val="center"/>
          </w:tcPr>
          <w:p w14:paraId="23AF8BD2">
            <w:pPr>
              <w:pStyle w:val="5"/>
            </w:pPr>
          </w:p>
        </w:tc>
        <w:tc>
          <w:tcPr>
            <w:tcW w:w="1999" w:type="pct"/>
            <w:vAlign w:val="center"/>
          </w:tcPr>
          <w:p w14:paraId="2093CA63">
            <w:pPr>
              <w:pStyle w:val="5"/>
            </w:pPr>
            <w:r>
              <w:rPr>
                <w:rFonts w:hint="eastAsia"/>
                <w:lang w:bidi="ar"/>
              </w:rPr>
              <w:t>部门清洁能源消费量占比</w:t>
            </w:r>
          </w:p>
        </w:tc>
        <w:tc>
          <w:tcPr>
            <w:tcW w:w="1999" w:type="pct"/>
          </w:tcPr>
          <w:p w14:paraId="12BEBA70">
            <w:pPr>
              <w:pStyle w:val="5"/>
              <w:rPr>
                <w:lang w:bidi="ar"/>
              </w:rPr>
            </w:pPr>
            <m:oMathPara>
              <m:oMath>
                <m:sSub>
                  <m:sSubPr>
                    <m:ctrlPr>
                      <w:rPr>
                        <w:rFonts w:ascii="Cambria Math" w:hAnsi="Cambria Math"/>
                        <w:i/>
                      </w:rPr>
                    </m:ctrlPr>
                  </m:sSubPr>
                  <m:e>
                    <m:r>
                      <m:rPr/>
                      <w:rPr>
                        <w:rFonts w:hint="eastAsia" w:ascii="Cambria Math" w:hAnsi="Cambria Math"/>
                      </w:rPr>
                      <m:t>x</m:t>
                    </m:r>
                    <m:ctrlPr>
                      <w:rPr>
                        <w:rFonts w:ascii="Cambria Math" w:hAnsi="Cambria Math"/>
                        <w:i/>
                      </w:rPr>
                    </m:ctrlPr>
                  </m:e>
                  <m:sub>
                    <m:r>
                      <m:rPr/>
                      <w:rPr>
                        <w:rFonts w:ascii="Cambria Math" w:hAnsi="Cambria Math"/>
                      </w:rPr>
                      <m:t>18−j</m:t>
                    </m:r>
                    <m:ctrlPr>
                      <w:rPr>
                        <w:rFonts w:ascii="Cambria Math" w:hAnsi="Cambria Math"/>
                        <w:i/>
                      </w:rPr>
                    </m:ctrlPr>
                  </m:sub>
                </m:sSub>
              </m:oMath>
            </m:oMathPara>
          </w:p>
        </w:tc>
      </w:tr>
      <w:tr w14:paraId="2A3A9A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trPr>
        <w:tc>
          <w:tcPr>
            <w:tcW w:w="1001" w:type="pct"/>
            <w:vMerge w:val="continue"/>
            <w:vAlign w:val="center"/>
          </w:tcPr>
          <w:p w14:paraId="7326E29F">
            <w:pPr>
              <w:pStyle w:val="5"/>
            </w:pPr>
          </w:p>
        </w:tc>
        <w:tc>
          <w:tcPr>
            <w:tcW w:w="1999" w:type="pct"/>
            <w:vAlign w:val="center"/>
          </w:tcPr>
          <w:p w14:paraId="35D0E6FF">
            <w:pPr>
              <w:pStyle w:val="5"/>
            </w:pPr>
            <w:r>
              <w:rPr>
                <w:rFonts w:hint="eastAsia"/>
                <w:lang w:bidi="ar"/>
              </w:rPr>
              <w:t>石化能源消费量</w:t>
            </w:r>
          </w:p>
        </w:tc>
        <w:tc>
          <w:tcPr>
            <w:tcW w:w="1999" w:type="pct"/>
          </w:tcPr>
          <w:p w14:paraId="230C69E1">
            <w:pPr>
              <w:pStyle w:val="5"/>
              <w:rPr>
                <w:lang w:bidi="ar"/>
              </w:rPr>
            </w:pPr>
            <m:oMathPara>
              <m:oMath>
                <m:sSub>
                  <m:sSubPr>
                    <m:ctrlPr>
                      <w:rPr>
                        <w:rFonts w:ascii="Cambria Math" w:hAnsi="Cambria Math"/>
                        <w:i/>
                      </w:rPr>
                    </m:ctrlPr>
                  </m:sSubPr>
                  <m:e>
                    <m:r>
                      <m:rPr/>
                      <w:rPr>
                        <w:rFonts w:hint="eastAsia" w:ascii="Cambria Math" w:hAnsi="Cambria Math"/>
                      </w:rPr>
                      <m:t>x</m:t>
                    </m:r>
                    <m:ctrlPr>
                      <w:rPr>
                        <w:rFonts w:ascii="Cambria Math" w:hAnsi="Cambria Math"/>
                        <w:i/>
                      </w:rPr>
                    </m:ctrlPr>
                  </m:e>
                  <m:sub>
                    <m:r>
                      <m:rPr/>
                      <w:rPr>
                        <w:rFonts w:ascii="Cambria Math" w:hAnsi="Cambria Math"/>
                      </w:rPr>
                      <m:t>19</m:t>
                    </m:r>
                    <m:ctrlPr>
                      <w:rPr>
                        <w:rFonts w:ascii="Cambria Math" w:hAnsi="Cambria Math"/>
                        <w:i/>
                      </w:rPr>
                    </m:ctrlPr>
                  </m:sub>
                </m:sSub>
              </m:oMath>
            </m:oMathPara>
          </w:p>
        </w:tc>
      </w:tr>
      <w:tr w14:paraId="54E888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trPr>
        <w:tc>
          <w:tcPr>
            <w:tcW w:w="1001" w:type="pct"/>
            <w:vAlign w:val="center"/>
          </w:tcPr>
          <w:p w14:paraId="773A2935">
            <w:pPr>
              <w:pStyle w:val="5"/>
            </w:pPr>
            <w:r>
              <w:rPr>
                <w:rFonts w:hint="eastAsia"/>
              </w:rPr>
              <w:t>因变量</w:t>
            </w:r>
          </w:p>
        </w:tc>
        <w:tc>
          <w:tcPr>
            <w:tcW w:w="1999" w:type="pct"/>
            <w:vAlign w:val="center"/>
          </w:tcPr>
          <w:p w14:paraId="0D4BD629">
            <w:pPr>
              <w:pStyle w:val="5"/>
              <w:rPr>
                <w:lang w:bidi="ar"/>
              </w:rPr>
            </w:pPr>
            <w:r>
              <w:rPr>
                <w:rFonts w:hint="eastAsia"/>
                <w:lang w:bidi="ar"/>
              </w:rPr>
              <w:t>碳排放总量</w:t>
            </w:r>
          </w:p>
        </w:tc>
        <w:tc>
          <w:tcPr>
            <w:tcW w:w="1999" w:type="pct"/>
          </w:tcPr>
          <w:p w14:paraId="316398C5">
            <w:pPr>
              <w:pStyle w:val="5"/>
              <w:rPr>
                <w:vertAlign w:val="subscript"/>
              </w:rPr>
            </w:pPr>
            <w:r>
              <w:rPr>
                <w:rFonts w:hint="eastAsia"/>
              </w:rPr>
              <w:t>CO</w:t>
            </w:r>
            <w:r>
              <w:rPr>
                <w:vertAlign w:val="subscript"/>
              </w:rPr>
              <w:t>2</w:t>
            </w:r>
          </w:p>
        </w:tc>
      </w:tr>
      <w:tr w14:paraId="3AD7D4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trPr>
        <w:tc>
          <w:tcPr>
            <w:tcW w:w="5000" w:type="pct"/>
            <w:gridSpan w:val="3"/>
            <w:tcBorders>
              <w:bottom w:val="single" w:color="auto" w:sz="12" w:space="0"/>
            </w:tcBorders>
            <w:vAlign w:val="center"/>
          </w:tcPr>
          <w:p w14:paraId="2B6ACA18">
            <w:pPr>
              <w:pStyle w:val="5"/>
              <w:jc w:val="left"/>
            </w:pPr>
            <w:r>
              <w:rPr>
                <w:rFonts w:hint="eastAsia"/>
              </w:rPr>
              <w:t>注：其中</w:t>
            </w:r>
            <m:oMath>
              <m:r>
                <m:rPr/>
                <w:rPr>
                  <w:rFonts w:hint="eastAsia" w:ascii="Cambria Math" w:hAnsi="Cambria Math"/>
                </w:rPr>
                <m:t>j</m:t>
              </m:r>
            </m:oMath>
            <w:r>
              <w:rPr>
                <w:rFonts w:hint="eastAsia"/>
              </w:rPr>
              <w:t>分别代表农林、能源供应、工业、交通、建筑和居民部门</w:t>
            </w:r>
          </w:p>
        </w:tc>
      </w:tr>
    </w:tbl>
    <w:p w14:paraId="1EE93C42">
      <w:pPr>
        <w:ind w:firstLine="480"/>
      </w:pPr>
      <w:r>
        <w:rPr>
          <w:rFonts w:hint="eastAsia"/>
        </w:rPr>
        <w:t>诚然，上表所列的指标库中的指标不仅能够反映</w:t>
      </w:r>
      <w:r>
        <w:t>各部门碳排放状况</w:t>
      </w:r>
      <w:r>
        <w:rPr>
          <w:rFonts w:hint="eastAsia"/>
        </w:rPr>
        <w:t>而且有利于展开后续特定情境的异质性研究（如人口增速下降、经济迟缓，新能源科技迭新等情境下碳排放预测），但是总体也存在指标冗杂和失效的弊端。为了更扎实的展开后续研究，团队将各指标分别对碳排放总量进行相关性分析，分析发现碳排放总量与自变量X</w:t>
      </w:r>
      <w:r>
        <w:rPr>
          <w:rFonts w:hint="eastAsia"/>
          <w:vertAlign w:val="subscript"/>
        </w:rPr>
        <w:t>4</w:t>
      </w:r>
      <w:r>
        <w:rPr>
          <w:rFonts w:hint="eastAsia"/>
        </w:rPr>
        <w:t>, X</w:t>
      </w:r>
      <w:r>
        <w:rPr>
          <w:rFonts w:hint="eastAsia"/>
          <w:vertAlign w:val="subscript"/>
        </w:rPr>
        <w:t>8</w:t>
      </w:r>
      <w:r>
        <w:rPr>
          <w:rFonts w:hint="eastAsia"/>
        </w:rPr>
        <w:t>, X</w:t>
      </w:r>
      <w:r>
        <w:rPr>
          <w:rFonts w:hint="eastAsia"/>
          <w:vertAlign w:val="subscript"/>
        </w:rPr>
        <w:t>10-6</w:t>
      </w:r>
      <w:r>
        <w:rPr>
          <w:rFonts w:hint="eastAsia"/>
        </w:rPr>
        <w:t>, X</w:t>
      </w:r>
      <w:r>
        <w:rPr>
          <w:rFonts w:hint="eastAsia"/>
          <w:vertAlign w:val="subscript"/>
        </w:rPr>
        <w:t>11-3</w:t>
      </w:r>
      <w:r>
        <w:rPr>
          <w:rFonts w:hint="eastAsia"/>
        </w:rPr>
        <w:t>, X</w:t>
      </w:r>
      <w:r>
        <w:rPr>
          <w:rFonts w:hint="eastAsia"/>
          <w:vertAlign w:val="subscript"/>
        </w:rPr>
        <w:t>11-4</w:t>
      </w:r>
      <w:r>
        <w:rPr>
          <w:rFonts w:hint="eastAsia"/>
        </w:rPr>
        <w:t>, X</w:t>
      </w:r>
      <w:r>
        <w:rPr>
          <w:rFonts w:hint="eastAsia"/>
          <w:vertAlign w:val="subscript"/>
        </w:rPr>
        <w:t>11-5</w:t>
      </w:r>
      <w:r>
        <w:rPr>
          <w:rFonts w:hint="eastAsia"/>
        </w:rPr>
        <w:t>, X</w:t>
      </w:r>
      <w:r>
        <w:rPr>
          <w:rFonts w:hint="eastAsia"/>
          <w:vertAlign w:val="subscript"/>
        </w:rPr>
        <w:t>11-6</w:t>
      </w:r>
      <w:r>
        <w:rPr>
          <w:rFonts w:hint="eastAsia"/>
        </w:rPr>
        <w:t>, X</w:t>
      </w:r>
      <w:r>
        <w:rPr>
          <w:rFonts w:hint="eastAsia"/>
          <w:vertAlign w:val="subscript"/>
        </w:rPr>
        <w:t>18-1</w:t>
      </w:r>
      <w:r>
        <w:rPr>
          <w:rFonts w:hint="eastAsia"/>
        </w:rPr>
        <w:t>, X</w:t>
      </w:r>
      <w:r>
        <w:rPr>
          <w:rFonts w:hint="eastAsia"/>
          <w:vertAlign w:val="subscript"/>
        </w:rPr>
        <w:t>18-2</w:t>
      </w:r>
      <w:r>
        <w:rPr>
          <w:rFonts w:hint="eastAsia"/>
        </w:rPr>
        <w:t>, X</w:t>
      </w:r>
      <w:r>
        <w:rPr>
          <w:rFonts w:hint="eastAsia"/>
          <w:vertAlign w:val="subscript"/>
        </w:rPr>
        <w:t>18-4</w:t>
      </w:r>
      <w:r>
        <w:rPr>
          <w:rFonts w:hint="eastAsia"/>
        </w:rPr>
        <w:t>, X</w:t>
      </w:r>
      <w:r>
        <w:rPr>
          <w:rFonts w:hint="eastAsia"/>
          <w:vertAlign w:val="subscript"/>
        </w:rPr>
        <w:t>18-6</w:t>
      </w:r>
      <w:r>
        <w:rPr>
          <w:rFonts w:hint="eastAsia"/>
        </w:rPr>
        <w:t>, X</w:t>
      </w:r>
      <w:r>
        <w:rPr>
          <w:rFonts w:hint="eastAsia"/>
          <w:vertAlign w:val="subscript"/>
        </w:rPr>
        <w:t>19</w:t>
      </w:r>
      <w:r>
        <w:rPr>
          <w:rFonts w:hint="eastAsia"/>
        </w:rPr>
        <w:t>共12项之间的相关关系系数值呈现出显著性，且可以进一步做回归预测。如下公式：</w:t>
      </w:r>
    </w:p>
    <w:p w14:paraId="02D55C6A">
      <w:pPr>
        <w:ind w:firstLine="2400" w:firstLineChars="1000"/>
        <w:rPr>
          <w:szCs w:val="24"/>
        </w:rPr>
      </w:pPr>
      <m:oMath>
        <m:sSub>
          <m:sSubPr>
            <m:ctrlPr>
              <w:rPr>
                <w:rFonts w:ascii="Cambria Math" w:hAnsi="Cambria Math"/>
                <w:i/>
                <w:szCs w:val="24"/>
              </w:rPr>
            </m:ctrlPr>
          </m:sSubPr>
          <m:e>
            <m:r>
              <m:rPr/>
              <w:rPr>
                <w:rFonts w:ascii="Cambria Math" w:hAnsi="Cambria Math"/>
                <w:szCs w:val="24"/>
              </w:rPr>
              <m:t>CO</m:t>
            </m:r>
            <m:ctrlPr>
              <w:rPr>
                <w:rFonts w:ascii="Cambria Math" w:hAnsi="Cambria Math"/>
                <w:i/>
                <w:szCs w:val="24"/>
              </w:rPr>
            </m:ctrlPr>
          </m:e>
          <m:sub>
            <m:r>
              <m:rPr/>
              <w:rPr>
                <w:rFonts w:ascii="Cambria Math" w:hAnsi="Cambria Math"/>
                <w:szCs w:val="24"/>
              </w:rPr>
              <m:t>2</m:t>
            </m:r>
            <m:ctrlPr>
              <w:rPr>
                <w:rFonts w:ascii="Cambria Math" w:hAnsi="Cambria Math"/>
                <w:i/>
                <w:szCs w:val="24"/>
              </w:rPr>
            </m:ctrlPr>
          </m:sub>
        </m:sSub>
        <m:r>
          <m:rPr/>
          <w:rPr>
            <w:rFonts w:ascii="Cambria Math" w:hAnsi="Cambria Math"/>
            <w:szCs w:val="24"/>
          </w:rPr>
          <m:t>=6.45</m:t>
        </m:r>
        <m:sSub>
          <m:sSubPr>
            <m:ctrlPr>
              <w:rPr>
                <w:rFonts w:ascii="Cambria Math" w:hAnsi="Cambria Math"/>
                <w:i/>
                <w:kern w:val="0"/>
                <w:szCs w:val="24"/>
              </w:rPr>
            </m:ctrlPr>
          </m:sSubPr>
          <m:e>
            <m:r>
              <m:rPr/>
              <w:rPr>
                <w:rFonts w:hint="eastAsia" w:ascii="Cambria Math" w:hAnsi="Cambria Math"/>
                <w:szCs w:val="24"/>
              </w:rPr>
              <m:t>x</m:t>
            </m:r>
            <m:ctrlPr>
              <w:rPr>
                <w:rFonts w:ascii="Cambria Math" w:hAnsi="Cambria Math"/>
                <w:i/>
                <w:kern w:val="0"/>
                <w:szCs w:val="24"/>
              </w:rPr>
            </m:ctrlPr>
          </m:e>
          <m:sub>
            <m:r>
              <m:rPr/>
              <w:rPr>
                <w:rFonts w:ascii="Cambria Math" w:hAnsi="Cambria Math"/>
                <w:szCs w:val="24"/>
              </w:rPr>
              <m:t>15</m:t>
            </m:r>
            <m:ctrlPr>
              <w:rPr>
                <w:rFonts w:ascii="Cambria Math" w:hAnsi="Cambria Math"/>
                <w:i/>
                <w:kern w:val="0"/>
                <w:szCs w:val="24"/>
              </w:rPr>
            </m:ctrlPr>
          </m:sub>
        </m:sSub>
        <m:r>
          <m:rPr/>
          <w:rPr>
            <w:rFonts w:ascii="Cambria Math" w:hAnsi="Cambria Math"/>
            <w:kern w:val="0"/>
            <w:szCs w:val="24"/>
          </w:rPr>
          <m:t>+1.44</m:t>
        </m:r>
        <m:sSub>
          <m:sSubPr>
            <m:ctrlPr>
              <w:rPr>
                <w:rFonts w:ascii="Cambria Math" w:hAnsi="Cambria Math"/>
                <w:i/>
                <w:kern w:val="0"/>
                <w:szCs w:val="24"/>
              </w:rPr>
            </m:ctrlPr>
          </m:sSubPr>
          <m:e>
            <m:r>
              <m:rPr/>
              <w:rPr>
                <w:rFonts w:hint="eastAsia" w:ascii="Cambria Math" w:hAnsi="Cambria Math"/>
                <w:szCs w:val="24"/>
              </w:rPr>
              <m:t>x</m:t>
            </m:r>
            <m:ctrlPr>
              <w:rPr>
                <w:rFonts w:ascii="Cambria Math" w:hAnsi="Cambria Math"/>
                <w:i/>
                <w:kern w:val="0"/>
                <w:szCs w:val="24"/>
              </w:rPr>
            </m:ctrlPr>
          </m:e>
          <m:sub>
            <m:r>
              <m:rPr/>
              <w:rPr>
                <w:rFonts w:ascii="Cambria Math" w:hAnsi="Cambria Math"/>
                <w:szCs w:val="24"/>
              </w:rPr>
              <m:t>18−6</m:t>
            </m:r>
            <m:ctrlPr>
              <w:rPr>
                <w:rFonts w:ascii="Cambria Math" w:hAnsi="Cambria Math"/>
                <w:i/>
                <w:kern w:val="0"/>
                <w:szCs w:val="24"/>
              </w:rPr>
            </m:ctrlPr>
          </m:sub>
        </m:sSub>
        <m:r>
          <m:rPr/>
          <w:rPr>
            <w:rFonts w:ascii="Cambria Math" w:hAnsi="Cambria Math"/>
            <w:kern w:val="0"/>
            <w:szCs w:val="24"/>
          </w:rPr>
          <m:t>+6.22</m:t>
        </m:r>
        <m:sSub>
          <m:sSubPr>
            <m:ctrlPr>
              <w:rPr>
                <w:rFonts w:ascii="Cambria Math" w:hAnsi="Cambria Math"/>
                <w:i/>
                <w:kern w:val="0"/>
                <w:szCs w:val="24"/>
              </w:rPr>
            </m:ctrlPr>
          </m:sSubPr>
          <m:e>
            <m:r>
              <m:rPr/>
              <w:rPr>
                <w:rFonts w:hint="eastAsia" w:ascii="Cambria Math" w:hAnsi="Cambria Math"/>
                <w:szCs w:val="24"/>
              </w:rPr>
              <m:t>x</m:t>
            </m:r>
            <m:ctrlPr>
              <w:rPr>
                <w:rFonts w:ascii="Cambria Math" w:hAnsi="Cambria Math"/>
                <w:i/>
                <w:kern w:val="0"/>
                <w:szCs w:val="24"/>
              </w:rPr>
            </m:ctrlPr>
          </m:e>
          <m:sub>
            <m:r>
              <m:rPr/>
              <w:rPr>
                <w:rFonts w:ascii="Cambria Math" w:hAnsi="Cambria Math"/>
                <w:szCs w:val="24"/>
              </w:rPr>
              <m:t>19</m:t>
            </m:r>
            <m:ctrlPr>
              <w:rPr>
                <w:rFonts w:ascii="Cambria Math" w:hAnsi="Cambria Math"/>
                <w:i/>
                <w:kern w:val="0"/>
                <w:szCs w:val="24"/>
              </w:rPr>
            </m:ctrlPr>
          </m:sub>
        </m:sSub>
        <m:r>
          <m:rPr/>
          <w:rPr>
            <w:rFonts w:ascii="Cambria Math" w:hAnsi="Cambria Math"/>
            <w:kern w:val="0"/>
            <w:szCs w:val="24"/>
          </w:rPr>
          <m:t>+ε</m:t>
        </m:r>
      </m:oMath>
      <w:r>
        <w:rPr>
          <w:rFonts w:hint="eastAsia"/>
          <w:kern w:val="0"/>
          <w:szCs w:val="24"/>
        </w:rPr>
        <w:t xml:space="preserve"> </w:t>
      </w:r>
      <w:r>
        <w:rPr>
          <w:kern w:val="0"/>
          <w:szCs w:val="24"/>
        </w:rPr>
        <w:t xml:space="preserve">                  </w:t>
      </w:r>
      <w:r>
        <w:rPr>
          <w:rFonts w:hint="eastAsia"/>
          <w:kern w:val="0"/>
          <w:szCs w:val="24"/>
        </w:rPr>
        <w:t>（1）</w:t>
      </w:r>
    </w:p>
    <w:p w14:paraId="7D938A58">
      <w:pPr>
        <w:ind w:firstLine="0" w:firstLineChars="0"/>
      </w:pPr>
    </w:p>
    <w:p w14:paraId="202F5971">
      <w:pPr>
        <w:ind w:firstLine="480"/>
        <w:rPr>
          <w:sz w:val="21"/>
          <w:szCs w:val="20"/>
        </w:rPr>
      </w:pPr>
      <w:r>
        <w:rPr>
          <w:rFonts w:hint="eastAsia"/>
        </w:rPr>
        <w:t>通过对Adj. R-squared=0.956可以发现，部分指标如单位GDP能耗X</w:t>
      </w:r>
      <w:r>
        <w:rPr>
          <w:rFonts w:hint="eastAsia"/>
          <w:vertAlign w:val="subscript"/>
        </w:rPr>
        <w:t>15</w:t>
      </w:r>
      <w:r>
        <w:rPr>
          <w:rFonts w:hint="eastAsia"/>
        </w:rPr>
        <w:t>、石化能源消费量X</w:t>
      </w:r>
      <w:r>
        <w:rPr>
          <w:rFonts w:hint="eastAsia"/>
          <w:vertAlign w:val="subscript"/>
        </w:rPr>
        <w:t>19</w:t>
      </w:r>
      <w:r>
        <w:rPr>
          <w:rFonts w:hint="eastAsia"/>
        </w:rPr>
        <w:t>、居民生活部门清洁能源消费量X</w:t>
      </w:r>
      <w:r>
        <w:rPr>
          <w:rFonts w:hint="eastAsia"/>
          <w:vertAlign w:val="subscript"/>
        </w:rPr>
        <w:t>18—6</w:t>
      </w:r>
      <w:r>
        <w:rPr>
          <w:rFonts w:hint="eastAsia"/>
        </w:rPr>
        <w:t>的变化（同比或环比）可以成为碳排放量</w:t>
      </w:r>
      <w:r>
        <w:rPr>
          <w:kern w:val="24"/>
          <w:szCs w:val="24"/>
        </w:rPr>
        <w:t>预测的基础</w:t>
      </w:r>
      <w:r>
        <w:rPr>
          <w:rFonts w:hint="eastAsia"/>
          <w:kern w:val="24"/>
          <w:szCs w:val="24"/>
        </w:rPr>
        <w:t>且效果符合预期。</w:t>
      </w:r>
    </w:p>
    <w:p w14:paraId="5387071C">
      <w:pPr>
        <w:ind w:firstLine="0" w:firstLineChars="0"/>
        <w:rPr>
          <w:b/>
          <w:bCs/>
        </w:rPr>
      </w:pPr>
      <w:r>
        <w:rPr>
          <w:rFonts w:hint="eastAsia"/>
          <w:b/>
          <w:bCs/>
        </w:rPr>
        <w:t>5</w:t>
      </w:r>
      <w:r>
        <w:rPr>
          <w:b/>
          <w:bCs/>
        </w:rPr>
        <w:t>.1.2 区域</w:t>
      </w:r>
      <w:r>
        <w:rPr>
          <w:rFonts w:hint="eastAsia"/>
          <w:b/>
          <w:bCs/>
        </w:rPr>
        <w:t>碳排放量以及经济、人口、能源消费量的现状分析</w:t>
      </w:r>
    </w:p>
    <w:p w14:paraId="7E28ACD0">
      <w:pPr>
        <w:ind w:firstLine="482"/>
      </w:pPr>
      <w:r>
        <w:rPr>
          <w:b/>
          <w:bCs/>
        </w:rPr>
        <w:t>碳排放总量描述性分析</w:t>
      </w:r>
      <w:r>
        <w:t>：该区域碳排放总量如图</w:t>
      </w:r>
      <w:r>
        <w:rPr>
          <w:rFonts w:hint="eastAsia"/>
        </w:rPr>
        <w:t>1</w:t>
      </w:r>
      <w:r>
        <w:t>所示。</w:t>
      </w:r>
      <w:r>
        <w:rPr>
          <w:rFonts w:hint="eastAsia"/>
        </w:rPr>
        <w:t>2</w:t>
      </w:r>
      <w:r>
        <w:t>010年，该区域碳排放总量达</w:t>
      </w:r>
      <w:r>
        <w:rPr>
          <w:rFonts w:hint="eastAsia"/>
        </w:rPr>
        <w:t>1</w:t>
      </w:r>
      <w:r>
        <w:t>4.85亿吨，而到</w:t>
      </w:r>
      <w:r>
        <w:rPr>
          <w:rFonts w:hint="eastAsia"/>
        </w:rPr>
        <w:t>2</w:t>
      </w:r>
      <w:r>
        <w:t>020年，该区域碳排放总量</w:t>
      </w:r>
      <w:r>
        <w:rPr>
          <w:rFonts w:hint="eastAsia"/>
        </w:rPr>
        <w:t>增长至1</w:t>
      </w:r>
      <w:r>
        <w:t>7.72亿吨，年均符合增长</w:t>
      </w:r>
      <w:r>
        <w:rPr>
          <w:rFonts w:hint="eastAsia"/>
        </w:rPr>
        <w:t>率为1</w:t>
      </w:r>
      <w:r>
        <w:t>.78%。十二五期间碳排放总量达</w:t>
      </w:r>
      <w:r>
        <w:rPr>
          <w:rFonts w:hint="eastAsia"/>
        </w:rPr>
        <w:t>8</w:t>
      </w:r>
      <w:r>
        <w:t>5.50亿吨，而十三五期间碳排放总量达</w:t>
      </w:r>
      <w:r>
        <w:rPr>
          <w:rFonts w:hint="eastAsia"/>
        </w:rPr>
        <w:t>8</w:t>
      </w:r>
      <w:r>
        <w:t>8.75亿吨，碳排放总量相比上一个五年计划增长</w:t>
      </w:r>
      <w:r>
        <w:rPr>
          <w:rFonts w:hint="eastAsia"/>
        </w:rPr>
        <w:t>3</w:t>
      </w:r>
      <w:r>
        <w:t>.80%。整体来看，该区域碳排放总量虽在十二五期间呈现缓慢上升趋势，但在十三五期间已基本处于平稳水平，保持窄幅震荡。</w:t>
      </w:r>
      <w:r>
        <w:rPr>
          <w:rFonts w:hint="eastAsia"/>
        </w:rPr>
        <w:t>这显示了该区域在保持经济增长的同时，减排工作亦卓有成效，为未来实现双碳目标奠定了坚实的基础。</w:t>
      </w:r>
    </w:p>
    <w:p w14:paraId="797A9A20">
      <w:pPr>
        <w:keepNext/>
        <w:ind w:firstLine="0" w:firstLineChars="0"/>
        <w:jc w:val="center"/>
      </w:pPr>
      <w:r>
        <w:drawing>
          <wp:inline distT="0" distB="0" distL="0" distR="0">
            <wp:extent cx="5486400" cy="2743200"/>
            <wp:effectExtent l="0" t="0" r="0" b="0"/>
            <wp:docPr id="207613507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F77B37C">
      <w:pPr>
        <w:pStyle w:val="5"/>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w:t>
      </w:r>
      <w:r>
        <w:fldChar w:fldCharType="end"/>
      </w:r>
      <w:r>
        <w:t xml:space="preserve"> 碳排放总量</w:t>
      </w:r>
    </w:p>
    <w:p w14:paraId="5E2D919C">
      <w:pPr>
        <w:ind w:firstLine="482"/>
        <w:rPr>
          <w:kern w:val="24"/>
          <w:szCs w:val="24"/>
        </w:rPr>
      </w:pPr>
      <w:r>
        <w:rPr>
          <w:rFonts w:hint="eastAsia"/>
          <w:b/>
          <w:bCs/>
          <w:kern w:val="24"/>
          <w:szCs w:val="24"/>
        </w:rPr>
        <w:t>基于SEM结构方程模型的因素贡献分析</w:t>
      </w:r>
      <w:r>
        <w:rPr>
          <w:rFonts w:hint="eastAsia"/>
          <w:kern w:val="24"/>
          <w:szCs w:val="24"/>
        </w:rPr>
        <w:t>：为了深入分析对该区域碳排放量产生影响的各因素及其贡献，团队在参考各指标与碳排放总量进行相关分析得出的皮尔逊相关系数的基础上，进一步融入了</w:t>
      </w:r>
      <w:r>
        <w:rPr>
          <w:kern w:val="24"/>
          <w:szCs w:val="24"/>
        </w:rPr>
        <w:t>SEM</w:t>
      </w:r>
      <w:r>
        <w:rPr>
          <w:rFonts w:hint="eastAsia"/>
          <w:kern w:val="24"/>
          <w:szCs w:val="24"/>
        </w:rPr>
        <w:t>结构方程模型进行探究其内部关系。</w:t>
      </w:r>
      <w:r>
        <w:rPr>
          <w:kern w:val="24"/>
          <w:szCs w:val="24"/>
        </w:rPr>
        <w:t>结构方程模型就是一种将两个或多个结构模型联合起来，以实现对多元关系进行建模的统计框架，其可以解决相关性分析中无法得到的因果关系以及区别直接和间接作用</w:t>
      </w:r>
      <w:r>
        <w:rPr>
          <w:rFonts w:hint="eastAsia"/>
          <w:kern w:val="24"/>
          <w:szCs w:val="24"/>
        </w:rPr>
        <w:t>。更好的弥补单纯考虑相关系数而疏忽关键数据的弊端。团队通过查阅文献和政府工作报告、企业双碳转型披露等资料建立如下SEM初始概念模型，</w:t>
      </w:r>
    </w:p>
    <w:p w14:paraId="1537E75D">
      <w:pPr>
        <w:keepNext/>
        <w:ind w:firstLine="480"/>
        <w:jc w:val="center"/>
      </w:pPr>
      <w:r>
        <w:rPr>
          <w:szCs w:val="24"/>
        </w:rPr>
        <w:drawing>
          <wp:inline distT="0" distB="0" distL="0" distR="0">
            <wp:extent cx="5163820" cy="3303905"/>
            <wp:effectExtent l="0" t="0" r="0" b="0"/>
            <wp:docPr id="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2"/>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63820" cy="3304285"/>
                    </a:xfrm>
                    <a:prstGeom prst="rect">
                      <a:avLst/>
                    </a:prstGeom>
                    <a:noFill/>
                    <a:ln>
                      <a:noFill/>
                    </a:ln>
                  </pic:spPr>
                </pic:pic>
              </a:graphicData>
            </a:graphic>
          </wp:inline>
        </w:drawing>
      </w:r>
    </w:p>
    <w:p w14:paraId="1CB39E86">
      <w:pPr>
        <w:pStyle w:val="5"/>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2</w:t>
      </w:r>
      <w:r>
        <w:fldChar w:fldCharType="end"/>
      </w:r>
      <w:r>
        <w:t xml:space="preserve"> </w:t>
      </w:r>
      <w:r>
        <w:rPr>
          <w:rFonts w:hint="eastAsia"/>
        </w:rPr>
        <w:t>SEM初始概念模型</w:t>
      </w:r>
    </w:p>
    <w:p w14:paraId="31D535F3">
      <w:pPr>
        <w:ind w:firstLine="480"/>
      </w:pPr>
      <w:r>
        <w:rPr>
          <w:rFonts w:hint="eastAsia"/>
        </w:rPr>
        <w:t>因为人口、区域经济、能源消费量是多个潜在变量（椭圆形），所以不能直接量化，而需要多指标衡量。故可以通过结构方程模型的“路径分析</w:t>
      </w:r>
      <w:r>
        <w:t>β</w:t>
      </w:r>
      <w:r>
        <w:rPr>
          <w:rFonts w:hint="eastAsia"/>
        </w:rPr>
        <w:t>+测量关系</w:t>
      </w:r>
      <w:r>
        <w:t>α</w:t>
      </w:r>
      <w:r>
        <w:rPr>
          <w:rFonts w:hint="eastAsia"/>
        </w:rPr>
        <w:t>”完成，即通过用二级指标量化一级指标再找到各一级指标之间的路径关系。团队通过Spass+AMOS软件完成数据分析和拟合优度判别，得到如下表所示的分析结果。</w:t>
      </w:r>
    </w:p>
    <w:p w14:paraId="5B8378C0">
      <w:pPr>
        <w:pStyle w:val="5"/>
        <w:keepNext/>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5</w:t>
      </w:r>
      <w:r>
        <w:fldChar w:fldCharType="end"/>
      </w:r>
      <w:r>
        <w:t xml:space="preserve"> </w:t>
      </w:r>
      <w:r>
        <w:rPr>
          <w:rFonts w:hint="eastAsia"/>
        </w:rPr>
        <w:t>拟合优度判别表</w:t>
      </w:r>
    </w:p>
    <w:tbl>
      <w:tblPr>
        <w:tblStyle w:val="19"/>
        <w:tblW w:w="4994"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08"/>
        <w:gridCol w:w="1308"/>
        <w:gridCol w:w="1492"/>
        <w:gridCol w:w="1212"/>
        <w:gridCol w:w="1145"/>
        <w:gridCol w:w="3096"/>
      </w:tblGrid>
      <w:tr w14:paraId="6DB6C6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684" w:type="pct"/>
            <w:tcBorders>
              <w:top w:val="single" w:color="auto" w:sz="12" w:space="0"/>
              <w:bottom w:val="single" w:color="auto" w:sz="12" w:space="0"/>
            </w:tcBorders>
            <w:noWrap/>
            <w:vAlign w:val="center"/>
          </w:tcPr>
          <w:p w14:paraId="5DBC56E8">
            <w:pPr>
              <w:pStyle w:val="5"/>
            </w:pPr>
            <w:r>
              <w:t>X</w:t>
            </w:r>
          </w:p>
        </w:tc>
        <w:tc>
          <w:tcPr>
            <w:tcW w:w="684" w:type="pct"/>
            <w:tcBorders>
              <w:top w:val="single" w:color="auto" w:sz="12" w:space="0"/>
              <w:bottom w:val="single" w:color="auto" w:sz="12" w:space="0"/>
            </w:tcBorders>
            <w:noWrap/>
            <w:vAlign w:val="center"/>
          </w:tcPr>
          <w:p w14:paraId="1D5EF779">
            <w:pPr>
              <w:pStyle w:val="5"/>
            </w:pPr>
            <w:r>
              <w:t>Y</w:t>
            </w:r>
          </w:p>
        </w:tc>
        <w:tc>
          <w:tcPr>
            <w:tcW w:w="780" w:type="pct"/>
            <w:tcBorders>
              <w:top w:val="single" w:color="auto" w:sz="12" w:space="0"/>
              <w:bottom w:val="single" w:color="auto" w:sz="12" w:space="0"/>
            </w:tcBorders>
            <w:noWrap/>
            <w:vAlign w:val="center"/>
          </w:tcPr>
          <w:p w14:paraId="5F4893BA">
            <w:pPr>
              <w:pStyle w:val="5"/>
            </w:pPr>
            <w:r>
              <w:t>标准误</w:t>
            </w:r>
            <w:r>
              <w:rPr>
                <w:rFonts w:hint="eastAsia"/>
              </w:rPr>
              <w:t>差</w:t>
            </w:r>
          </w:p>
        </w:tc>
        <w:tc>
          <w:tcPr>
            <w:tcW w:w="634" w:type="pct"/>
            <w:tcBorders>
              <w:top w:val="single" w:color="auto" w:sz="12" w:space="0"/>
              <w:bottom w:val="single" w:color="auto" w:sz="12" w:space="0"/>
            </w:tcBorders>
            <w:noWrap/>
            <w:vAlign w:val="center"/>
          </w:tcPr>
          <w:p w14:paraId="7E583E4D">
            <w:pPr>
              <w:pStyle w:val="5"/>
            </w:pPr>
            <w:r>
              <w:t>z</w:t>
            </w:r>
          </w:p>
        </w:tc>
        <w:tc>
          <w:tcPr>
            <w:tcW w:w="599" w:type="pct"/>
            <w:tcBorders>
              <w:top w:val="single" w:color="auto" w:sz="12" w:space="0"/>
              <w:bottom w:val="single" w:color="auto" w:sz="12" w:space="0"/>
            </w:tcBorders>
            <w:noWrap/>
            <w:vAlign w:val="center"/>
          </w:tcPr>
          <w:p w14:paraId="1A5B1A38">
            <w:pPr>
              <w:pStyle w:val="5"/>
            </w:pPr>
            <w:r>
              <w:t>p</w:t>
            </w:r>
          </w:p>
        </w:tc>
        <w:tc>
          <w:tcPr>
            <w:tcW w:w="1619" w:type="pct"/>
            <w:tcBorders>
              <w:top w:val="single" w:color="auto" w:sz="12" w:space="0"/>
              <w:bottom w:val="single" w:color="auto" w:sz="12" w:space="0"/>
            </w:tcBorders>
            <w:noWrap/>
            <w:vAlign w:val="center"/>
          </w:tcPr>
          <w:p w14:paraId="34098EC4">
            <w:pPr>
              <w:pStyle w:val="5"/>
            </w:pPr>
            <w:r>
              <w:t>标准估计系数(Std. Estimate)</w:t>
            </w:r>
          </w:p>
        </w:tc>
      </w:tr>
      <w:tr w14:paraId="0AF58C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684" w:type="pct"/>
            <w:tcBorders>
              <w:top w:val="single" w:color="auto" w:sz="12" w:space="0"/>
            </w:tcBorders>
            <w:noWrap/>
            <w:vAlign w:val="center"/>
          </w:tcPr>
          <w:p w14:paraId="17E7198B">
            <w:pPr>
              <w:pStyle w:val="5"/>
            </w:pPr>
            <w:r>
              <w:t>Factor3</w:t>
            </w:r>
          </w:p>
        </w:tc>
        <w:tc>
          <w:tcPr>
            <w:tcW w:w="684" w:type="pct"/>
            <w:tcBorders>
              <w:top w:val="single" w:color="auto" w:sz="12" w:space="0"/>
            </w:tcBorders>
            <w:noWrap/>
            <w:vAlign w:val="center"/>
          </w:tcPr>
          <w:p w14:paraId="17CBAA29">
            <w:pPr>
              <w:pStyle w:val="5"/>
            </w:pPr>
            <w:r>
              <w:t>Factor2</w:t>
            </w:r>
          </w:p>
        </w:tc>
        <w:tc>
          <w:tcPr>
            <w:tcW w:w="780" w:type="pct"/>
            <w:tcBorders>
              <w:top w:val="single" w:color="auto" w:sz="12" w:space="0"/>
            </w:tcBorders>
            <w:noWrap/>
            <w:vAlign w:val="center"/>
          </w:tcPr>
          <w:p w14:paraId="7B4BB75D">
            <w:pPr>
              <w:pStyle w:val="5"/>
            </w:pPr>
            <w:r>
              <w:t>0.009</w:t>
            </w:r>
          </w:p>
        </w:tc>
        <w:tc>
          <w:tcPr>
            <w:tcW w:w="634" w:type="pct"/>
            <w:tcBorders>
              <w:top w:val="single" w:color="auto" w:sz="12" w:space="0"/>
            </w:tcBorders>
            <w:noWrap/>
            <w:vAlign w:val="center"/>
          </w:tcPr>
          <w:p w14:paraId="22C66E23">
            <w:pPr>
              <w:pStyle w:val="5"/>
            </w:pPr>
            <w:r>
              <w:t>2.196</w:t>
            </w:r>
          </w:p>
        </w:tc>
        <w:tc>
          <w:tcPr>
            <w:tcW w:w="599" w:type="pct"/>
            <w:tcBorders>
              <w:top w:val="single" w:color="auto" w:sz="12" w:space="0"/>
            </w:tcBorders>
            <w:noWrap/>
            <w:vAlign w:val="center"/>
          </w:tcPr>
          <w:p w14:paraId="317BF83A">
            <w:pPr>
              <w:pStyle w:val="5"/>
            </w:pPr>
            <w:r>
              <w:t>0.028</w:t>
            </w:r>
          </w:p>
        </w:tc>
        <w:tc>
          <w:tcPr>
            <w:tcW w:w="1619" w:type="pct"/>
            <w:tcBorders>
              <w:top w:val="single" w:color="auto" w:sz="12" w:space="0"/>
            </w:tcBorders>
            <w:noWrap/>
            <w:vAlign w:val="center"/>
          </w:tcPr>
          <w:p w14:paraId="7BEE95CB">
            <w:pPr>
              <w:pStyle w:val="5"/>
            </w:pPr>
            <w:r>
              <w:t>1.452</w:t>
            </w:r>
          </w:p>
        </w:tc>
      </w:tr>
      <w:tr w14:paraId="66287A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684" w:type="pct"/>
            <w:noWrap/>
            <w:vAlign w:val="center"/>
          </w:tcPr>
          <w:p w14:paraId="092D1807">
            <w:pPr>
              <w:pStyle w:val="5"/>
            </w:pPr>
            <w:r>
              <w:t>Factor4</w:t>
            </w:r>
          </w:p>
        </w:tc>
        <w:tc>
          <w:tcPr>
            <w:tcW w:w="684" w:type="pct"/>
            <w:noWrap/>
            <w:vAlign w:val="center"/>
          </w:tcPr>
          <w:p w14:paraId="21FF7E8A">
            <w:pPr>
              <w:pStyle w:val="5"/>
            </w:pPr>
            <w:r>
              <w:t>Factor2</w:t>
            </w:r>
          </w:p>
        </w:tc>
        <w:tc>
          <w:tcPr>
            <w:tcW w:w="780" w:type="pct"/>
            <w:noWrap/>
            <w:vAlign w:val="center"/>
          </w:tcPr>
          <w:p w14:paraId="61A63E3C">
            <w:pPr>
              <w:pStyle w:val="5"/>
            </w:pPr>
            <w:r>
              <w:t>0.014</w:t>
            </w:r>
          </w:p>
        </w:tc>
        <w:tc>
          <w:tcPr>
            <w:tcW w:w="634" w:type="pct"/>
            <w:noWrap/>
            <w:vAlign w:val="center"/>
          </w:tcPr>
          <w:p w14:paraId="41AE764A">
            <w:pPr>
              <w:pStyle w:val="5"/>
            </w:pPr>
            <w:r>
              <w:t>-2.165</w:t>
            </w:r>
          </w:p>
        </w:tc>
        <w:tc>
          <w:tcPr>
            <w:tcW w:w="599" w:type="pct"/>
            <w:noWrap/>
            <w:vAlign w:val="center"/>
          </w:tcPr>
          <w:p w14:paraId="5CFCBD56">
            <w:pPr>
              <w:pStyle w:val="5"/>
            </w:pPr>
            <w:r>
              <w:t>0.03</w:t>
            </w:r>
          </w:p>
        </w:tc>
        <w:tc>
          <w:tcPr>
            <w:tcW w:w="1619" w:type="pct"/>
            <w:noWrap/>
            <w:vAlign w:val="center"/>
          </w:tcPr>
          <w:p w14:paraId="66F87EE1">
            <w:pPr>
              <w:pStyle w:val="5"/>
            </w:pPr>
            <w:r>
              <w:t>-1.474</w:t>
            </w:r>
          </w:p>
        </w:tc>
      </w:tr>
      <w:tr w14:paraId="3D1818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684" w:type="pct"/>
            <w:noWrap/>
            <w:vAlign w:val="center"/>
          </w:tcPr>
          <w:p w14:paraId="39F01E2C">
            <w:pPr>
              <w:pStyle w:val="5"/>
            </w:pPr>
            <w:r>
              <w:t>Factor4</w:t>
            </w:r>
          </w:p>
        </w:tc>
        <w:tc>
          <w:tcPr>
            <w:tcW w:w="684" w:type="pct"/>
            <w:noWrap/>
            <w:vAlign w:val="center"/>
          </w:tcPr>
          <w:p w14:paraId="4BC25520">
            <w:pPr>
              <w:pStyle w:val="5"/>
            </w:pPr>
            <w:r>
              <w:t>Factor3</w:t>
            </w:r>
          </w:p>
        </w:tc>
        <w:tc>
          <w:tcPr>
            <w:tcW w:w="780" w:type="pct"/>
            <w:noWrap/>
            <w:vAlign w:val="center"/>
          </w:tcPr>
          <w:p w14:paraId="79488FFA">
            <w:pPr>
              <w:pStyle w:val="5"/>
            </w:pPr>
            <w:r>
              <w:t>0.029</w:t>
            </w:r>
          </w:p>
        </w:tc>
        <w:tc>
          <w:tcPr>
            <w:tcW w:w="634" w:type="pct"/>
            <w:noWrap/>
            <w:vAlign w:val="center"/>
          </w:tcPr>
          <w:p w14:paraId="6FC8647A">
            <w:pPr>
              <w:pStyle w:val="5"/>
            </w:pPr>
            <w:r>
              <w:t>-2.175</w:t>
            </w:r>
          </w:p>
        </w:tc>
        <w:tc>
          <w:tcPr>
            <w:tcW w:w="599" w:type="pct"/>
            <w:noWrap/>
            <w:vAlign w:val="center"/>
          </w:tcPr>
          <w:p w14:paraId="75C3837E">
            <w:pPr>
              <w:pStyle w:val="5"/>
            </w:pPr>
            <w:r>
              <w:t>0.03</w:t>
            </w:r>
          </w:p>
        </w:tc>
        <w:tc>
          <w:tcPr>
            <w:tcW w:w="1619" w:type="pct"/>
            <w:noWrap/>
            <w:vAlign w:val="center"/>
          </w:tcPr>
          <w:p w14:paraId="68987D9F">
            <w:pPr>
              <w:pStyle w:val="5"/>
            </w:pPr>
            <w:r>
              <w:t>-1.005</w:t>
            </w:r>
          </w:p>
        </w:tc>
      </w:tr>
    </w:tbl>
    <w:p w14:paraId="6072A041">
      <w:pPr>
        <w:ind w:firstLine="480"/>
        <w:rPr>
          <w:kern w:val="24"/>
          <w:szCs w:val="24"/>
        </w:rPr>
      </w:pPr>
      <w:r>
        <w:rPr>
          <w:rFonts w:hint="eastAsia"/>
        </w:rPr>
        <w:t>上表中的协方差的p值是用来判断两个变量之间的相关性是否显著。在统计学中，p值是用来衡量观察到的数据与原假设之间的矛盾程度。如果p值小于设定的显著性水平（通常为0.05），则可以拒绝原假设，认为两个变量之间的相关性是显著的。</w:t>
      </w:r>
    </w:p>
    <w:p w14:paraId="287ABEF2">
      <w:pPr>
        <w:ind w:firstLine="480"/>
        <w:rPr>
          <w:kern w:val="24"/>
          <w:szCs w:val="24"/>
        </w:rPr>
      </w:pPr>
      <w:r>
        <w:rPr>
          <w:rFonts w:hint="eastAsia"/>
          <w:kern w:val="24"/>
          <w:szCs w:val="24"/>
        </w:rPr>
        <w:t>通过上表发现：（1）区域经济—&gt;人口水平上呈现显著性（0.028），此路径有效，其影响系数为1.452，说明区域经济对人口有正向影响，显然，人口涌入经济发达的地区符合经济规律；（2）能源消费量—&gt;人口水平上呈现显著性（0.03），亦说明此路径有效，其影响系数为负的1.474，说明能源消费量对人口有负向影响；（3）能源消费量—&gt;区域经济水平上呈现显著性（0.03），此路径有效，其影响系数为负的1.005，说明能源消费量对区域经济有负向影响，这符合部分学者得出的经济发展和能源消费量呈倒U曲线的结论。</w:t>
      </w:r>
    </w:p>
    <w:p w14:paraId="07FC21E2">
      <w:pPr>
        <w:ind w:firstLine="480"/>
      </w:pPr>
      <w:r>
        <w:rPr>
          <w:rFonts w:hint="eastAsia"/>
          <w:kern w:val="24"/>
          <w:szCs w:val="24"/>
        </w:rPr>
        <w:t>团队进一步将图片优化后并分析，</w:t>
      </w:r>
      <w:r>
        <w:rPr>
          <w:rFonts w:hint="eastAsia"/>
        </w:rPr>
        <w:t>如下图所示。得到人工、区域经济以及能源消费量对碳排放总量的作用分别是-</w:t>
      </w:r>
      <w:r>
        <w:t>0.451</w:t>
      </w:r>
      <w:r>
        <w:rPr>
          <w:rFonts w:hint="eastAsia"/>
        </w:rPr>
        <w:t>、-</w:t>
      </w:r>
      <w:r>
        <w:t>0.583</w:t>
      </w:r>
      <w:r>
        <w:rPr>
          <w:rFonts w:hint="eastAsia"/>
        </w:rPr>
        <w:t>、0</w:t>
      </w:r>
      <w:r>
        <w:t>.773</w:t>
      </w:r>
      <w:r>
        <w:rPr>
          <w:rFonts w:hint="eastAsia"/>
        </w:rPr>
        <w:t>。而促使能源消费量变化的核心指标有各部门的清洁能源消费量占比X18、新能源品种消费量增长率X16、外地调入与非石化源消费量倍X17。次核心的指标是石化能源消费量X19。其中二、三产业消费量X8指标以及农业消费部门、能源保障部门会显著影响区域经济的变化。上述因素在后期都会成为该区域实现碳达峰与碳中和需要面对的主要挑战，为该区域双碳路径规划中差异化的路径选择提供依据。</w:t>
      </w:r>
    </w:p>
    <w:p w14:paraId="6EAC9804">
      <w:pPr>
        <w:keepNext/>
        <w:ind w:firstLine="0" w:firstLineChars="0"/>
      </w:pPr>
      <w:r>
        <w:drawing>
          <wp:inline distT="0" distB="0" distL="0" distR="0">
            <wp:extent cx="5633085" cy="4129405"/>
            <wp:effectExtent l="0" t="0" r="5715" b="4445"/>
            <wp:docPr id="1783763752" name="图片 1783763752" descr="模型结果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63752" name="图片 1783763752" descr="模型结果图 (1)"/>
                    <pic:cNvPicPr>
                      <a:picLocks noChangeAspect="1"/>
                    </pic:cNvPicPr>
                  </pic:nvPicPr>
                  <pic:blipFill>
                    <a:blip r:embed="rId20"/>
                    <a:stretch>
                      <a:fillRect/>
                    </a:stretch>
                  </pic:blipFill>
                  <pic:spPr>
                    <a:xfrm>
                      <a:off x="0" y="0"/>
                      <a:ext cx="5638358" cy="4133262"/>
                    </a:xfrm>
                    <a:prstGeom prst="rect">
                      <a:avLst/>
                    </a:prstGeom>
                  </pic:spPr>
                </pic:pic>
              </a:graphicData>
            </a:graphic>
          </wp:inline>
        </w:drawing>
      </w:r>
    </w:p>
    <w:p w14:paraId="6E50C524">
      <w:pPr>
        <w:pStyle w:val="5"/>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3</w:t>
      </w:r>
      <w:r>
        <w:fldChar w:fldCharType="end"/>
      </w:r>
      <w:r>
        <w:t xml:space="preserve"> </w:t>
      </w:r>
      <w:r>
        <w:rPr>
          <w:rFonts w:hint="eastAsia"/>
        </w:rPr>
        <w:t>SEM初始概念模型优化图</w:t>
      </w:r>
    </w:p>
    <w:p w14:paraId="2BA7E14D">
      <w:pPr>
        <w:ind w:firstLine="0" w:firstLineChars="0"/>
        <w:rPr>
          <w:b/>
          <w:bCs/>
          <w:kern w:val="24"/>
        </w:rPr>
      </w:pPr>
      <w:r>
        <w:rPr>
          <w:b/>
          <w:bCs/>
          <w:kern w:val="24"/>
          <w:szCs w:val="24"/>
        </w:rPr>
        <w:t xml:space="preserve">5.1.3 </w:t>
      </w:r>
      <w:r>
        <w:rPr>
          <w:rFonts w:hint="eastAsia"/>
          <w:b/>
          <w:bCs/>
          <w:kern w:val="24"/>
        </w:rPr>
        <w:t>区域碳排放量以及经济、人口、能源消费量各指标及其关联模型</w:t>
      </w:r>
    </w:p>
    <w:p w14:paraId="627B1E1D">
      <w:pPr>
        <w:ind w:firstLine="482"/>
      </w:pPr>
      <w:r>
        <w:rPr>
          <w:rFonts w:hint="eastAsia"/>
          <w:b/>
          <w:bCs/>
        </w:rPr>
        <w:t>各指标变化分析：</w:t>
      </w:r>
      <w:r>
        <w:rPr>
          <w:rFonts w:hint="eastAsia"/>
        </w:rPr>
        <w:t>通过对各指标进行描述性分析，可以很好地分析它们的变化趋势。但鉴于所建立的指标库中的指标较多，团队在此便仅展示其中具有代表性的指标的变化分析，分别是</w:t>
      </w:r>
      <w:r>
        <w:rPr>
          <w:rFonts w:hint="eastAsia" w:cs="宋体"/>
        </w:rPr>
        <w:t>人口总量</w:t>
      </w:r>
      <w:r>
        <w:rPr>
          <w:rFonts w:hint="eastAsia"/>
        </w:rPr>
        <w:t>、GDP总量、</w:t>
      </w:r>
      <w:r>
        <w:rPr>
          <w:rFonts w:hint="eastAsia" w:cs="宋体"/>
        </w:rPr>
        <w:t>能源消费总量。</w:t>
      </w:r>
    </w:p>
    <w:p w14:paraId="283F21E4">
      <w:pPr>
        <w:ind w:firstLine="480"/>
      </w:pPr>
      <w:r>
        <w:rPr>
          <w:rFonts w:hint="eastAsia"/>
        </w:rPr>
        <w:t>人口与碳排放量存在正相关关系。该区域的人口总数以及增长率如下图所示，</w:t>
      </w:r>
    </w:p>
    <w:p w14:paraId="1903FC20">
      <w:pPr>
        <w:keepNext/>
        <w:ind w:firstLine="0" w:firstLineChars="0"/>
      </w:pPr>
      <w:r>
        <w:drawing>
          <wp:inline distT="0" distB="0" distL="0" distR="0">
            <wp:extent cx="5892800" cy="1619250"/>
            <wp:effectExtent l="0" t="0" r="12700" b="0"/>
            <wp:docPr id="135905157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48EC185D">
      <w:pPr>
        <w:pStyle w:val="5"/>
        <w:rPr>
          <w:b/>
          <w:bCs/>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4</w:t>
      </w:r>
      <w:r>
        <w:fldChar w:fldCharType="end"/>
      </w:r>
      <w:r>
        <w:t xml:space="preserve"> </w:t>
      </w:r>
      <w:r>
        <w:rPr>
          <w:rFonts w:hint="eastAsia"/>
        </w:rPr>
        <w:t>人口总数变化图</w:t>
      </w:r>
    </w:p>
    <w:p w14:paraId="246F7F3A">
      <w:pPr>
        <w:ind w:firstLine="480"/>
      </w:pPr>
      <w:r>
        <w:rPr>
          <w:rFonts w:hint="eastAsia"/>
        </w:rPr>
        <w:t>可以发现2</w:t>
      </w:r>
      <w:r>
        <w:t>010</w:t>
      </w:r>
      <w:r>
        <w:rPr>
          <w:rFonts w:hint="eastAsia"/>
        </w:rPr>
        <w:t>年—</w:t>
      </w:r>
      <w:r>
        <w:t>2020</w:t>
      </w:r>
      <w:r>
        <w:rPr>
          <w:rFonts w:hint="eastAsia"/>
        </w:rPr>
        <w:t>年该区域人口规模呈逐年上升趋势，但增长速度却趋于平缓。在2</w:t>
      </w:r>
      <w:r>
        <w:t>020</w:t>
      </w:r>
      <w:r>
        <w:rPr>
          <w:rFonts w:hint="eastAsia"/>
        </w:rPr>
        <w:t>年，该区域人口增长率仅为0</w:t>
      </w:r>
      <w:r>
        <w:t>.1%</w:t>
      </w:r>
      <w:r>
        <w:rPr>
          <w:rFonts w:hint="eastAsia"/>
        </w:rPr>
        <w:t>。人口规模的变化主要归因于我国在这一时期实行的生育政策以及青年生育观念的变化，但不可否认的是，人口规模的趋于稳定将很大可能限制碳排放的增加。</w:t>
      </w:r>
    </w:p>
    <w:p w14:paraId="6470ACEF">
      <w:pPr>
        <w:ind w:firstLine="480"/>
      </w:pPr>
      <w:r>
        <w:rPr>
          <w:rFonts w:hint="eastAsia"/>
        </w:rPr>
        <w:t>一个区域的GDP总值由第一产业、第二产业和第三产业的产出组成。该区域的GDP总值与增长率以及各产业的GDP值与对应的增长率如下图所示。从GDP总值来看，其数值逐年增加，但增速逐年降低；从产业结构看，该区域的GDP主要由第二产业和第三产业贡献，且在2</w:t>
      </w:r>
      <w:r>
        <w:t>014</w:t>
      </w:r>
      <w:r>
        <w:rPr>
          <w:rFonts w:hint="eastAsia"/>
        </w:rPr>
        <w:t>年之前，第二产业的GDP高于第三产业的GDP，但2</w:t>
      </w:r>
      <w:r>
        <w:t>014</w:t>
      </w:r>
      <w:r>
        <w:rPr>
          <w:rFonts w:hint="eastAsia"/>
        </w:rPr>
        <w:t>年以后，两者地位发生了变化，并由于第三产业的GDP增速高于前者，它们之间的差距亦在不断扩大。一般认为，GDP与碳排放存在正相关关系，那么GDP增速趋缓在一定程度上意味着碳排放增速的降低；另一方面，相较而言，第三产业的能耗以及碳排放要低于第二产业的能耗和碳排放，因此第三产业的逐年发展在一定程度上利于碳排放的减少。</w:t>
      </w:r>
    </w:p>
    <w:p w14:paraId="51A736FF">
      <w:pPr>
        <w:keepNext/>
        <w:ind w:firstLine="0" w:firstLineChars="0"/>
      </w:pPr>
      <w:r>
        <w:drawing>
          <wp:inline distT="0" distB="0" distL="0" distR="0">
            <wp:extent cx="5886450" cy="2743200"/>
            <wp:effectExtent l="0" t="0" r="0" b="0"/>
            <wp:docPr id="200416394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16F5BD3D">
      <w:pPr>
        <w:pStyle w:val="5"/>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5</w:t>
      </w:r>
      <w:r>
        <w:fldChar w:fldCharType="end"/>
      </w:r>
      <w:r>
        <w:t xml:space="preserve"> </w:t>
      </w:r>
      <w:r>
        <w:rPr>
          <w:rFonts w:hint="eastAsia"/>
        </w:rPr>
        <w:t>GDP变化图</w:t>
      </w:r>
    </w:p>
    <w:p w14:paraId="6C699683">
      <w:pPr>
        <w:ind w:firstLine="480" w:firstLineChars="0"/>
      </w:pPr>
      <w:r>
        <w:rPr>
          <w:rFonts w:hint="eastAsia"/>
        </w:rPr>
        <w:t>能源消费量通过碳排放因子直接与碳排放量相关联，两者之间存在明显的正关系。通过分析能源消费量的变化，能够助力对碳排放量预测的研究。图</w:t>
      </w:r>
      <w:r>
        <w:t>6</w:t>
      </w:r>
      <w:r>
        <w:rPr>
          <w:rFonts w:hint="eastAsia"/>
        </w:rPr>
        <w:t>展现了该区域能源消费总量和增长率的变化以及能源供应部门与工业消费部门的能源消费量和对应的增长率变化（因为这两个部门贡献主要的能源消费）。从图中可以发现，近年来该区域的能源消费总量趋于稳定，没有形成明显的向上或者向下变化的趋势。同理，能源供应部门和工业消费部门的能源消费量亦呈现相近的趋势。另外，图7展现了该趋于化石能源消费和非化石能源消费比重的变化，可以发现非化石能源消费比重的逐年增加。由于消费非化石能源并不会产生碳排放，因此在能源消费总量趋于稳定的情况下，非化石能源消费比重的增加将使得碳排放量趋于下降。</w:t>
      </w:r>
    </w:p>
    <w:p w14:paraId="29C01920">
      <w:pPr>
        <w:ind w:firstLine="480" w:firstLineChars="0"/>
      </w:pPr>
    </w:p>
    <w:p w14:paraId="4990AC14">
      <w:pPr>
        <w:keepNext/>
        <w:ind w:firstLine="0" w:firstLineChars="0"/>
      </w:pPr>
      <w:r>
        <w:drawing>
          <wp:inline distT="0" distB="0" distL="0" distR="0">
            <wp:extent cx="5882640" cy="2743200"/>
            <wp:effectExtent l="0" t="0" r="3810" b="0"/>
            <wp:docPr id="24940954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4E2651BB">
      <w:pPr>
        <w:pStyle w:val="5"/>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6</w:t>
      </w:r>
      <w:r>
        <w:fldChar w:fldCharType="end"/>
      </w:r>
      <w:r>
        <w:t xml:space="preserve"> </w:t>
      </w:r>
      <w:r>
        <w:rPr>
          <w:rFonts w:hint="eastAsia"/>
        </w:rPr>
        <w:t>能源消费量变化</w:t>
      </w:r>
    </w:p>
    <w:p w14:paraId="2F1A644D">
      <w:pPr>
        <w:keepNext/>
        <w:ind w:firstLine="0" w:firstLineChars="0"/>
      </w:pPr>
      <w:r>
        <w:drawing>
          <wp:inline distT="0" distB="0" distL="0" distR="0">
            <wp:extent cx="5877560" cy="2824480"/>
            <wp:effectExtent l="0" t="0" r="8890" b="13970"/>
            <wp:docPr id="202953280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2286B0FF">
      <w:pPr>
        <w:pStyle w:val="5"/>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7</w:t>
      </w:r>
      <w:r>
        <w:fldChar w:fldCharType="end"/>
      </w:r>
      <w:r>
        <w:t xml:space="preserve"> </w:t>
      </w:r>
      <w:r>
        <w:rPr>
          <w:rFonts w:hint="eastAsia"/>
        </w:rPr>
        <w:t>能源消费结构图</w:t>
      </w:r>
    </w:p>
    <w:p w14:paraId="2440E401">
      <w:pPr>
        <w:ind w:firstLine="480" w:firstLineChars="0"/>
      </w:pPr>
      <w:r>
        <w:rPr>
          <w:rFonts w:hint="eastAsia"/>
          <w:b/>
          <w:bCs/>
        </w:rPr>
        <w:t>指标关联模型建立</w:t>
      </w:r>
      <w:r>
        <w:rPr>
          <w:rFonts w:hint="eastAsia"/>
        </w:rPr>
        <w:t>：团队采取多元线性回归完成关联模型的建立。</w:t>
      </w:r>
      <w:r>
        <w:t>与一元线性回归不同的是，多元线性回归还面临着最优子集问题和多重共线性问题。选取哪个变量作为自变量，是多元线性回归的核心问题。如果加入与因变量无关或弱相关的自变量，不仅会增加计算量，还可能导致较差的回归结果。而漏掉与因变量密切相关的重要变量，也无法建立起有效的回归预测方程。</w:t>
      </w:r>
      <w:r>
        <w:rPr>
          <w:rFonts w:hint="eastAsia"/>
        </w:rPr>
        <w:t>但是随着社会</w:t>
      </w:r>
      <w:r>
        <w:t>算力</w:t>
      </w:r>
      <w:r>
        <w:rPr>
          <w:rFonts w:hint="eastAsia"/>
        </w:rPr>
        <w:t>不断提升</w:t>
      </w:r>
      <w:r>
        <w:t>，完全可以通过给定</w:t>
      </w:r>
      <w:r>
        <w:rPr>
          <w:rFonts w:hint="eastAsia"/>
        </w:rPr>
        <w:t>“</w:t>
      </w:r>
      <w:r>
        <w:t>最优</w:t>
      </w:r>
      <w:r>
        <w:rPr>
          <w:rFonts w:hint="eastAsia"/>
        </w:rPr>
        <w:t>”</w:t>
      </w:r>
      <w:r>
        <w:t>准则，例如，AIC、BIC等，暴力搜索所有可能的自变量组合，找出符合准则要求的</w:t>
      </w:r>
      <w:r>
        <w:rPr>
          <w:rFonts w:hint="eastAsia"/>
        </w:rPr>
        <w:t>“</w:t>
      </w:r>
      <w:r>
        <w:t>最优</w:t>
      </w:r>
      <w:r>
        <w:rPr>
          <w:rFonts w:hint="eastAsia"/>
        </w:rPr>
        <w:t>”</w:t>
      </w:r>
      <w:r>
        <w:t>组合。</w:t>
      </w:r>
      <w:r>
        <w:rPr>
          <w:rFonts w:hint="eastAsia"/>
        </w:rPr>
        <w:t>其中</w:t>
      </w:r>
      <w:r>
        <w:t>python abess程序包可以实现此项功能</w:t>
      </w:r>
      <w:r>
        <w:rPr>
          <w:rFonts w:hint="eastAsia"/>
        </w:rPr>
        <w:t>，因此团队决定选取此算法完成分析</w:t>
      </w:r>
      <w:r>
        <w:t>。</w:t>
      </w:r>
    </w:p>
    <w:p w14:paraId="5DE67BFB">
      <w:pPr>
        <w:ind w:firstLine="480"/>
      </w:pPr>
      <w:r>
        <w:t>STIRPAT（STochastic Impacts by Regression on PAT）是目前常用一种自上而下的二氧化碳排放预测建模方法。</w:t>
      </w:r>
      <w:r>
        <w:rPr>
          <w:rFonts w:hint="eastAsia"/>
        </w:rPr>
        <w:t>团队在泛用的KAYA模型的基础上引入</w:t>
      </w:r>
      <w:r>
        <w:t>STIRPAT</w:t>
      </w:r>
      <w:r>
        <w:rPr>
          <w:rFonts w:hint="eastAsia"/>
        </w:rPr>
        <w:t>方法完成模型的建立。团队研究并掌握该方法后在现有数据基础上认为</w:t>
      </w:r>
      <w:r>
        <w:t>一个</w:t>
      </w:r>
      <w:r>
        <w:rPr>
          <w:rFonts w:hint="eastAsia"/>
        </w:rPr>
        <w:t>区域</w:t>
      </w:r>
      <w:r>
        <w:t>的二氧化碳排放</w:t>
      </w:r>
      <w:r>
        <w:rPr>
          <w:rFonts w:hint="eastAsia"/>
        </w:rPr>
        <w:t xml:space="preserve">量可以满足如下方程： </w:t>
      </w:r>
    </w:p>
    <w:p w14:paraId="56B8D036">
      <w:pPr>
        <w:ind w:firstLine="3600" w:firstLineChars="1500"/>
      </w:pPr>
      <m:oMath>
        <m:r>
          <m:rPr/>
          <w:rPr>
            <w:rFonts w:ascii="Cambria Math" w:hAnsi="Cambria Math"/>
            <w:szCs w:val="24"/>
          </w:rPr>
          <m:t xml:space="preserve"> I=a</m:t>
        </m:r>
        <m:sSup>
          <m:sSupPr>
            <m:ctrlPr>
              <w:rPr>
                <w:rFonts w:ascii="Cambria Math" w:hAnsi="Cambria Math"/>
                <w:i/>
                <w:szCs w:val="24"/>
              </w:rPr>
            </m:ctrlPr>
          </m:sSupPr>
          <m:e>
            <m:r>
              <m:rPr/>
              <w:rPr>
                <w:rFonts w:ascii="Cambria Math" w:hAnsi="Cambria Math"/>
                <w:szCs w:val="24"/>
              </w:rPr>
              <m:t>A</m:t>
            </m:r>
            <m:ctrlPr>
              <w:rPr>
                <w:rFonts w:ascii="Cambria Math" w:hAnsi="Cambria Math"/>
                <w:i/>
                <w:szCs w:val="24"/>
              </w:rPr>
            </m:ctrlPr>
          </m:e>
          <m:sup>
            <m:r>
              <m:rPr/>
              <w:rPr>
                <w:rFonts w:ascii="Cambria Math" w:hAnsi="Cambria Math"/>
                <w:szCs w:val="24"/>
              </w:rPr>
              <m:t>b</m:t>
            </m:r>
            <m:ctrlPr>
              <w:rPr>
                <w:rFonts w:ascii="Cambria Math" w:hAnsi="Cambria Math"/>
                <w:i/>
                <w:szCs w:val="24"/>
              </w:rPr>
            </m:ctrlPr>
          </m:sup>
        </m:sSup>
        <m:sSup>
          <m:sSupPr>
            <m:ctrlPr>
              <w:rPr>
                <w:rFonts w:ascii="Cambria Math" w:hAnsi="Cambria Math"/>
                <w:i/>
                <w:szCs w:val="24"/>
              </w:rPr>
            </m:ctrlPr>
          </m:sSupPr>
          <m:e>
            <m:r>
              <m:rPr/>
              <w:rPr>
                <w:rFonts w:ascii="Cambria Math" w:hAnsi="Cambria Math"/>
                <w:szCs w:val="24"/>
              </w:rPr>
              <m:t>P</m:t>
            </m:r>
            <m:ctrlPr>
              <w:rPr>
                <w:rFonts w:ascii="Cambria Math" w:hAnsi="Cambria Math"/>
                <w:i/>
                <w:szCs w:val="24"/>
              </w:rPr>
            </m:ctrlPr>
          </m:e>
          <m:sup>
            <m:r>
              <m:rPr/>
              <w:rPr>
                <w:rFonts w:ascii="Cambria Math" w:hAnsi="Cambria Math"/>
                <w:szCs w:val="24"/>
              </w:rPr>
              <m:t>c</m:t>
            </m:r>
            <m:ctrlPr>
              <w:rPr>
                <w:rFonts w:ascii="Cambria Math" w:hAnsi="Cambria Math"/>
                <w:i/>
                <w:szCs w:val="24"/>
              </w:rPr>
            </m:ctrlPr>
          </m:sup>
        </m:sSup>
        <m:sSup>
          <m:sSupPr>
            <m:ctrlPr>
              <w:rPr>
                <w:rFonts w:ascii="Cambria Math" w:hAnsi="Cambria Math"/>
                <w:i/>
                <w:szCs w:val="24"/>
              </w:rPr>
            </m:ctrlPr>
          </m:sSupPr>
          <m:e>
            <m:r>
              <m:rPr/>
              <w:rPr>
                <w:rFonts w:ascii="Cambria Math" w:hAnsi="Cambria Math"/>
                <w:szCs w:val="24"/>
              </w:rPr>
              <m:t>U</m:t>
            </m:r>
            <m:ctrlPr>
              <w:rPr>
                <w:rFonts w:ascii="Cambria Math" w:hAnsi="Cambria Math"/>
                <w:i/>
                <w:szCs w:val="24"/>
              </w:rPr>
            </m:ctrlPr>
          </m:e>
          <m:sup>
            <m:r>
              <m:rPr/>
              <w:rPr>
                <w:rFonts w:ascii="Cambria Math" w:hAnsi="Cambria Math"/>
                <w:szCs w:val="24"/>
              </w:rPr>
              <m:t>d</m:t>
            </m:r>
            <m:ctrlPr>
              <w:rPr>
                <w:rFonts w:ascii="Cambria Math" w:hAnsi="Cambria Math"/>
                <w:i/>
                <w:szCs w:val="24"/>
              </w:rPr>
            </m:ctrlPr>
          </m:sup>
        </m:sSup>
        <m:sSup>
          <m:sSupPr>
            <m:ctrlPr>
              <w:rPr>
                <w:rFonts w:ascii="Cambria Math" w:hAnsi="Cambria Math"/>
                <w:i/>
                <w:szCs w:val="24"/>
              </w:rPr>
            </m:ctrlPr>
          </m:sSupPr>
          <m:e>
            <m:r>
              <m:rPr/>
              <w:rPr>
                <w:rFonts w:ascii="Cambria Math" w:hAnsi="Cambria Math"/>
                <w:szCs w:val="24"/>
              </w:rPr>
              <m:t>E</m:t>
            </m:r>
            <m:ctrlPr>
              <w:rPr>
                <w:rFonts w:ascii="Cambria Math" w:hAnsi="Cambria Math"/>
                <w:i/>
                <w:szCs w:val="24"/>
              </w:rPr>
            </m:ctrlPr>
          </m:e>
          <m:sup>
            <m:r>
              <m:rPr/>
              <w:rPr>
                <w:rFonts w:ascii="Cambria Math" w:hAnsi="Cambria Math"/>
                <w:szCs w:val="24"/>
              </w:rPr>
              <m:t>e</m:t>
            </m:r>
            <m:ctrlPr>
              <w:rPr>
                <w:rFonts w:ascii="Cambria Math" w:hAnsi="Cambria Math"/>
                <w:i/>
                <w:szCs w:val="24"/>
              </w:rPr>
            </m:ctrlPr>
          </m:sup>
        </m:sSup>
        <m:sSup>
          <m:sSupPr>
            <m:ctrlPr>
              <w:rPr>
                <w:rFonts w:ascii="Cambria Math" w:hAnsi="Cambria Math"/>
                <w:i/>
                <w:szCs w:val="24"/>
              </w:rPr>
            </m:ctrlPr>
          </m:sSupPr>
          <m:e>
            <m:r>
              <m:rPr/>
              <w:rPr>
                <w:rFonts w:ascii="Cambria Math" w:hAnsi="Cambria Math"/>
                <w:szCs w:val="24"/>
              </w:rPr>
              <m:t>F</m:t>
            </m:r>
            <m:ctrlPr>
              <w:rPr>
                <w:rFonts w:ascii="Cambria Math" w:hAnsi="Cambria Math"/>
                <w:i/>
                <w:szCs w:val="24"/>
              </w:rPr>
            </m:ctrlPr>
          </m:e>
          <m:sup>
            <m:r>
              <m:rPr/>
              <w:rPr>
                <w:rFonts w:ascii="Cambria Math" w:hAnsi="Cambria Math"/>
                <w:szCs w:val="24"/>
              </w:rPr>
              <m:t>f</m:t>
            </m:r>
            <m:ctrlPr>
              <w:rPr>
                <w:rFonts w:ascii="Cambria Math" w:hAnsi="Cambria Math"/>
                <w:i/>
                <w:szCs w:val="24"/>
              </w:rPr>
            </m:ctrlPr>
          </m:sup>
        </m:sSup>
        <m:sSup>
          <m:sSupPr>
            <m:ctrlPr>
              <w:rPr>
                <w:rFonts w:ascii="Cambria Math" w:hAnsi="Cambria Math"/>
                <w:i/>
                <w:szCs w:val="24"/>
              </w:rPr>
            </m:ctrlPr>
          </m:sSupPr>
          <m:e>
            <m:r>
              <m:rPr/>
              <w:rPr>
                <w:rFonts w:ascii="Cambria Math" w:hAnsi="Cambria Math"/>
                <w:szCs w:val="24"/>
              </w:rPr>
              <m:t>G</m:t>
            </m:r>
            <m:ctrlPr>
              <w:rPr>
                <w:rFonts w:ascii="Cambria Math" w:hAnsi="Cambria Math"/>
                <w:i/>
                <w:szCs w:val="24"/>
              </w:rPr>
            </m:ctrlPr>
          </m:e>
          <m:sup>
            <m:r>
              <m:rPr/>
              <w:rPr>
                <w:rFonts w:ascii="Cambria Math" w:hAnsi="Cambria Math"/>
                <w:szCs w:val="24"/>
              </w:rPr>
              <m:t>g</m:t>
            </m:r>
            <m:ctrlPr>
              <w:rPr>
                <w:rFonts w:ascii="Cambria Math" w:hAnsi="Cambria Math"/>
                <w:i/>
                <w:szCs w:val="24"/>
              </w:rPr>
            </m:ctrlPr>
          </m:sup>
        </m:sSup>
        <m:r>
          <m:rPr/>
          <w:rPr>
            <w:rFonts w:ascii="Cambria Math" w:hAnsi="Cambria Math"/>
            <w:szCs w:val="24"/>
          </w:rPr>
          <m:t>ε</m:t>
        </m:r>
      </m:oMath>
      <w:r>
        <w:rPr>
          <w:rFonts w:hint="eastAsia"/>
          <w:szCs w:val="24"/>
        </w:rPr>
        <w:t xml:space="preserve"> </w:t>
      </w:r>
      <w:r>
        <w:rPr>
          <w:szCs w:val="24"/>
        </w:rPr>
        <w:t xml:space="preserve">                        </w:t>
      </w:r>
      <w:r>
        <w:rPr>
          <w:rFonts w:hint="eastAsia"/>
          <w:szCs w:val="24"/>
        </w:rPr>
        <w:t>（2）</w:t>
      </w:r>
    </w:p>
    <w:p w14:paraId="0B1880EF">
      <w:pPr>
        <w:ind w:firstLine="480"/>
      </w:pPr>
      <w:r>
        <w:rPr>
          <w:rFonts w:hint="eastAsia"/>
        </w:rPr>
        <w:t>其中</w:t>
      </w:r>
      <m:oMath>
        <m:r>
          <m:rPr/>
          <w:rPr>
            <w:rFonts w:ascii="Cambria Math" w:hAnsi="Cambria Math"/>
          </w:rPr>
          <m:t>a</m:t>
        </m:r>
      </m:oMath>
      <w:r>
        <w:rPr>
          <w:rFonts w:hint="eastAsia"/>
        </w:rPr>
        <w:t>是模型系数，</w:t>
      </w:r>
      <m:oMath>
        <m:r>
          <m:rPr/>
          <w:rPr>
            <w:rFonts w:ascii="Cambria Math" w:hAnsi="Cambria Math"/>
          </w:rPr>
          <m:t>b,c,d,e</m:t>
        </m:r>
      </m:oMath>
      <w:r>
        <w:rPr>
          <w:rFonts w:hint="eastAsia"/>
        </w:rPr>
        <w:t>是反应</w:t>
      </w:r>
      <w:r>
        <w:t>经济、人口、技术水平、能源活动等因素与碳排放的相关性正反与大小，称为弹性系数</w:t>
      </w:r>
      <w:r>
        <w:rPr>
          <w:rFonts w:hint="eastAsia"/>
        </w:rPr>
        <w:t>。</w:t>
      </w:r>
      <m:oMath>
        <m:r>
          <m:rPr/>
          <w:rPr>
            <w:rFonts w:ascii="Cambria Math" w:hAnsi="Cambria Math"/>
          </w:rPr>
          <m:t>ε</m:t>
        </m:r>
      </m:oMath>
      <w:r>
        <w:t>是误差项（包括时间误差、</w:t>
      </w:r>
      <w:r>
        <w:rPr>
          <w:rFonts w:hint="eastAsia"/>
        </w:rPr>
        <w:t>统计</w:t>
      </w:r>
      <w:r>
        <w:t>误差和因素分解误差等</w:t>
      </w:r>
      <w:r>
        <w:rPr>
          <w:rFonts w:hint="eastAsia"/>
        </w:rPr>
        <w:t>异质性</w:t>
      </w:r>
      <w:r>
        <w:t>）</w:t>
      </w:r>
      <w:r>
        <w:rPr>
          <w:rFonts w:hint="eastAsia"/>
        </w:rPr>
        <w:t>。</w:t>
      </w:r>
      <w:r>
        <w:t>STIRPAT模型的自变量</w:t>
      </w:r>
      <w:r>
        <w:rPr>
          <w:rFonts w:hint="eastAsia"/>
        </w:rPr>
        <w:t>不是</w:t>
      </w:r>
      <w:r>
        <w:t>只有4个，</w:t>
      </w:r>
      <w:r>
        <w:rPr>
          <w:rFonts w:hint="eastAsia"/>
        </w:rPr>
        <w:t>后续落实到</w:t>
      </w:r>
      <w:r>
        <w:t>各</w:t>
      </w:r>
      <w:r>
        <w:rPr>
          <w:rFonts w:hint="eastAsia"/>
        </w:rPr>
        <w:t>具体</w:t>
      </w:r>
      <w:r>
        <w:t>地</w:t>
      </w:r>
      <w:r>
        <w:rPr>
          <w:rFonts w:hint="eastAsia"/>
        </w:rPr>
        <w:t>方可</w:t>
      </w:r>
      <w:r>
        <w:t>根据实际情况选择不同的自变量组合，其中</w:t>
      </w:r>
      <w:r>
        <w:rPr>
          <w:rFonts w:hint="eastAsia"/>
        </w:rPr>
        <w:t>人口自变量可以选择人口总量或者人口增长率，</w:t>
      </w:r>
      <w:r>
        <w:t>经济自变量可以选用GDP、产业结构等指标，能源活动可以选取</w:t>
      </w:r>
      <w:r>
        <w:rPr>
          <w:rFonts w:hint="eastAsia"/>
        </w:rPr>
        <w:t>产业</w:t>
      </w:r>
      <w:r>
        <w:t>能耗、</w:t>
      </w:r>
      <w:r>
        <w:rPr>
          <w:rFonts w:hint="eastAsia"/>
        </w:rPr>
        <w:t>消费</w:t>
      </w:r>
      <w:r>
        <w:t>总量、能源结构等指标</w:t>
      </w:r>
      <w:r>
        <w:rPr>
          <w:rFonts w:hint="eastAsia"/>
        </w:rPr>
        <w:t>实现分析。</w:t>
      </w:r>
    </w:p>
    <w:p w14:paraId="46171815">
      <w:pPr>
        <w:ind w:firstLine="482"/>
        <w:rPr>
          <w:b/>
          <w:bCs/>
        </w:rPr>
      </w:pPr>
      <w:r>
        <w:rPr>
          <w:rFonts w:hint="eastAsia"/>
          <w:b/>
          <w:bCs/>
        </w:rPr>
        <w:t>关联模型参数求解：</w:t>
      </w:r>
    </w:p>
    <w:p w14:paraId="7F03AD80">
      <w:pPr>
        <w:ind w:firstLine="480"/>
      </w:pPr>
      <w:r>
        <w:t>将STIRPAT两边取对数，得到线性回归方程：</w:t>
      </w:r>
    </w:p>
    <w:p w14:paraId="4B23F977">
      <w:pPr>
        <w:ind w:firstLine="1399" w:firstLineChars="583"/>
      </w:pPr>
      <m:oMath>
        <m:func>
          <m:funcPr>
            <m:ctrlPr>
              <w:rPr>
                <w:rFonts w:ascii="Cambria Math" w:hAnsi="Cambria Math"/>
                <w:i/>
              </w:rPr>
            </m:ctrlPr>
          </m:funcPr>
          <m:fName>
            <m:r>
              <m:rPr>
                <m:sty m:val="p"/>
              </m:rPr>
              <w:rPr>
                <w:rFonts w:ascii="Cambria Math" w:hAnsi="Cambria Math"/>
              </w:rPr>
              <m:t>ln</m:t>
            </m:r>
            <m:ctrlPr>
              <w:rPr>
                <w:rFonts w:ascii="Cambria Math" w:hAnsi="Cambria Math"/>
                <w:i/>
              </w:rPr>
            </m:ctrlPr>
          </m:fName>
          <m:e>
            <m:r>
              <m:rPr/>
              <w:rPr>
                <w:rFonts w:ascii="Cambria Math" w:hAnsi="Cambria Math"/>
              </w:rPr>
              <m:t>I</m:t>
            </m:r>
            <m:ctrlPr>
              <w:rPr>
                <w:rFonts w:ascii="Cambria Math" w:hAnsi="Cambria Math"/>
                <w:i/>
              </w:rPr>
            </m:ctrlPr>
          </m:e>
        </m:func>
        <m:r>
          <m:rPr/>
          <w:rPr>
            <w:rFonts w:ascii="Cambria Math" w:hAnsi="Cambria Math"/>
          </w:rPr>
          <m:t>=a+b</m:t>
        </m:r>
        <m:func>
          <m:funcPr>
            <m:ctrlPr>
              <w:rPr>
                <w:rFonts w:ascii="Cambria Math" w:hAnsi="Cambria Math"/>
                <w:i/>
              </w:rPr>
            </m:ctrlPr>
          </m:funcPr>
          <m:fName>
            <m:r>
              <m:rPr>
                <m:sty m:val="p"/>
              </m:rPr>
              <w:rPr>
                <w:rFonts w:ascii="Cambria Math" w:hAnsi="Cambria Math"/>
              </w:rPr>
              <m:t>ln</m:t>
            </m:r>
            <m:ctrlPr>
              <w:rPr>
                <w:rFonts w:ascii="Cambria Math" w:hAnsi="Cambria Math"/>
                <w:i/>
              </w:rPr>
            </m:ctrlPr>
          </m:fName>
          <m:e>
            <m:r>
              <m:rPr/>
              <w:rPr>
                <w:rFonts w:ascii="Cambria Math" w:hAnsi="Cambria Math"/>
              </w:rPr>
              <m:t>A</m:t>
            </m:r>
            <m:ctrlPr>
              <w:rPr>
                <w:rFonts w:ascii="Cambria Math" w:hAnsi="Cambria Math"/>
                <w:i/>
              </w:rPr>
            </m:ctrlPr>
          </m:e>
        </m:func>
        <m:r>
          <m:rPr/>
          <w:rPr>
            <w:rFonts w:ascii="Cambria Math" w:hAnsi="Cambria Math"/>
          </w:rPr>
          <m:t>+c</m:t>
        </m:r>
        <m:func>
          <m:funcPr>
            <m:ctrlPr>
              <w:rPr>
                <w:rFonts w:ascii="Cambria Math" w:hAnsi="Cambria Math"/>
                <w:i/>
              </w:rPr>
            </m:ctrlPr>
          </m:funcPr>
          <m:fName>
            <m:r>
              <m:rPr>
                <m:sty m:val="p"/>
              </m:rPr>
              <w:rPr>
                <w:rFonts w:ascii="Cambria Math" w:hAnsi="Cambria Math"/>
              </w:rPr>
              <m:t>ln</m:t>
            </m:r>
            <m:ctrlPr>
              <w:rPr>
                <w:rFonts w:ascii="Cambria Math" w:hAnsi="Cambria Math"/>
                <w:i/>
              </w:rPr>
            </m:ctrlPr>
          </m:fName>
          <m:e>
            <m:r>
              <m:rPr/>
              <w:rPr>
                <w:rFonts w:ascii="Cambria Math" w:hAnsi="Cambria Math"/>
              </w:rPr>
              <m:t>P</m:t>
            </m:r>
            <m:ctrlPr>
              <w:rPr>
                <w:rFonts w:ascii="Cambria Math" w:hAnsi="Cambria Math"/>
                <w:i/>
              </w:rPr>
            </m:ctrlPr>
          </m:e>
        </m:func>
        <m:r>
          <m:rP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i/>
              </w:rPr>
            </m:ctrlPr>
          </m:fName>
          <m:e>
            <m:r>
              <m:rPr/>
              <w:rPr>
                <w:rFonts w:ascii="Cambria Math" w:hAnsi="Cambria Math"/>
              </w:rPr>
              <m:t>U</m:t>
            </m:r>
            <m:ctrlPr>
              <w:rPr>
                <w:rFonts w:ascii="Cambria Math" w:hAnsi="Cambria Math"/>
                <w:i/>
              </w:rPr>
            </m:ctrlPr>
          </m:e>
        </m:func>
        <m:r>
          <m:rPr/>
          <w:rPr>
            <w:rFonts w:ascii="Cambria Math" w:hAnsi="Cambria Math"/>
          </w:rPr>
          <m:t>+e</m:t>
        </m:r>
        <m:func>
          <m:funcPr>
            <m:ctrlPr>
              <w:rPr>
                <w:rFonts w:ascii="Cambria Math" w:hAnsi="Cambria Math"/>
                <w:i/>
              </w:rPr>
            </m:ctrlPr>
          </m:funcPr>
          <m:fName>
            <m:r>
              <m:rPr>
                <m:sty m:val="p"/>
              </m:rPr>
              <w:rPr>
                <w:rFonts w:ascii="Cambria Math" w:hAnsi="Cambria Math"/>
              </w:rPr>
              <m:t>ln</m:t>
            </m:r>
            <m:ctrlPr>
              <w:rPr>
                <w:rFonts w:ascii="Cambria Math" w:hAnsi="Cambria Math"/>
                <w:i/>
              </w:rPr>
            </m:ctrlPr>
          </m:fName>
          <m:e>
            <m:r>
              <m:rPr/>
              <w:rPr>
                <w:rFonts w:ascii="Cambria Math" w:hAnsi="Cambria Math"/>
              </w:rPr>
              <m:t>E</m:t>
            </m:r>
            <m:ctrlPr>
              <w:rPr>
                <w:rFonts w:ascii="Cambria Math" w:hAnsi="Cambria Math"/>
                <w:i/>
              </w:rPr>
            </m:ctrlPr>
          </m:e>
        </m:func>
        <m:r>
          <m:rPr/>
          <w:rPr>
            <w:rFonts w:ascii="Cambria Math" w:hAnsi="Cambria Math"/>
          </w:rPr>
          <m:t>+f</m:t>
        </m:r>
        <m:func>
          <m:funcPr>
            <m:ctrlPr>
              <w:rPr>
                <w:rFonts w:ascii="Cambria Math" w:hAnsi="Cambria Math"/>
                <w:i/>
              </w:rPr>
            </m:ctrlPr>
          </m:funcPr>
          <m:fName>
            <m:r>
              <m:rPr>
                <m:sty m:val="p"/>
              </m:rPr>
              <w:rPr>
                <w:rFonts w:ascii="Cambria Math" w:hAnsi="Cambria Math"/>
              </w:rPr>
              <m:t>ln</m:t>
            </m:r>
            <m:ctrlPr>
              <w:rPr>
                <w:rFonts w:ascii="Cambria Math" w:hAnsi="Cambria Math"/>
                <w:i/>
              </w:rPr>
            </m:ctrlPr>
          </m:fName>
          <m:e>
            <m:r>
              <m:rPr/>
              <w:rPr>
                <w:rFonts w:ascii="Cambria Math" w:hAnsi="Cambria Math"/>
              </w:rPr>
              <m:t>F</m:t>
            </m:r>
            <m:ctrlPr>
              <w:rPr>
                <w:rFonts w:ascii="Cambria Math" w:hAnsi="Cambria Math"/>
                <w:i/>
              </w:rPr>
            </m:ctrlPr>
          </m:e>
        </m:func>
        <m:r>
          <m:rPr/>
          <w:rPr>
            <w:rFonts w:ascii="Cambria Math" w:hAnsi="Cambria Math"/>
          </w:rPr>
          <m:t>+g</m:t>
        </m:r>
        <m:func>
          <m:funcPr>
            <m:ctrlPr>
              <w:rPr>
                <w:rFonts w:ascii="Cambria Math" w:hAnsi="Cambria Math"/>
                <w:i/>
              </w:rPr>
            </m:ctrlPr>
          </m:funcPr>
          <m:fName>
            <m:r>
              <m:rPr>
                <m:sty m:val="p"/>
              </m:rPr>
              <w:rPr>
                <w:rFonts w:ascii="Cambria Math" w:hAnsi="Cambria Math"/>
              </w:rPr>
              <m:t>ln</m:t>
            </m:r>
            <m:ctrlPr>
              <w:rPr>
                <w:rFonts w:ascii="Cambria Math" w:hAnsi="Cambria Math"/>
                <w:i/>
              </w:rPr>
            </m:ctrlPr>
          </m:fName>
          <m:e>
            <m:r>
              <m:rPr/>
              <w:rPr>
                <w:rFonts w:ascii="Cambria Math" w:hAnsi="Cambria Math"/>
              </w:rPr>
              <m:t>G</m:t>
            </m:r>
            <m:ctrlPr>
              <w:rPr>
                <w:rFonts w:ascii="Cambria Math" w:hAnsi="Cambria Math"/>
                <w:i/>
              </w:rPr>
            </m:ctrlPr>
          </m:e>
        </m:func>
        <m:r>
          <m:rPr/>
          <w:rPr>
            <w:rFonts w:ascii="Cambria Math" w:hAnsi="Cambria Math"/>
          </w:rPr>
          <m:t>+ε</m:t>
        </m:r>
      </m:oMath>
      <w:r>
        <w:t xml:space="preserve">          </w:t>
      </w:r>
      <w:r>
        <w:rPr>
          <w:rFonts w:hint="eastAsia"/>
        </w:rPr>
        <w:t>（3）</w:t>
      </w:r>
      <w:r>
        <w:rPr>
          <w:sz w:val="21"/>
          <w:szCs w:val="21"/>
        </w:rPr>
        <w:t xml:space="preserve"> </w:t>
      </w:r>
    </w:p>
    <w:p w14:paraId="3E262EB6">
      <w:pPr>
        <w:ind w:firstLine="480"/>
      </w:pPr>
      <w:r>
        <w:rPr>
          <w:rFonts w:hint="eastAsia"/>
        </w:rPr>
        <w:t>通过上述变形，</w:t>
      </w:r>
      <w:r>
        <w:t>就可以利用线性回归方法求出回归系数</w:t>
      </w:r>
      <w:r>
        <w:rPr>
          <w:rFonts w:hint="eastAsia"/>
        </w:rPr>
        <w:t>，而团队具体利用python中abess库，运用最优子集法以确定</w:t>
      </w:r>
      <m:oMath>
        <m:r>
          <m:rPr/>
          <w:rPr>
            <w:rFonts w:ascii="Cambria Math" w:hAnsi="Cambria Math"/>
          </w:rPr>
          <m:t>b,c,d,e</m:t>
        </m:r>
      </m:oMath>
      <w:r>
        <w:rPr>
          <w:rFonts w:hint="eastAsia"/>
        </w:rPr>
        <w:t>的</w:t>
      </w:r>
      <w:r>
        <w:t>弹性系数</w:t>
      </w:r>
      <w:r>
        <w:rPr>
          <w:rFonts w:hint="eastAsia"/>
        </w:rPr>
        <w:t>。</w:t>
      </w:r>
    </w:p>
    <w:p w14:paraId="59DAC5D8">
      <w:pPr>
        <w:ind w:firstLine="480"/>
      </w:pPr>
      <w:r>
        <w:rPr>
          <w:rFonts w:hint="eastAsia"/>
        </w:rPr>
        <w:t>首先，在初次回归前，需要对人口总量、加权平均GDP、区域能源供应部门消费量、区域清洁能源消费量占比、区域石化能源消费量、区域单位GDP能耗指标进行多重共线性检验，结果如下图所示，</w:t>
      </w:r>
    </w:p>
    <w:p w14:paraId="38E4E57B">
      <w:pPr>
        <w:keepNext/>
        <w:ind w:firstLine="0" w:firstLineChars="0"/>
        <w:jc w:val="center"/>
      </w:pPr>
      <w:r>
        <w:drawing>
          <wp:inline distT="0" distB="0" distL="0" distR="0">
            <wp:extent cx="5115560" cy="4250690"/>
            <wp:effectExtent l="0" t="0" r="8890" b="0"/>
            <wp:docPr id="655726031" name="图片 655726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26031" name="图片 655726031"/>
                    <pic:cNvPicPr>
                      <a:picLocks noChangeAspect="1"/>
                    </pic:cNvPicPr>
                  </pic:nvPicPr>
                  <pic:blipFill>
                    <a:blip r:embed="rId25"/>
                    <a:srcRect l="2890" t="7065" r="3422" b="950"/>
                    <a:stretch>
                      <a:fillRect/>
                    </a:stretch>
                  </pic:blipFill>
                  <pic:spPr>
                    <a:xfrm>
                      <a:off x="0" y="0"/>
                      <a:ext cx="5131622" cy="4263991"/>
                    </a:xfrm>
                    <a:prstGeom prst="rect">
                      <a:avLst/>
                    </a:prstGeom>
                    <a:noFill/>
                    <a:ln>
                      <a:noFill/>
                    </a:ln>
                  </pic:spPr>
                </pic:pic>
              </a:graphicData>
            </a:graphic>
          </wp:inline>
        </w:drawing>
      </w:r>
    </w:p>
    <w:p w14:paraId="40447CBF">
      <w:pPr>
        <w:pStyle w:val="5"/>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8</w:t>
      </w:r>
      <w:r>
        <w:fldChar w:fldCharType="end"/>
      </w:r>
      <w:r>
        <w:t xml:space="preserve"> </w:t>
      </w:r>
      <w:r>
        <w:rPr>
          <w:rFonts w:hint="eastAsia"/>
        </w:rPr>
        <w:t>多重共线性检验</w:t>
      </w:r>
    </w:p>
    <w:p w14:paraId="1E7275CB">
      <w:pPr>
        <w:ind w:firstLine="480"/>
      </w:pPr>
      <w:r>
        <w:rPr>
          <w:rFonts w:hint="eastAsia"/>
        </w:rPr>
        <w:t>其次，根据第一次回归尝试，团队发现VIF&gt;10结果较多，在现有数据下人口总量该指标产生的结果并不理想，回归系数为零“多重共线性”问题较严重，为了规避这类问题，团队进一步进行主成分析，并寻找替换指标。</w:t>
      </w:r>
    </w:p>
    <w:p w14:paraId="281DAE63">
      <w:pPr>
        <w:ind w:firstLine="480"/>
        <w:rPr>
          <w:kern w:val="24"/>
          <w:szCs w:val="24"/>
        </w:rPr>
      </w:pPr>
      <w:r>
        <w:rPr>
          <w:rFonts w:hint="eastAsia"/>
          <w:kern w:val="24"/>
          <w:szCs w:val="24"/>
        </w:rPr>
        <w:t>将VIF较大的指标更换成如下表所示的指标后，再次进入测验并进行VIF检验判断共线性。</w:t>
      </w:r>
    </w:p>
    <w:p w14:paraId="15B7C3F0">
      <w:pPr>
        <w:pStyle w:val="5"/>
        <w:keepNext/>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6</w:t>
      </w:r>
      <w:r>
        <w:fldChar w:fldCharType="end"/>
      </w:r>
      <w:r>
        <w:t xml:space="preserve"> </w:t>
      </w:r>
      <w:r>
        <w:rPr>
          <w:rFonts w:hint="eastAsia"/>
        </w:rPr>
        <w:t>指标更换情况及嗣后VIF检验结果</w:t>
      </w:r>
    </w:p>
    <w:tbl>
      <w:tblPr>
        <w:tblStyle w:val="5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4"/>
        <w:gridCol w:w="2393"/>
        <w:gridCol w:w="2395"/>
      </w:tblGrid>
      <w:tr w14:paraId="2C5A0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9" w:type="pct"/>
            <w:tcBorders>
              <w:top w:val="single" w:color="auto" w:sz="12" w:space="0"/>
              <w:left w:val="single" w:color="auto" w:sz="4" w:space="0"/>
              <w:bottom w:val="single" w:color="auto" w:sz="12" w:space="0"/>
              <w:right w:val="single" w:color="auto" w:sz="4" w:space="0"/>
            </w:tcBorders>
          </w:tcPr>
          <w:p w14:paraId="45E49BF7">
            <w:pPr>
              <w:pStyle w:val="5"/>
              <w:rPr>
                <w:rFonts w:eastAsia="Times New Roman"/>
              </w:rPr>
            </w:pPr>
            <w:r>
              <w:rPr>
                <w:rFonts w:hint="eastAsia" w:ascii="宋体" w:hAnsi="宋体" w:eastAsia="宋体" w:cs="宋体"/>
              </w:rPr>
              <w:t>指标更换</w:t>
            </w:r>
          </w:p>
        </w:tc>
        <w:tc>
          <w:tcPr>
            <w:tcW w:w="2501" w:type="pct"/>
            <w:gridSpan w:val="2"/>
            <w:tcBorders>
              <w:top w:val="single" w:color="auto" w:sz="12" w:space="0"/>
              <w:left w:val="single" w:color="auto" w:sz="4" w:space="0"/>
              <w:bottom w:val="single" w:color="auto" w:sz="4" w:space="0"/>
              <w:right w:val="single" w:color="auto" w:sz="4" w:space="0"/>
            </w:tcBorders>
          </w:tcPr>
          <w:p w14:paraId="6E401B09">
            <w:pPr>
              <w:pStyle w:val="5"/>
              <w:rPr>
                <w:rFonts w:eastAsia="Times New Roman"/>
              </w:rPr>
            </w:pPr>
            <w:r>
              <w:rPr>
                <w:rFonts w:hint="eastAsia" w:eastAsia="Times New Roman"/>
              </w:rPr>
              <w:t>VIF</w:t>
            </w:r>
            <w:r>
              <w:rPr>
                <w:rFonts w:hint="eastAsia" w:ascii="宋体" w:hAnsi="宋体" w:eastAsia="宋体" w:cs="宋体"/>
              </w:rPr>
              <w:t>变化</w:t>
            </w:r>
          </w:p>
        </w:tc>
      </w:tr>
      <w:tr w14:paraId="3F434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9" w:type="pct"/>
            <w:tcBorders>
              <w:top w:val="single" w:color="auto" w:sz="12" w:space="0"/>
              <w:left w:val="single" w:color="auto" w:sz="4" w:space="0"/>
              <w:bottom w:val="single" w:color="auto" w:sz="4" w:space="0"/>
              <w:right w:val="single" w:color="auto" w:sz="4" w:space="0"/>
            </w:tcBorders>
          </w:tcPr>
          <w:p w14:paraId="15B08B18">
            <w:pPr>
              <w:pStyle w:val="5"/>
              <w:rPr>
                <w:rFonts w:eastAsia="Times New Roman"/>
              </w:rPr>
            </w:pPr>
            <w:r>
              <w:rPr>
                <w:rFonts w:hint="eastAsia" w:eastAsia="Times New Roman"/>
              </w:rPr>
              <w:t>P</w:t>
            </w:r>
            <w:r>
              <w:rPr>
                <w:rFonts w:eastAsia="Times New Roman"/>
              </w:rPr>
              <w:t xml:space="preserve"> </w:t>
            </w:r>
            <w:r>
              <w:rPr>
                <w:rFonts w:hint="eastAsia" w:ascii="宋体" w:hAnsi="宋体" w:eastAsia="宋体" w:cs="宋体"/>
              </w:rPr>
              <w:t>人口总量</w:t>
            </w:r>
            <w:r>
              <w:rPr>
                <w:rFonts w:eastAsia="Times New Roman"/>
              </w:rPr>
              <w:t>——</w:t>
            </w:r>
            <w:r>
              <w:rPr>
                <w:rFonts w:hint="eastAsia" w:eastAsia="Times New Roman"/>
              </w:rPr>
              <w:t>&gt;</w:t>
            </w:r>
            <w:r>
              <w:rPr>
                <w:rFonts w:hint="eastAsia" w:ascii="宋体" w:hAnsi="宋体" w:eastAsia="宋体" w:cs="宋体"/>
              </w:rPr>
              <w:t>人口乘数</w:t>
            </w:r>
          </w:p>
        </w:tc>
        <w:tc>
          <w:tcPr>
            <w:tcW w:w="1250" w:type="pct"/>
            <w:tcBorders>
              <w:top w:val="single" w:color="auto" w:sz="12" w:space="0"/>
              <w:left w:val="single" w:color="auto" w:sz="4" w:space="0"/>
              <w:bottom w:val="single" w:color="auto" w:sz="4" w:space="0"/>
              <w:right w:val="single" w:color="auto" w:sz="4" w:space="0"/>
            </w:tcBorders>
          </w:tcPr>
          <w:p w14:paraId="30D4DB01">
            <w:pPr>
              <w:pStyle w:val="5"/>
              <w:rPr>
                <w:rFonts w:eastAsia="Times New Roman"/>
              </w:rPr>
            </w:pPr>
            <w:r>
              <w:rPr>
                <w:rFonts w:hint="eastAsia" w:eastAsia="Times New Roman"/>
              </w:rPr>
              <w:t>9.77</w:t>
            </w:r>
          </w:p>
        </w:tc>
        <w:tc>
          <w:tcPr>
            <w:tcW w:w="1250" w:type="pct"/>
            <w:tcBorders>
              <w:top w:val="single" w:color="auto" w:sz="12" w:space="0"/>
              <w:left w:val="single" w:color="auto" w:sz="4" w:space="0"/>
              <w:bottom w:val="single" w:color="auto" w:sz="4" w:space="0"/>
              <w:right w:val="single" w:color="auto" w:sz="4" w:space="0"/>
            </w:tcBorders>
          </w:tcPr>
          <w:p w14:paraId="70E2938C">
            <w:pPr>
              <w:pStyle w:val="5"/>
              <w:rPr>
                <w:rFonts w:eastAsia="Times New Roman"/>
              </w:rPr>
            </w:pPr>
            <w:r>
              <w:rPr>
                <w:rFonts w:hint="eastAsia" w:eastAsia="Times New Roman"/>
              </w:rPr>
              <w:t>1.37</w:t>
            </w:r>
          </w:p>
        </w:tc>
      </w:tr>
      <w:tr w14:paraId="30C7E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9" w:type="pct"/>
            <w:tcBorders>
              <w:top w:val="single" w:color="auto" w:sz="4" w:space="0"/>
              <w:left w:val="single" w:color="auto" w:sz="4" w:space="0"/>
              <w:bottom w:val="single" w:color="auto" w:sz="4" w:space="0"/>
              <w:right w:val="single" w:color="auto" w:sz="4" w:space="0"/>
            </w:tcBorders>
          </w:tcPr>
          <w:p w14:paraId="13305E5D">
            <w:pPr>
              <w:pStyle w:val="5"/>
              <w:rPr>
                <w:rFonts w:eastAsia="Times New Roman"/>
              </w:rPr>
            </w:pPr>
            <w:r>
              <w:rPr>
                <w:rFonts w:hint="eastAsia" w:eastAsia="Times New Roman"/>
              </w:rPr>
              <w:t>A</w:t>
            </w:r>
            <w:r>
              <w:rPr>
                <w:rFonts w:hint="eastAsia" w:ascii="宋体" w:hAnsi="宋体" w:eastAsia="宋体" w:cs="宋体"/>
              </w:rPr>
              <w:t>加权平均</w:t>
            </w:r>
            <w:r>
              <w:rPr>
                <w:rFonts w:hint="eastAsia" w:eastAsia="Times New Roman"/>
              </w:rPr>
              <w:t>GDP——&gt;</w:t>
            </w:r>
            <w:r>
              <w:rPr>
                <w:rFonts w:hint="eastAsia" w:ascii="宋体" w:hAnsi="宋体" w:eastAsia="宋体" w:cs="宋体"/>
              </w:rPr>
              <w:t>工业部门</w:t>
            </w:r>
            <w:r>
              <w:rPr>
                <w:rFonts w:hint="eastAsia" w:eastAsia="Times New Roman"/>
              </w:rPr>
              <w:t>GDP</w:t>
            </w:r>
            <w:r>
              <w:rPr>
                <w:rFonts w:hint="eastAsia" w:ascii="宋体" w:hAnsi="宋体" w:eastAsia="宋体" w:cs="宋体"/>
              </w:rPr>
              <w:t>占比</w:t>
            </w:r>
          </w:p>
        </w:tc>
        <w:tc>
          <w:tcPr>
            <w:tcW w:w="1250" w:type="pct"/>
            <w:tcBorders>
              <w:top w:val="single" w:color="auto" w:sz="4" w:space="0"/>
              <w:left w:val="single" w:color="auto" w:sz="4" w:space="0"/>
              <w:bottom w:val="single" w:color="auto" w:sz="4" w:space="0"/>
              <w:right w:val="single" w:color="auto" w:sz="4" w:space="0"/>
            </w:tcBorders>
          </w:tcPr>
          <w:p w14:paraId="41A0D360">
            <w:pPr>
              <w:pStyle w:val="5"/>
              <w:rPr>
                <w:rFonts w:eastAsia="Times New Roman"/>
              </w:rPr>
            </w:pPr>
            <w:r>
              <w:rPr>
                <w:rFonts w:hint="eastAsia" w:eastAsia="Times New Roman"/>
              </w:rPr>
              <w:t>1845</w:t>
            </w:r>
          </w:p>
        </w:tc>
        <w:tc>
          <w:tcPr>
            <w:tcW w:w="1250" w:type="pct"/>
            <w:tcBorders>
              <w:top w:val="single" w:color="auto" w:sz="4" w:space="0"/>
              <w:left w:val="single" w:color="auto" w:sz="4" w:space="0"/>
              <w:bottom w:val="single" w:color="auto" w:sz="4" w:space="0"/>
              <w:right w:val="single" w:color="auto" w:sz="4" w:space="0"/>
            </w:tcBorders>
          </w:tcPr>
          <w:p w14:paraId="51D9EF8D">
            <w:pPr>
              <w:pStyle w:val="5"/>
              <w:rPr>
                <w:rFonts w:eastAsia="Times New Roman"/>
              </w:rPr>
            </w:pPr>
            <w:r>
              <w:rPr>
                <w:rFonts w:hint="eastAsia" w:eastAsia="Times New Roman"/>
              </w:rPr>
              <w:t>8.44</w:t>
            </w:r>
          </w:p>
        </w:tc>
      </w:tr>
      <w:tr w14:paraId="13D33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9" w:type="pct"/>
            <w:tcBorders>
              <w:top w:val="single" w:color="auto" w:sz="4" w:space="0"/>
              <w:left w:val="single" w:color="auto" w:sz="4" w:space="0"/>
              <w:bottom w:val="single" w:color="auto" w:sz="4" w:space="0"/>
              <w:right w:val="single" w:color="auto" w:sz="4" w:space="0"/>
            </w:tcBorders>
          </w:tcPr>
          <w:p w14:paraId="7F04CD47">
            <w:pPr>
              <w:pStyle w:val="5"/>
              <w:rPr>
                <w:rFonts w:eastAsia="Times New Roman"/>
              </w:rPr>
            </w:pPr>
            <w:r>
              <w:rPr>
                <w:rFonts w:hint="eastAsia" w:eastAsia="Times New Roman"/>
              </w:rPr>
              <w:t>U</w:t>
            </w:r>
            <w:r>
              <w:rPr>
                <w:rFonts w:hint="eastAsia" w:ascii="宋体" w:hAnsi="宋体" w:eastAsia="宋体" w:cs="宋体"/>
              </w:rPr>
              <w:t>二、三产业消费量</w:t>
            </w:r>
            <w:r>
              <w:rPr>
                <w:rFonts w:eastAsia="Times New Roman"/>
              </w:rPr>
              <w:t>——</w:t>
            </w:r>
            <w:r>
              <w:rPr>
                <w:rFonts w:hint="eastAsia" w:eastAsia="Times New Roman"/>
              </w:rPr>
              <w:t>&gt;</w:t>
            </w:r>
            <w:r>
              <w:rPr>
                <w:rFonts w:hint="eastAsia" w:ascii="宋体" w:hAnsi="宋体" w:eastAsia="宋体" w:cs="宋体"/>
              </w:rPr>
              <w:t>能源供应部门消费量</w:t>
            </w:r>
          </w:p>
        </w:tc>
        <w:tc>
          <w:tcPr>
            <w:tcW w:w="1250" w:type="pct"/>
            <w:tcBorders>
              <w:top w:val="single" w:color="auto" w:sz="4" w:space="0"/>
              <w:left w:val="single" w:color="auto" w:sz="4" w:space="0"/>
              <w:bottom w:val="single" w:color="auto" w:sz="4" w:space="0"/>
              <w:right w:val="single" w:color="auto" w:sz="4" w:space="0"/>
            </w:tcBorders>
          </w:tcPr>
          <w:p w14:paraId="76442635">
            <w:pPr>
              <w:pStyle w:val="5"/>
              <w:rPr>
                <w:rFonts w:eastAsia="Times New Roman"/>
              </w:rPr>
            </w:pPr>
            <w:r>
              <w:rPr>
                <w:rFonts w:hint="eastAsia" w:eastAsia="Times New Roman"/>
              </w:rPr>
              <w:t>522.75</w:t>
            </w:r>
          </w:p>
        </w:tc>
        <w:tc>
          <w:tcPr>
            <w:tcW w:w="1250" w:type="pct"/>
            <w:tcBorders>
              <w:top w:val="single" w:color="auto" w:sz="4" w:space="0"/>
              <w:left w:val="single" w:color="auto" w:sz="4" w:space="0"/>
              <w:bottom w:val="single" w:color="auto" w:sz="4" w:space="0"/>
              <w:right w:val="single" w:color="auto" w:sz="4" w:space="0"/>
            </w:tcBorders>
          </w:tcPr>
          <w:p w14:paraId="2F7AC48D">
            <w:pPr>
              <w:pStyle w:val="5"/>
              <w:rPr>
                <w:rFonts w:eastAsia="Times New Roman"/>
              </w:rPr>
            </w:pPr>
            <w:r>
              <w:rPr>
                <w:rFonts w:hint="eastAsia" w:eastAsia="Times New Roman"/>
              </w:rPr>
              <w:t>6.83</w:t>
            </w:r>
          </w:p>
        </w:tc>
      </w:tr>
      <w:tr w14:paraId="0EE9B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9" w:type="pct"/>
            <w:tcBorders>
              <w:top w:val="single" w:color="auto" w:sz="4" w:space="0"/>
              <w:left w:val="single" w:color="auto" w:sz="4" w:space="0"/>
              <w:bottom w:val="single" w:color="auto" w:sz="4" w:space="0"/>
              <w:right w:val="single" w:color="auto" w:sz="4" w:space="0"/>
            </w:tcBorders>
          </w:tcPr>
          <w:p w14:paraId="2890412D">
            <w:pPr>
              <w:pStyle w:val="5"/>
              <w:rPr>
                <w:rFonts w:eastAsia="Times New Roman"/>
              </w:rPr>
            </w:pPr>
            <w:r>
              <w:rPr>
                <w:rFonts w:hint="eastAsia" w:eastAsia="Times New Roman"/>
              </w:rPr>
              <w:t>F</w:t>
            </w:r>
            <w:r>
              <w:rPr>
                <w:rFonts w:hint="eastAsia" w:ascii="宋体" w:hAnsi="宋体" w:eastAsia="宋体" w:cs="宋体"/>
              </w:rPr>
              <w:t>工业部门清洁能源占比不变</w:t>
            </w:r>
          </w:p>
        </w:tc>
        <w:tc>
          <w:tcPr>
            <w:tcW w:w="1250" w:type="pct"/>
            <w:tcBorders>
              <w:top w:val="single" w:color="auto" w:sz="4" w:space="0"/>
              <w:left w:val="single" w:color="auto" w:sz="4" w:space="0"/>
              <w:bottom w:val="single" w:color="auto" w:sz="4" w:space="0"/>
              <w:right w:val="single" w:color="auto" w:sz="4" w:space="0"/>
            </w:tcBorders>
          </w:tcPr>
          <w:p w14:paraId="41211890">
            <w:pPr>
              <w:pStyle w:val="5"/>
              <w:rPr>
                <w:rFonts w:eastAsia="Times New Roman"/>
              </w:rPr>
            </w:pPr>
            <w:r>
              <w:rPr>
                <w:rFonts w:hint="eastAsia" w:eastAsia="Times New Roman"/>
              </w:rPr>
              <w:t>66.78</w:t>
            </w:r>
          </w:p>
        </w:tc>
        <w:tc>
          <w:tcPr>
            <w:tcW w:w="1250" w:type="pct"/>
            <w:tcBorders>
              <w:top w:val="single" w:color="auto" w:sz="4" w:space="0"/>
              <w:left w:val="single" w:color="auto" w:sz="4" w:space="0"/>
              <w:bottom w:val="single" w:color="auto" w:sz="4" w:space="0"/>
              <w:right w:val="single" w:color="auto" w:sz="4" w:space="0"/>
            </w:tcBorders>
          </w:tcPr>
          <w:p w14:paraId="2DB83583">
            <w:pPr>
              <w:pStyle w:val="5"/>
              <w:rPr>
                <w:rFonts w:eastAsia="Times New Roman"/>
              </w:rPr>
            </w:pPr>
            <w:r>
              <w:rPr>
                <w:rFonts w:hint="eastAsia" w:eastAsia="Times New Roman"/>
              </w:rPr>
              <w:t>44.93</w:t>
            </w:r>
          </w:p>
        </w:tc>
      </w:tr>
      <w:tr w14:paraId="3C417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9" w:type="pct"/>
            <w:tcBorders>
              <w:top w:val="single" w:color="auto" w:sz="4" w:space="0"/>
              <w:left w:val="single" w:color="auto" w:sz="4" w:space="0"/>
              <w:bottom w:val="single" w:color="auto" w:sz="4" w:space="0"/>
              <w:right w:val="single" w:color="auto" w:sz="4" w:space="0"/>
            </w:tcBorders>
          </w:tcPr>
          <w:p w14:paraId="38111815">
            <w:pPr>
              <w:pStyle w:val="5"/>
              <w:rPr>
                <w:rFonts w:eastAsia="Times New Roman"/>
              </w:rPr>
            </w:pPr>
            <w:r>
              <w:rPr>
                <w:rFonts w:hint="eastAsia" w:eastAsia="Times New Roman"/>
              </w:rPr>
              <w:t>E</w:t>
            </w:r>
            <w:r>
              <w:rPr>
                <w:rFonts w:hint="eastAsia" w:ascii="宋体" w:hAnsi="宋体" w:eastAsia="宋体" w:cs="宋体"/>
              </w:rPr>
              <w:t>石化能源消费总量不变</w:t>
            </w:r>
          </w:p>
        </w:tc>
        <w:tc>
          <w:tcPr>
            <w:tcW w:w="1250" w:type="pct"/>
            <w:tcBorders>
              <w:top w:val="single" w:color="auto" w:sz="4" w:space="0"/>
              <w:left w:val="single" w:color="auto" w:sz="4" w:space="0"/>
              <w:bottom w:val="single" w:color="auto" w:sz="4" w:space="0"/>
              <w:right w:val="single" w:color="auto" w:sz="4" w:space="0"/>
            </w:tcBorders>
          </w:tcPr>
          <w:p w14:paraId="02D5ABEF">
            <w:pPr>
              <w:pStyle w:val="5"/>
              <w:rPr>
                <w:rFonts w:eastAsia="Times New Roman"/>
              </w:rPr>
            </w:pPr>
            <w:r>
              <w:rPr>
                <w:rFonts w:hint="eastAsia" w:eastAsia="Times New Roman"/>
              </w:rPr>
              <w:t>64.34</w:t>
            </w:r>
          </w:p>
        </w:tc>
        <w:tc>
          <w:tcPr>
            <w:tcW w:w="1250" w:type="pct"/>
            <w:tcBorders>
              <w:top w:val="single" w:color="auto" w:sz="4" w:space="0"/>
              <w:left w:val="single" w:color="auto" w:sz="4" w:space="0"/>
              <w:bottom w:val="single" w:color="auto" w:sz="4" w:space="0"/>
              <w:right w:val="single" w:color="auto" w:sz="4" w:space="0"/>
            </w:tcBorders>
          </w:tcPr>
          <w:p w14:paraId="5A319C2E">
            <w:pPr>
              <w:pStyle w:val="5"/>
              <w:rPr>
                <w:rFonts w:eastAsia="Times New Roman"/>
              </w:rPr>
            </w:pPr>
            <w:r>
              <w:rPr>
                <w:rFonts w:hint="eastAsia" w:eastAsia="Times New Roman"/>
              </w:rPr>
              <w:t>6.97</w:t>
            </w:r>
          </w:p>
        </w:tc>
      </w:tr>
      <w:tr w14:paraId="73240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9" w:type="pct"/>
            <w:tcBorders>
              <w:top w:val="single" w:color="auto" w:sz="4" w:space="0"/>
              <w:left w:val="single" w:color="auto" w:sz="4" w:space="0"/>
              <w:bottom w:val="single" w:color="auto" w:sz="12" w:space="0"/>
              <w:right w:val="single" w:color="auto" w:sz="4" w:space="0"/>
            </w:tcBorders>
          </w:tcPr>
          <w:p w14:paraId="37AF68B9">
            <w:pPr>
              <w:pStyle w:val="5"/>
              <w:rPr>
                <w:rFonts w:eastAsia="Times New Roman"/>
              </w:rPr>
            </w:pPr>
            <w:r>
              <w:rPr>
                <w:rFonts w:hint="eastAsia" w:eastAsia="Times New Roman"/>
              </w:rPr>
              <w:t>G</w:t>
            </w:r>
            <w:r>
              <w:rPr>
                <w:rFonts w:hint="eastAsia" w:ascii="宋体" w:hAnsi="宋体" w:eastAsia="宋体" w:cs="宋体"/>
              </w:rPr>
              <w:t>单位</w:t>
            </w:r>
            <w:r>
              <w:rPr>
                <w:rFonts w:hint="eastAsia" w:eastAsia="Times New Roman"/>
              </w:rPr>
              <w:t>GDP</w:t>
            </w:r>
            <w:r>
              <w:rPr>
                <w:rFonts w:hint="eastAsia" w:ascii="宋体" w:hAnsi="宋体" w:eastAsia="宋体" w:cs="宋体"/>
              </w:rPr>
              <w:t>能耗</w:t>
            </w:r>
          </w:p>
        </w:tc>
        <w:tc>
          <w:tcPr>
            <w:tcW w:w="1250" w:type="pct"/>
            <w:tcBorders>
              <w:top w:val="single" w:color="auto" w:sz="4" w:space="0"/>
              <w:left w:val="single" w:color="auto" w:sz="4" w:space="0"/>
              <w:bottom w:val="single" w:color="auto" w:sz="12" w:space="0"/>
              <w:right w:val="single" w:color="auto" w:sz="4" w:space="0"/>
            </w:tcBorders>
          </w:tcPr>
          <w:p w14:paraId="5F514923">
            <w:pPr>
              <w:pStyle w:val="5"/>
              <w:rPr>
                <w:rFonts w:eastAsia="Times New Roman"/>
              </w:rPr>
            </w:pPr>
            <w:r>
              <w:rPr>
                <w:rFonts w:hint="eastAsia" w:eastAsia="Times New Roman"/>
              </w:rPr>
              <w:t>817.42</w:t>
            </w:r>
          </w:p>
        </w:tc>
        <w:tc>
          <w:tcPr>
            <w:tcW w:w="1250" w:type="pct"/>
            <w:tcBorders>
              <w:top w:val="single" w:color="auto" w:sz="4" w:space="0"/>
              <w:left w:val="single" w:color="auto" w:sz="4" w:space="0"/>
              <w:bottom w:val="single" w:color="auto" w:sz="12" w:space="0"/>
              <w:right w:val="single" w:color="auto" w:sz="4" w:space="0"/>
            </w:tcBorders>
          </w:tcPr>
          <w:p w14:paraId="4C6FABF1">
            <w:pPr>
              <w:pStyle w:val="5"/>
              <w:rPr>
                <w:rFonts w:eastAsia="Times New Roman"/>
              </w:rPr>
            </w:pPr>
            <w:r>
              <w:rPr>
                <w:rFonts w:hint="eastAsia" w:eastAsia="Times New Roman"/>
              </w:rPr>
              <w:t>49.98</w:t>
            </w:r>
          </w:p>
        </w:tc>
      </w:tr>
    </w:tbl>
    <w:p w14:paraId="488A8260">
      <w:pPr>
        <w:ind w:firstLine="0" w:firstLineChars="0"/>
        <w:rPr>
          <w:kern w:val="24"/>
          <w:szCs w:val="24"/>
        </w:rPr>
      </w:pPr>
      <w:r>
        <w:rPr>
          <w:rFonts w:hint="eastAsia"/>
          <w:kern w:val="24"/>
          <w:szCs w:val="24"/>
        </w:rPr>
        <w:t>之后，基于上述分析，团队得出如下回归方程：</w:t>
      </w:r>
    </w:p>
    <w:p w14:paraId="04B86662">
      <w:pPr>
        <w:ind w:firstLine="720" w:firstLineChars="300"/>
        <w:rPr>
          <w:kern w:val="24"/>
          <w:szCs w:val="24"/>
        </w:rPr>
      </w:pPr>
      <m:oMath>
        <m:func>
          <m:funcPr>
            <m:ctrlPr>
              <w:rPr>
                <w:rFonts w:ascii="Cambria Math" w:hAnsi="Cambria Math"/>
                <w:i/>
              </w:rPr>
            </m:ctrlPr>
          </m:funcPr>
          <m:fName>
            <m:r>
              <m:rPr>
                <m:sty m:val="p"/>
              </m:rPr>
              <w:rPr>
                <w:rFonts w:ascii="Cambria Math" w:hAnsi="Cambria Math"/>
              </w:rPr>
              <m:t>ln</m:t>
            </m:r>
            <m:ctrlPr>
              <w:rPr>
                <w:rFonts w:ascii="Cambria Math" w:hAnsi="Cambria Math"/>
                <w:i/>
              </w:rPr>
            </m:ctrlPr>
          </m:fName>
          <m:e>
            <m:r>
              <m:rPr/>
              <w:rPr>
                <w:rFonts w:ascii="Cambria Math" w:hAnsi="Cambria Math"/>
              </w:rPr>
              <m:t>I</m:t>
            </m:r>
            <m:ctrlPr>
              <w:rPr>
                <w:rFonts w:ascii="Cambria Math" w:hAnsi="Cambria Math"/>
                <w:i/>
              </w:rPr>
            </m:ctrlPr>
          </m:e>
        </m:func>
        <m:r>
          <m:rPr/>
          <w:rPr>
            <w:rFonts w:ascii="Cambria Math" w:hAnsi="Cambria Math"/>
          </w:rPr>
          <m:t>=0.62</m:t>
        </m:r>
        <m:func>
          <m:funcPr>
            <m:ctrlPr>
              <w:rPr>
                <w:rFonts w:ascii="Cambria Math" w:hAnsi="Cambria Math"/>
                <w:i/>
              </w:rPr>
            </m:ctrlPr>
          </m:funcPr>
          <m:fName>
            <m:r>
              <m:rPr>
                <m:sty m:val="p"/>
              </m:rPr>
              <w:rPr>
                <w:rFonts w:ascii="Cambria Math" w:hAnsi="Cambria Math"/>
              </w:rPr>
              <m:t>ln</m:t>
            </m:r>
            <m:ctrlPr>
              <w:rPr>
                <w:rFonts w:ascii="Cambria Math" w:hAnsi="Cambria Math"/>
                <w:i/>
              </w:rPr>
            </m:ctrlPr>
          </m:fName>
          <m:e>
            <m:r>
              <m:rPr/>
              <w:rPr>
                <w:rFonts w:ascii="Cambria Math" w:hAnsi="Cambria Math"/>
              </w:rPr>
              <m:t>A</m:t>
            </m:r>
            <m:ctrlPr>
              <w:rPr>
                <w:rFonts w:ascii="Cambria Math" w:hAnsi="Cambria Math"/>
                <w:i/>
              </w:rPr>
            </m:ctrlPr>
          </m:e>
        </m:func>
        <m:r>
          <m:rPr/>
          <w:rPr>
            <w:rFonts w:ascii="Cambria Math" w:hAnsi="Cambria Math"/>
          </w:rPr>
          <m:t>−0.10</m:t>
        </m:r>
        <m:func>
          <m:funcPr>
            <m:ctrlPr>
              <w:rPr>
                <w:rFonts w:ascii="Cambria Math" w:hAnsi="Cambria Math"/>
                <w:i/>
              </w:rPr>
            </m:ctrlPr>
          </m:funcPr>
          <m:fName>
            <m:r>
              <m:rPr>
                <m:sty m:val="p"/>
              </m:rPr>
              <w:rPr>
                <w:rFonts w:ascii="Cambria Math" w:hAnsi="Cambria Math"/>
              </w:rPr>
              <m:t>ln</m:t>
            </m:r>
            <m:ctrlPr>
              <w:rPr>
                <w:rFonts w:ascii="Cambria Math" w:hAnsi="Cambria Math"/>
                <w:i/>
              </w:rPr>
            </m:ctrlPr>
          </m:fName>
          <m:e>
            <m:r>
              <m:rPr/>
              <w:rPr>
                <w:rFonts w:ascii="Cambria Math" w:hAnsi="Cambria Math"/>
              </w:rPr>
              <m:t>P</m:t>
            </m:r>
            <m:ctrlPr>
              <w:rPr>
                <w:rFonts w:ascii="Cambria Math" w:hAnsi="Cambria Math"/>
                <w:i/>
              </w:rPr>
            </m:ctrlPr>
          </m:e>
        </m:func>
        <m:r>
          <m:rPr/>
          <w:rPr>
            <w:rFonts w:ascii="Cambria Math" w:hAnsi="Cambria Math"/>
          </w:rPr>
          <m:t>+0.20</m:t>
        </m:r>
        <m:func>
          <m:funcPr>
            <m:ctrlPr>
              <w:rPr>
                <w:rFonts w:ascii="Cambria Math" w:hAnsi="Cambria Math"/>
                <w:i/>
              </w:rPr>
            </m:ctrlPr>
          </m:funcPr>
          <m:fName>
            <m:r>
              <m:rPr>
                <m:sty m:val="p"/>
              </m:rPr>
              <w:rPr>
                <w:rFonts w:ascii="Cambria Math" w:hAnsi="Cambria Math"/>
              </w:rPr>
              <m:t>ln</m:t>
            </m:r>
            <m:ctrlPr>
              <w:rPr>
                <w:rFonts w:ascii="Cambria Math" w:hAnsi="Cambria Math"/>
                <w:i/>
              </w:rPr>
            </m:ctrlPr>
          </m:fName>
          <m:e>
            <m:r>
              <m:rPr/>
              <w:rPr>
                <w:rFonts w:ascii="Cambria Math" w:hAnsi="Cambria Math"/>
              </w:rPr>
              <m:t>U</m:t>
            </m:r>
            <m:ctrlPr>
              <w:rPr>
                <w:rFonts w:ascii="Cambria Math" w:hAnsi="Cambria Math"/>
                <w:i/>
              </w:rPr>
            </m:ctrlPr>
          </m:e>
        </m:func>
        <m:r>
          <m:rPr/>
          <w:rPr>
            <w:rFonts w:ascii="Cambria Math" w:hAnsi="Cambria Math"/>
          </w:rPr>
          <m:t>+1.66</m:t>
        </m:r>
        <m:func>
          <m:funcPr>
            <m:ctrlPr>
              <w:rPr>
                <w:rFonts w:ascii="Cambria Math" w:hAnsi="Cambria Math"/>
                <w:i/>
              </w:rPr>
            </m:ctrlPr>
          </m:funcPr>
          <m:fName>
            <m:r>
              <m:rPr>
                <m:sty m:val="p"/>
              </m:rPr>
              <w:rPr>
                <w:rFonts w:ascii="Cambria Math" w:hAnsi="Cambria Math"/>
              </w:rPr>
              <m:t>ln</m:t>
            </m:r>
            <m:ctrlPr>
              <w:rPr>
                <w:rFonts w:ascii="Cambria Math" w:hAnsi="Cambria Math"/>
                <w:i/>
              </w:rPr>
            </m:ctrlPr>
          </m:fName>
          <m:e>
            <m:r>
              <m:rPr/>
              <w:rPr>
                <w:rFonts w:ascii="Cambria Math" w:hAnsi="Cambria Math"/>
              </w:rPr>
              <m:t>E</m:t>
            </m:r>
            <m:ctrlPr>
              <w:rPr>
                <w:rFonts w:ascii="Cambria Math" w:hAnsi="Cambria Math"/>
                <w:i/>
              </w:rPr>
            </m:ctrlPr>
          </m:e>
        </m:func>
        <m:r>
          <m:rPr/>
          <w:rPr>
            <w:rFonts w:ascii="Cambria Math" w:hAnsi="Cambria Math"/>
          </w:rPr>
          <m:t>+0.90</m:t>
        </m:r>
        <m:func>
          <m:funcPr>
            <m:ctrlPr>
              <w:rPr>
                <w:rFonts w:ascii="Cambria Math" w:hAnsi="Cambria Math"/>
                <w:i/>
              </w:rPr>
            </m:ctrlPr>
          </m:funcPr>
          <m:fName>
            <m:r>
              <m:rPr>
                <m:sty m:val="p"/>
              </m:rPr>
              <w:rPr>
                <w:rFonts w:ascii="Cambria Math" w:hAnsi="Cambria Math"/>
              </w:rPr>
              <m:t>ln</m:t>
            </m:r>
            <m:ctrlPr>
              <w:rPr>
                <w:rFonts w:ascii="Cambria Math" w:hAnsi="Cambria Math"/>
                <w:i/>
              </w:rPr>
            </m:ctrlPr>
          </m:fName>
          <m:e>
            <m:r>
              <m:rPr/>
              <w:rPr>
                <w:rFonts w:ascii="Cambria Math" w:hAnsi="Cambria Math"/>
              </w:rPr>
              <m:t>F</m:t>
            </m:r>
            <m:ctrlPr>
              <w:rPr>
                <w:rFonts w:ascii="Cambria Math" w:hAnsi="Cambria Math"/>
                <w:i/>
              </w:rPr>
            </m:ctrlPr>
          </m:e>
        </m:func>
        <m:r>
          <m:rPr/>
          <w:rPr>
            <w:rFonts w:ascii="Cambria Math" w:hAnsi="Cambria Math"/>
          </w:rPr>
          <m:t>+0.96</m:t>
        </m:r>
        <m:func>
          <m:funcPr>
            <m:ctrlPr>
              <w:rPr>
                <w:rFonts w:ascii="Cambria Math" w:hAnsi="Cambria Math"/>
                <w:i/>
              </w:rPr>
            </m:ctrlPr>
          </m:funcPr>
          <m:fName>
            <m:r>
              <m:rPr>
                <m:sty m:val="p"/>
              </m:rPr>
              <w:rPr>
                <w:rFonts w:ascii="Cambria Math" w:hAnsi="Cambria Math"/>
              </w:rPr>
              <m:t>ln</m:t>
            </m:r>
            <m:ctrlPr>
              <w:rPr>
                <w:rFonts w:ascii="Cambria Math" w:hAnsi="Cambria Math"/>
                <w:i/>
              </w:rPr>
            </m:ctrlPr>
          </m:fName>
          <m:e>
            <m:r>
              <m:rPr/>
              <w:rPr>
                <w:rFonts w:ascii="Cambria Math" w:hAnsi="Cambria Math"/>
              </w:rPr>
              <m:t>G</m:t>
            </m:r>
            <m:ctrlPr>
              <w:rPr>
                <w:rFonts w:ascii="Cambria Math" w:hAnsi="Cambria Math"/>
                <w:i/>
              </w:rPr>
            </m:ctrlPr>
          </m:e>
        </m:func>
        <m:r>
          <m:rPr/>
          <w:rPr>
            <w:rFonts w:ascii="Cambria Math" w:hAnsi="Cambria Math"/>
          </w:rPr>
          <m:t>+ε</m:t>
        </m:r>
      </m:oMath>
      <w:r>
        <w:rPr>
          <w:rFonts w:hint="eastAsia"/>
        </w:rPr>
        <w:t xml:space="preserve"> </w:t>
      </w:r>
      <w:r>
        <w:t xml:space="preserve">  </w:t>
      </w:r>
      <w:r>
        <w:rPr>
          <w:rFonts w:hint="eastAsia"/>
        </w:rPr>
        <w:t>（4）</w:t>
      </w:r>
    </w:p>
    <w:p w14:paraId="6C0991DF">
      <w:pPr>
        <w:ind w:firstLine="480"/>
      </w:pPr>
      <w:r>
        <w:rPr>
          <w:rFonts w:hint="eastAsia"/>
        </w:rPr>
        <w:t>对上式去对数，得</w:t>
      </w:r>
    </w:p>
    <w:p w14:paraId="313C7859">
      <w:pPr>
        <w:ind w:firstLine="3120" w:firstLineChars="1300"/>
      </w:pPr>
      <m:oMath>
        <m:r>
          <m:rPr/>
          <w:rPr>
            <w:rFonts w:ascii="Cambria Math" w:hAnsi="Cambria Math"/>
          </w:rPr>
          <m:t>I=267.35</m:t>
        </m:r>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0.62</m:t>
            </m:r>
            <m:ctrlPr>
              <w:rPr>
                <w:rFonts w:ascii="Cambria Math" w:hAnsi="Cambria Math"/>
                <w:i/>
              </w:rPr>
            </m:ctrlPr>
          </m:sup>
        </m:sSup>
        <m:f>
          <m:fPr>
            <m:ctrlPr>
              <w:rPr>
                <w:rFonts w:ascii="Cambria Math" w:hAnsi="Cambria Math"/>
                <w:i/>
              </w:rPr>
            </m:ctrlPr>
          </m:fPr>
          <m:num>
            <m:r>
              <m:rPr/>
              <w:rPr>
                <w:rFonts w:ascii="Cambria Math" w:hAnsi="Cambria Math"/>
              </w:rPr>
              <m:t>1</m:t>
            </m:r>
            <m:ctrlPr>
              <w:rPr>
                <w:rFonts w:ascii="Cambria Math" w:hAnsi="Cambria Math"/>
                <w:i/>
              </w:rPr>
            </m:ctrlPr>
          </m:num>
          <m:den>
            <m:sSup>
              <m:sSupPr>
                <m:ctrlPr>
                  <w:rPr>
                    <w:rFonts w:ascii="Cambria Math" w:hAnsi="Cambria Math"/>
                    <w:i/>
                  </w:rPr>
                </m:ctrlPr>
              </m:sSupPr>
              <m:e>
                <m:r>
                  <m:rPr/>
                  <w:rPr>
                    <w:rFonts w:ascii="Cambria Math" w:hAnsi="Cambria Math"/>
                  </w:rPr>
                  <m:t>P</m:t>
                </m:r>
                <m:ctrlPr>
                  <w:rPr>
                    <w:rFonts w:ascii="Cambria Math" w:hAnsi="Cambria Math"/>
                    <w:i/>
                  </w:rPr>
                </m:ctrlPr>
              </m:e>
              <m:sup>
                <m:r>
                  <m:rPr/>
                  <w:rPr>
                    <w:rFonts w:ascii="Cambria Math" w:hAnsi="Cambria Math"/>
                  </w:rPr>
                  <m:t>0.1</m:t>
                </m:r>
                <m:ctrlPr>
                  <w:rPr>
                    <w:rFonts w:ascii="Cambria Math" w:hAnsi="Cambria Math"/>
                    <w:i/>
                  </w:rPr>
                </m:ctrlPr>
              </m:sup>
            </m:sSup>
            <m:ctrlPr>
              <w:rPr>
                <w:rFonts w:ascii="Cambria Math" w:hAnsi="Cambria Math"/>
                <w:i/>
              </w:rPr>
            </m:ctrlPr>
          </m:den>
        </m:f>
        <m:sSup>
          <m:sSupPr>
            <m:ctrlPr>
              <w:rPr>
                <w:rFonts w:ascii="Cambria Math" w:hAnsi="Cambria Math"/>
                <w:i/>
              </w:rPr>
            </m:ctrlPr>
          </m:sSupPr>
          <m:e>
            <m:r>
              <m:rPr/>
              <w:rPr>
                <w:rFonts w:ascii="Cambria Math" w:hAnsi="Cambria Math"/>
              </w:rPr>
              <m:t>U</m:t>
            </m:r>
            <m:ctrlPr>
              <w:rPr>
                <w:rFonts w:ascii="Cambria Math" w:hAnsi="Cambria Math"/>
                <w:i/>
              </w:rPr>
            </m:ctrlPr>
          </m:e>
          <m:sup>
            <m:r>
              <m:rPr/>
              <w:rPr>
                <w:rFonts w:ascii="Cambria Math" w:hAnsi="Cambria Math"/>
              </w:rPr>
              <m:t>0.2</m:t>
            </m:r>
            <m:ctrlPr>
              <w:rPr>
                <w:rFonts w:ascii="Cambria Math" w:hAnsi="Cambria Math"/>
                <w:i/>
              </w:rPr>
            </m:ctrlPr>
          </m:sup>
        </m:sSup>
        <m:sSup>
          <m:sSupPr>
            <m:ctrlPr>
              <w:rPr>
                <w:rFonts w:ascii="Cambria Math" w:hAnsi="Cambria Math"/>
                <w:i/>
              </w:rPr>
            </m:ctrlPr>
          </m:sSupPr>
          <m:e>
            <m:r>
              <m:rPr/>
              <w:rPr>
                <w:rFonts w:ascii="Cambria Math" w:hAnsi="Cambria Math"/>
              </w:rPr>
              <m:t>E</m:t>
            </m:r>
            <m:ctrlPr>
              <w:rPr>
                <w:rFonts w:ascii="Cambria Math" w:hAnsi="Cambria Math"/>
                <w:i/>
              </w:rPr>
            </m:ctrlPr>
          </m:e>
          <m:sup>
            <m:r>
              <m:rPr/>
              <w:rPr>
                <w:rFonts w:ascii="Cambria Math" w:hAnsi="Cambria Math"/>
              </w:rPr>
              <m:t>1.6</m:t>
            </m:r>
            <m:ctrlPr>
              <w:rPr>
                <w:rFonts w:ascii="Cambria Math" w:hAnsi="Cambria Math"/>
                <w:i/>
              </w:rPr>
            </m:ctrlPr>
          </m:sup>
        </m:sSup>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0.9</m:t>
            </m:r>
            <m:ctrlPr>
              <w:rPr>
                <w:rFonts w:ascii="Cambria Math" w:hAnsi="Cambria Math"/>
                <w:i/>
              </w:rPr>
            </m:ctrlPr>
          </m:sup>
        </m:sSup>
        <m:sSup>
          <m:sSupPr>
            <m:ctrlPr>
              <w:rPr>
                <w:rFonts w:ascii="Cambria Math" w:hAnsi="Cambria Math"/>
                <w:i/>
              </w:rPr>
            </m:ctrlPr>
          </m:sSupPr>
          <m:e>
            <m:r>
              <m:rPr/>
              <w:rPr>
                <w:rFonts w:ascii="Cambria Math" w:hAnsi="Cambria Math"/>
              </w:rPr>
              <m:t>G</m:t>
            </m:r>
            <m:ctrlPr>
              <w:rPr>
                <w:rFonts w:ascii="Cambria Math" w:hAnsi="Cambria Math"/>
                <w:i/>
              </w:rPr>
            </m:ctrlPr>
          </m:e>
          <m:sup>
            <m:r>
              <m:rPr/>
              <w:rPr>
                <w:rFonts w:ascii="Cambria Math" w:hAnsi="Cambria Math"/>
              </w:rPr>
              <m:t>0.96</m:t>
            </m:r>
            <m:ctrlPr>
              <w:rPr>
                <w:rFonts w:ascii="Cambria Math" w:hAnsi="Cambria Math"/>
                <w:i/>
              </w:rPr>
            </m:ctrlPr>
          </m:sup>
        </m:sSup>
        <m:r>
          <m:rPr/>
          <w:rPr>
            <w:rFonts w:ascii="Cambria Math" w:hAnsi="Cambria Math"/>
          </w:rPr>
          <m:t>ε</m:t>
        </m:r>
      </m:oMath>
      <w:r>
        <w:rPr>
          <w:rFonts w:hint="eastAsia"/>
        </w:rPr>
        <w:t xml:space="preserve"> </w:t>
      </w:r>
      <w:r>
        <w:t xml:space="preserve">               </w:t>
      </w:r>
      <w:r>
        <w:rPr>
          <w:rFonts w:hint="eastAsia"/>
        </w:rPr>
        <w:t>（5）</w:t>
      </w:r>
    </w:p>
    <w:p w14:paraId="77E1B164">
      <w:pPr>
        <w:ind w:firstLine="480"/>
        <w:rPr>
          <w:rFonts w:cs="Cambria Math"/>
        </w:rPr>
      </w:pPr>
      <w:r>
        <w:rPr>
          <w:rFonts w:hint="eastAsia"/>
          <w:szCs w:val="24"/>
        </w:rPr>
        <w:t>其中</w:t>
      </w:r>
      <m:oMath>
        <m:r>
          <m:rPr/>
          <w:rPr>
            <w:rFonts w:ascii="Cambria Math" w:hAnsi="Cambria Math"/>
            <w:szCs w:val="24"/>
          </w:rPr>
          <m:t>ε</m:t>
        </m:r>
      </m:oMath>
      <w:r>
        <w:rPr>
          <w:rFonts w:hint="eastAsia" w:cs="Cambria Math"/>
        </w:rPr>
        <w:t>在</w:t>
      </w:r>
      <w:r>
        <w:rPr>
          <w:rFonts w:hint="eastAsia"/>
        </w:rPr>
        <w:t>0.95~1.11</w:t>
      </w:r>
      <w:r>
        <w:rPr>
          <w:rFonts w:hint="eastAsia" w:cs="Cambria Math"/>
        </w:rPr>
        <w:t>之间波动</w:t>
      </w:r>
    </w:p>
    <w:p w14:paraId="285F38F9">
      <w:pPr>
        <w:ind w:firstLine="480"/>
      </w:pPr>
      <w:r>
        <w:rPr>
          <w:rFonts w:hint="eastAsia"/>
        </w:rPr>
        <w:t>即碳排放预测模型中的各指标（人口乘数、工业部门GDP占比、能源供应部门消费量、工业部门清洁能源占比、石化能源消费总量以及单位GDP能耗）对应的参数分别是-</w:t>
      </w:r>
      <w:r>
        <w:t>0.1</w:t>
      </w:r>
      <w:r>
        <w:rPr>
          <w:rFonts w:hint="eastAsia"/>
        </w:rPr>
        <w:t>、0</w:t>
      </w:r>
      <w:r>
        <w:t>.62</w:t>
      </w:r>
      <w:r>
        <w:rPr>
          <w:rFonts w:hint="eastAsia"/>
        </w:rPr>
        <w:t>、</w:t>
      </w:r>
      <w:r>
        <w:t>0.2</w:t>
      </w:r>
      <w:r>
        <w:rPr>
          <w:rFonts w:hint="eastAsia"/>
        </w:rPr>
        <w:t>、1</w:t>
      </w:r>
      <w:r>
        <w:t>.6</w:t>
      </w:r>
      <w:r>
        <w:rPr>
          <w:rFonts w:hint="eastAsia"/>
        </w:rPr>
        <w:t>、0</w:t>
      </w:r>
      <w:r>
        <w:t>.9</w:t>
      </w:r>
      <w:r>
        <w:rPr>
          <w:rFonts w:hint="eastAsia"/>
        </w:rPr>
        <w:t>、0</w:t>
      </w:r>
      <w:r>
        <w:t>.96</w:t>
      </w:r>
      <w:r>
        <w:rPr>
          <w:rFonts w:hint="eastAsia"/>
        </w:rPr>
        <w:t>。</w:t>
      </w:r>
    </w:p>
    <w:p w14:paraId="681974CF">
      <w:pPr>
        <w:ind w:firstLine="480"/>
        <w:rPr>
          <w:szCs w:val="24"/>
        </w:rPr>
      </w:pPr>
      <w:r>
        <w:rPr>
          <w:rFonts w:hint="eastAsia"/>
        </w:rPr>
        <w:t>下图是对所得回归方程的准确性的可视化，可以发现实际值和预测值间的偏差较小，因此这在一定程度上说明了回归方程的准确性。</w:t>
      </w:r>
    </w:p>
    <w:p w14:paraId="33A30690">
      <w:pPr>
        <w:keepNext/>
        <w:ind w:firstLine="0" w:firstLineChars="0"/>
      </w:pPr>
      <w:r>
        <w:drawing>
          <wp:inline distT="0" distB="0" distL="0" distR="0">
            <wp:extent cx="5843270" cy="2762885"/>
            <wp:effectExtent l="0" t="0" r="5080" b="0"/>
            <wp:docPr id="1924293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93630" name="图片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843270" cy="2762885"/>
                    </a:xfrm>
                    <a:prstGeom prst="rect">
                      <a:avLst/>
                    </a:prstGeom>
                    <a:noFill/>
                    <a:ln>
                      <a:noFill/>
                    </a:ln>
                  </pic:spPr>
                </pic:pic>
              </a:graphicData>
            </a:graphic>
          </wp:inline>
        </w:drawing>
      </w:r>
    </w:p>
    <w:p w14:paraId="103F823B">
      <w:pPr>
        <w:pStyle w:val="5"/>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9</w:t>
      </w:r>
      <w:r>
        <w:fldChar w:fldCharType="end"/>
      </w:r>
      <w:r>
        <w:t xml:space="preserve"> </w:t>
      </w:r>
      <w:r>
        <w:rPr>
          <w:rFonts w:hint="eastAsia"/>
        </w:rPr>
        <w:t>回归方程的可视化准确性</w:t>
      </w:r>
    </w:p>
    <w:p w14:paraId="6F73C296">
      <w:pPr>
        <w:pStyle w:val="3"/>
      </w:pPr>
      <w:r>
        <w:rPr>
          <w:rFonts w:hint="eastAsia"/>
        </w:rPr>
        <w:t>5</w:t>
      </w:r>
      <w:r>
        <w:t xml:space="preserve">.2 </w:t>
      </w:r>
      <w:r>
        <w:rPr>
          <w:rFonts w:hint="eastAsia"/>
        </w:rPr>
        <w:t>问题二的求解</w:t>
      </w:r>
    </w:p>
    <w:p w14:paraId="46FCD453">
      <w:pPr>
        <w:ind w:firstLine="0" w:firstLineChars="0"/>
        <w:rPr>
          <w:sz w:val="21"/>
          <w:szCs w:val="21"/>
        </w:rPr>
      </w:pPr>
      <w:r>
        <w:rPr>
          <w:rFonts w:hint="eastAsia"/>
          <w:b/>
          <w:bCs/>
          <w:szCs w:val="36"/>
        </w:rPr>
        <w:t>5</w:t>
      </w:r>
      <w:r>
        <w:rPr>
          <w:b/>
          <w:bCs/>
          <w:szCs w:val="36"/>
        </w:rPr>
        <w:t xml:space="preserve">.2.1 </w:t>
      </w:r>
      <w:r>
        <w:rPr>
          <w:rFonts w:hint="eastAsia"/>
          <w:b/>
          <w:bCs/>
        </w:rPr>
        <w:t>基于人口和经济变化的能源消费量预测模型</w:t>
      </w:r>
    </w:p>
    <w:p w14:paraId="6C6A5A47">
      <w:pPr>
        <w:ind w:firstLine="482"/>
      </w:pPr>
      <w:r>
        <w:rPr>
          <w:rFonts w:hint="eastAsia"/>
          <w:b/>
          <w:bCs/>
        </w:rPr>
        <w:t>人口预测</w:t>
      </w:r>
      <w:r>
        <w:rPr>
          <w:rFonts w:hint="eastAsia"/>
        </w:rPr>
        <w:t>：logistic增长模型是少有的可以用于描述S型增长的数学模型。其刻画的S型曲线在开始以较慢的增长率变化，在中间部分增加，之后逐渐减小并趋于稳定。它不仅可以作为复杂模型的理论基础，描述客观事物生长过程的定量动力学，而且尤为适用于预测人口变化。此外，丹麦数学家</w:t>
      </w:r>
      <w:r>
        <w:t>Pierre-Francois Verhulst</w:t>
      </w:r>
      <w:r>
        <w:rPr>
          <w:rFonts w:hint="eastAsia"/>
        </w:rPr>
        <w:t>对logistic增长模型进行了改进：</w:t>
      </w:r>
    </w:p>
    <w:p w14:paraId="471645BC">
      <w:pPr>
        <w:ind w:firstLine="3840" w:firstLineChars="1600"/>
      </w:pPr>
      <m:oMath>
        <m:f>
          <m:fPr>
            <m:ctrlPr>
              <w:rPr>
                <w:rFonts w:ascii="Cambria Math" w:hAnsi="Cambria Math"/>
              </w:rPr>
            </m:ctrlPr>
          </m:fPr>
          <m:num>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p</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den>
        </m:f>
        <m:r>
          <m:rPr>
            <m:sty m:val="p"/>
          </m:rPr>
          <w:rPr>
            <w:rFonts w:ascii="Cambria Math" w:hAnsi="Cambria Math"/>
          </w:rPr>
          <m:t>=</m:t>
        </m:r>
        <m:r>
          <m:rPr/>
          <w:rPr>
            <w:rFonts w:ascii="Cambria Math" w:hAnsi="Cambria Math"/>
          </w:rPr>
          <m:t>r</m:t>
        </m:r>
        <m:d>
          <m:dPr>
            <m:ctrlPr>
              <w:rPr>
                <w:rFonts w:ascii="Cambria Math" w:hAnsi="Cambria Math"/>
              </w:rPr>
            </m:ctrlPr>
          </m:dPr>
          <w:bookmarkStart w:id="2" w:name="_Hlk146475827"/>
          <m:e>
            <m:r>
              <m:rPr/>
              <w:rPr>
                <w:rFonts w:ascii="Cambria Math" w:hAnsi="Cambria Math"/>
              </w:rPr>
              <m:t>M</m:t>
            </m:r>
            <w:bookmarkEnd w:id="2"/>
            <m:r>
              <m:rPr>
                <m:sty m:val="p"/>
              </m:rPr>
              <w:rPr>
                <w:rFonts w:ascii="Cambria Math" w:hAnsi="Cambria Math"/>
              </w:rPr>
              <m:t>−</m:t>
            </m:r>
            <m:r>
              <m:rPr/>
              <w:rPr>
                <w:rFonts w:ascii="Cambria Math" w:hAnsi="Cambria Math"/>
              </w:rPr>
              <m:t>p</m:t>
            </m:r>
            <m:ctrlPr>
              <w:rPr>
                <w:rFonts w:ascii="Cambria Math" w:hAnsi="Cambria Math"/>
              </w:rPr>
            </m:ctrlPr>
          </m:e>
        </m:d>
        <m:r>
          <m:rPr/>
          <w:rPr>
            <w:rFonts w:ascii="Cambria Math" w:hAnsi="Cambria Math"/>
          </w:rPr>
          <m:t>p</m:t>
        </m:r>
        <m:r>
          <m:rPr>
            <m:sty m:val="p"/>
          </m:rPr>
          <w:rPr>
            <w:rFonts w:ascii="Cambria Math" w:hAnsi="Cambria Math"/>
          </w:rPr>
          <m:t>,</m:t>
        </m:r>
        <m:r>
          <m:rPr/>
          <w:rPr>
            <w:rFonts w:ascii="Cambria Math" w:hAnsi="Cambria Math"/>
          </w:rPr>
          <m:t>r</m:t>
        </m:r>
        <m:r>
          <m:rPr>
            <m:sty m:val="p"/>
          </m:rPr>
          <w:rPr>
            <w:rFonts w:ascii="Cambria Math" w:hAnsi="Cambria Math"/>
          </w:rPr>
          <m:t>&gt;0</m:t>
        </m:r>
      </m:oMath>
      <w:r>
        <w:t xml:space="preserve">                       </w:t>
      </w:r>
      <w:r>
        <w:rPr>
          <w:rFonts w:hint="eastAsia"/>
        </w:rPr>
        <w:t>（6）</w:t>
      </w:r>
    </w:p>
    <w:p w14:paraId="3C7E2586">
      <w:pPr>
        <w:ind w:firstLine="480"/>
      </w:pPr>
      <w:r>
        <w:rPr>
          <w:rFonts w:hint="eastAsia"/>
        </w:rPr>
        <w:t>其中</w:t>
      </w:r>
      <m:oMath>
        <m:r>
          <m:rPr/>
          <w:rPr>
            <w:rFonts w:ascii="Cambria Math" w:hAnsi="Cambria Math"/>
          </w:rPr>
          <m:t>p</m:t>
        </m:r>
      </m:oMath>
      <w:r>
        <w:rPr>
          <w:rFonts w:hint="eastAsia"/>
        </w:rPr>
        <w:t>是人口数，</w:t>
      </w:r>
      <m:oMath>
        <m:r>
          <m:rPr/>
          <w:rPr>
            <w:rFonts w:ascii="Cambria Math" w:hAnsi="Cambria Math"/>
          </w:rPr>
          <m:t>r</m:t>
        </m:r>
      </m:oMath>
      <w:r>
        <w:rPr>
          <w:rFonts w:hint="eastAsia"/>
        </w:rPr>
        <w:t>是人口增长率，</w:t>
      </w:r>
      <m:oMath>
        <m:r>
          <m:rPr/>
          <w:rPr>
            <w:rFonts w:ascii="Cambria Math" w:hAnsi="Cambria Math"/>
          </w:rPr>
          <m:t>M</m:t>
        </m:r>
      </m:oMath>
      <w:r>
        <w:rPr>
          <w:rFonts w:hint="eastAsia"/>
        </w:rPr>
        <w:t>是所能达到的最大人口。</w:t>
      </w:r>
    </w:p>
    <w:p w14:paraId="4E72528E">
      <w:pPr>
        <w:ind w:firstLine="480"/>
      </w:pPr>
      <w:r>
        <w:rPr>
          <w:rFonts w:hint="eastAsia"/>
        </w:rPr>
        <w:t xml:space="preserve">公式 </w:t>
      </w:r>
      <w:r>
        <w:t xml:space="preserve">  </w:t>
      </w:r>
      <w:r>
        <w:rPr>
          <w:rFonts w:hint="eastAsia"/>
        </w:rPr>
        <w:t>被称为有限增长的logistic模型，</w:t>
      </w:r>
    </w:p>
    <w:p w14:paraId="12D5F95D">
      <w:pPr>
        <w:ind w:firstLine="3840" w:firstLineChars="1600"/>
      </w:pPr>
      <m:oMath>
        <m:r>
          <m:rPr/>
          <w:rPr>
            <w:rFonts w:ascii="Cambria Math" w:hAnsi="Cambria Math"/>
          </w:rPr>
          <m:t>p</m:t>
        </m:r>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M</m:t>
                </m:r>
                <m:ctrlPr>
                  <w:rPr>
                    <w:rFonts w:ascii="Cambria Math" w:hAnsi="Cambria Math"/>
                    <w:i/>
                  </w:rPr>
                </m:ctrlPr>
              </m:e>
              <m:sub>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sub>
            </m:sSub>
            <m:ctrlPr>
              <w:rPr>
                <w:rFonts w:ascii="Cambria Math" w:hAnsi="Cambria Math"/>
                <w:i/>
              </w:rPr>
            </m:ctrlPr>
          </m:num>
          <m:den>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M−</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e>
                </m:d>
                <m:sSup>
                  <m:sSupPr>
                    <m:ctrlPr>
                      <w:rPr>
                        <w:rFonts w:ascii="Cambria Math" w:hAnsi="Cambria Math"/>
                        <w:i/>
                      </w:rPr>
                    </m:ctrlPr>
                  </m:sSupPr>
                  <m:e>
                    <m:r>
                      <m:rPr/>
                      <w:rPr>
                        <w:rFonts w:ascii="Cambria Math" w:hAnsi="Cambria Math"/>
                      </w:rPr>
                      <m:t>e</m:t>
                    </m:r>
                    <m:ctrlPr>
                      <w:rPr>
                        <w:rFonts w:ascii="Cambria Math" w:hAnsi="Cambria Math"/>
                        <w:i/>
                      </w:rPr>
                    </m:ctrlPr>
                  </m:e>
                  <m:sup>
                    <m:r>
                      <m:rPr/>
                      <w:rPr>
                        <w:rFonts w:ascii="Cambria Math" w:hAnsi="Cambria Math"/>
                      </w:rPr>
                      <m:t>−rM</m:t>
                    </m:r>
                    <m:d>
                      <m:dPr>
                        <m:ctrlPr>
                          <w:rPr>
                            <w:rFonts w:ascii="Cambria Math" w:hAnsi="Cambria Math"/>
                            <w:i/>
                          </w:rPr>
                        </m:ctrlPr>
                      </m:dPr>
                      <m:e>
                        <m:r>
                          <m:rPr/>
                          <w:rPr>
                            <w:rFonts w:ascii="Cambria Math" w:hAnsi="Cambria Math"/>
                          </w:rPr>
                          <m:t>T−</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e>
                    </m:d>
                    <m:ctrlPr>
                      <w:rPr>
                        <w:rFonts w:ascii="Cambria Math" w:hAnsi="Cambria Math"/>
                        <w:i/>
                      </w:rPr>
                    </m:ctrlPr>
                  </m:sup>
                </m:sSup>
                <m:ctrlPr>
                  <w:rPr>
                    <w:rFonts w:ascii="Cambria Math" w:hAnsi="Cambria Math"/>
                    <w:i/>
                  </w:rPr>
                </m:ctrlPr>
              </m:e>
            </m:d>
            <m:ctrlPr>
              <w:rPr>
                <w:rFonts w:ascii="Cambria Math" w:hAnsi="Cambria Math"/>
                <w:i/>
              </w:rPr>
            </m:ctrlPr>
          </m:den>
        </m:f>
      </m:oMath>
      <w:r>
        <w:rPr>
          <w:rFonts w:hint="eastAsia"/>
        </w:rPr>
        <w:t xml:space="preserve"> </w:t>
      </w:r>
      <w:r>
        <w:t xml:space="preserve">                   </w:t>
      </w:r>
      <w:r>
        <w:rPr>
          <w:rFonts w:hint="eastAsia"/>
        </w:rPr>
        <w:t>（7）</w:t>
      </w:r>
    </w:p>
    <w:p w14:paraId="35CC2E37">
      <w:pPr>
        <w:ind w:firstLine="480"/>
      </w:pPr>
      <w:r>
        <w:rPr>
          <w:rFonts w:hint="eastAsia"/>
        </w:rPr>
        <w:t>团队在假定该区域人口符合有限增长的logistic模型的基础上，利用其对该区域人口进行预测，得到人口预测结果，如下图所示，</w:t>
      </w:r>
    </w:p>
    <w:p w14:paraId="7515CE1E">
      <w:pPr>
        <w:keepNext/>
        <w:ind w:firstLine="0" w:firstLineChars="0"/>
        <w:jc w:val="center"/>
      </w:pPr>
      <w:r>
        <w:rPr>
          <w:rFonts w:eastAsia="等线"/>
          <w:sz w:val="21"/>
          <w:szCs w:val="21"/>
        </w:rPr>
        <w:drawing>
          <wp:inline distT="0" distB="0" distL="0" distR="0">
            <wp:extent cx="5163185" cy="2190115"/>
            <wp:effectExtent l="0" t="0" r="0" b="635"/>
            <wp:docPr id="1446158531" name="图片 1446158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58531" name="图片 1446158531"/>
                    <pic:cNvPicPr>
                      <a:picLocks noChangeAspect="1" noChangeArrowheads="1"/>
                    </pic:cNvPicPr>
                  </pic:nvPicPr>
                  <pic:blipFill>
                    <a:blip r:embed="rId27">
                      <a:extLst>
                        <a:ext uri="{28A0092B-C50C-407E-A947-70E740481C1C}">
                          <a14:useLocalDpi xmlns:a14="http://schemas.microsoft.com/office/drawing/2010/main" val="0"/>
                        </a:ext>
                      </a:extLst>
                    </a:blip>
                    <a:srcRect l="8698" t="6824" r="9718" b="6621"/>
                    <a:stretch>
                      <a:fillRect/>
                    </a:stretch>
                  </pic:blipFill>
                  <pic:spPr>
                    <a:xfrm>
                      <a:off x="0" y="0"/>
                      <a:ext cx="5191533" cy="2202499"/>
                    </a:xfrm>
                    <a:prstGeom prst="rect">
                      <a:avLst/>
                    </a:prstGeom>
                    <a:noFill/>
                    <a:ln>
                      <a:noFill/>
                    </a:ln>
                  </pic:spPr>
                </pic:pic>
              </a:graphicData>
            </a:graphic>
          </wp:inline>
        </w:drawing>
      </w:r>
    </w:p>
    <w:p w14:paraId="60914271">
      <w:pPr>
        <w:pStyle w:val="5"/>
        <w:rPr>
          <w:rFonts w:eastAsia="等线"/>
          <w:szCs w:val="21"/>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10</w:t>
      </w:r>
      <w:r>
        <w:fldChar w:fldCharType="end"/>
      </w:r>
      <w:r>
        <w:t xml:space="preserve"> </w:t>
      </w:r>
      <w:r>
        <w:rPr>
          <w:rFonts w:hint="eastAsia"/>
        </w:rPr>
        <w:t>人口预测结果图</w:t>
      </w:r>
    </w:p>
    <w:p w14:paraId="3FAED878">
      <w:pPr>
        <w:ind w:firstLine="480"/>
      </w:pPr>
      <w:r>
        <w:rPr>
          <w:rFonts w:hint="eastAsia"/>
        </w:rPr>
        <w:t>根据有限增长logistic模型的预测结果，可以看到该区域人口将在2021-2025年（十四五期间）稳步增长，2</w:t>
      </w:r>
      <w:r>
        <w:t>025</w:t>
      </w:r>
      <w:r>
        <w:rPr>
          <w:rFonts w:hint="eastAsia"/>
        </w:rPr>
        <w:t>年到达峰值约8</w:t>
      </w:r>
      <w:r>
        <w:t>800</w:t>
      </w:r>
      <w:r>
        <w:rPr>
          <w:rFonts w:hint="eastAsia"/>
        </w:rPr>
        <w:t>万人。其后直至2</w:t>
      </w:r>
      <w:r>
        <w:t>060</w:t>
      </w:r>
      <w:r>
        <w:rPr>
          <w:rFonts w:hint="eastAsia"/>
        </w:rPr>
        <w:t>年，人口逐年下降，降至2</w:t>
      </w:r>
      <w:r>
        <w:t>060</w:t>
      </w:r>
      <w:r>
        <w:rPr>
          <w:rFonts w:hint="eastAsia"/>
        </w:rPr>
        <w:t>年的约7</w:t>
      </w:r>
      <w:r>
        <w:t>400</w:t>
      </w:r>
      <w:r>
        <w:rPr>
          <w:rFonts w:hint="eastAsia"/>
        </w:rPr>
        <w:t>万人。其间，在2</w:t>
      </w:r>
      <w:r>
        <w:t>056</w:t>
      </w:r>
      <w:r>
        <w:rPr>
          <w:rFonts w:hint="eastAsia"/>
        </w:rPr>
        <w:t>年左右，可以发现人口减速进一步加快。</w:t>
      </w:r>
    </w:p>
    <w:p w14:paraId="31B35141">
      <w:pPr>
        <w:ind w:firstLine="482"/>
        <w:rPr>
          <w:szCs w:val="36"/>
        </w:rPr>
      </w:pPr>
      <w:r>
        <w:rPr>
          <w:rFonts w:hint="eastAsia"/>
          <w:b/>
          <w:bCs/>
          <w:szCs w:val="36"/>
        </w:rPr>
        <w:t>经济预测</w:t>
      </w:r>
      <w:r>
        <w:rPr>
          <w:rFonts w:hint="eastAsia"/>
          <w:szCs w:val="36"/>
        </w:rPr>
        <w:t>：按照中国式现代化的顶层设计，我国在2</w:t>
      </w:r>
      <w:r>
        <w:rPr>
          <w:szCs w:val="36"/>
        </w:rPr>
        <w:t>035</w:t>
      </w:r>
      <w:r>
        <w:rPr>
          <w:rFonts w:hint="eastAsia"/>
          <w:szCs w:val="36"/>
        </w:rPr>
        <w:t>年人均GDP将达到中等发达国家水平，即达到2万美元（根据“十四五”规划），而到2</w:t>
      </w:r>
      <w:r>
        <w:rPr>
          <w:szCs w:val="36"/>
        </w:rPr>
        <w:t>050</w:t>
      </w:r>
      <w:r>
        <w:rPr>
          <w:rFonts w:hint="eastAsia"/>
          <w:szCs w:val="36"/>
        </w:rPr>
        <w:t>年之际，我国将全面建成社会主义现代化强国，但没有具体可操作的目标值，因此，团队在下文对经济进行预测时，仅将2</w:t>
      </w:r>
      <w:r>
        <w:rPr>
          <w:szCs w:val="36"/>
        </w:rPr>
        <w:t>035</w:t>
      </w:r>
      <w:r>
        <w:rPr>
          <w:rFonts w:hint="eastAsia"/>
          <w:szCs w:val="36"/>
        </w:rPr>
        <w:t>年人均GDP达到2万美元（按6</w:t>
      </w:r>
      <w:r>
        <w:rPr>
          <w:szCs w:val="36"/>
        </w:rPr>
        <w:t>.5</w:t>
      </w:r>
      <w:r>
        <w:rPr>
          <w:rFonts w:hint="eastAsia"/>
          <w:szCs w:val="36"/>
        </w:rPr>
        <w:t>：1的汇率换算为1</w:t>
      </w:r>
      <w:r>
        <w:rPr>
          <w:szCs w:val="36"/>
        </w:rPr>
        <w:t>3</w:t>
      </w:r>
      <w:r>
        <w:rPr>
          <w:rFonts w:hint="eastAsia"/>
          <w:szCs w:val="36"/>
        </w:rPr>
        <w:t>万人民币，并按上文预测的2</w:t>
      </w:r>
      <w:r>
        <w:rPr>
          <w:szCs w:val="36"/>
        </w:rPr>
        <w:t>035</w:t>
      </w:r>
      <w:r>
        <w:rPr>
          <w:rFonts w:hint="eastAsia"/>
          <w:szCs w:val="36"/>
        </w:rPr>
        <w:t>年人口调整为GDP总量）作为约束条件进行控制，同时，假定该区域的人均GDP与全国人均GDP一致。团队运用ARIMA模型对GDP总量进行预测。</w:t>
      </w:r>
    </w:p>
    <w:p w14:paraId="47410666">
      <w:pPr>
        <w:ind w:firstLine="480"/>
      </w:pPr>
      <w:r>
        <w:rPr>
          <w:rFonts w:hint="eastAsia"/>
        </w:rPr>
        <w:t>对GDP总量这一时间序列进行单位根检验，即通过Dickey-Fuller Test进行判断。该检验假设在一定置信水平下，时序数据是非稳定，而对于一个平稳的时序数据，就需要在给定的置信水平上显著，拒绝原假设。团队利用Python得到以下检验结果，</w:t>
      </w:r>
    </w:p>
    <w:p w14:paraId="249F6474">
      <w:pPr>
        <w:keepNext/>
        <w:ind w:firstLine="0" w:firstLineChars="0"/>
        <w:jc w:val="center"/>
      </w:pPr>
      <w:r>
        <w:drawing>
          <wp:inline distT="0" distB="0" distL="0" distR="0">
            <wp:extent cx="4419600" cy="1581150"/>
            <wp:effectExtent l="0" t="0" r="0" b="0"/>
            <wp:docPr id="929063658" name="图片 1"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63658" name="图片 1" descr="图形用户界面, 文本&#10;&#10;描述已自动生成"/>
                    <pic:cNvPicPr>
                      <a:picLocks noChangeAspect="1"/>
                    </pic:cNvPicPr>
                  </pic:nvPicPr>
                  <pic:blipFill>
                    <a:blip r:embed="rId28"/>
                    <a:stretch>
                      <a:fillRect/>
                    </a:stretch>
                  </pic:blipFill>
                  <pic:spPr>
                    <a:xfrm>
                      <a:off x="0" y="0"/>
                      <a:ext cx="4439183" cy="1588156"/>
                    </a:xfrm>
                    <a:prstGeom prst="rect">
                      <a:avLst/>
                    </a:prstGeom>
                  </pic:spPr>
                </pic:pic>
              </a:graphicData>
            </a:graphic>
          </wp:inline>
        </w:drawing>
      </w:r>
    </w:p>
    <w:p w14:paraId="11DD711D">
      <w:pPr>
        <w:pStyle w:val="5"/>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11</w:t>
      </w:r>
      <w:r>
        <w:fldChar w:fldCharType="end"/>
      </w:r>
      <w:r>
        <w:t xml:space="preserve"> </w:t>
      </w:r>
      <w:r>
        <w:rPr>
          <w:rFonts w:hint="eastAsia"/>
        </w:rPr>
        <w:t>时间序列平稳性检验</w:t>
      </w:r>
    </w:p>
    <w:p w14:paraId="77491722">
      <w:pPr>
        <w:ind w:firstLine="480"/>
      </w:pPr>
      <w:r>
        <w:rPr>
          <w:rFonts w:hint="eastAsia"/>
        </w:rPr>
        <w:t>观察其统计量，发现该序列</w:t>
      </w:r>
      <w:r>
        <w:t>t统计量在99%的置信水平下是显著的</w:t>
      </w:r>
      <w:r>
        <w:rPr>
          <w:rFonts w:hint="eastAsia"/>
        </w:rPr>
        <w:t>，属于平稳时间序列。之后，分别确定p，d，q值，拟合出ARIMA模型，得到GDP总量预测结果如下图所示，</w:t>
      </w:r>
    </w:p>
    <w:p w14:paraId="4A097CFF">
      <w:pPr>
        <w:keepNext/>
        <w:ind w:firstLine="0" w:firstLineChars="0"/>
        <w:jc w:val="center"/>
      </w:pPr>
      <w:r>
        <w:drawing>
          <wp:inline distT="0" distB="0" distL="0" distR="0">
            <wp:extent cx="4342765" cy="1703070"/>
            <wp:effectExtent l="0" t="0" r="635" b="0"/>
            <wp:docPr id="456252247"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52247" name="图片 1" descr="图表, 折线图&#10;&#10;描述已自动生成"/>
                    <pic:cNvPicPr>
                      <a:picLocks noChangeAspect="1"/>
                    </pic:cNvPicPr>
                  </pic:nvPicPr>
                  <pic:blipFill>
                    <a:blip r:embed="rId29"/>
                    <a:srcRect l="7947" t="11981" r="9704" b="6510"/>
                    <a:stretch>
                      <a:fillRect/>
                    </a:stretch>
                  </pic:blipFill>
                  <pic:spPr>
                    <a:xfrm>
                      <a:off x="0" y="0"/>
                      <a:ext cx="4343381" cy="1703578"/>
                    </a:xfrm>
                    <a:prstGeom prst="rect">
                      <a:avLst/>
                    </a:prstGeom>
                    <a:ln>
                      <a:noFill/>
                    </a:ln>
                  </pic:spPr>
                </pic:pic>
              </a:graphicData>
            </a:graphic>
          </wp:inline>
        </w:drawing>
      </w:r>
    </w:p>
    <w:p w14:paraId="690D1009">
      <w:pPr>
        <w:pStyle w:val="5"/>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12</w:t>
      </w:r>
      <w:r>
        <w:fldChar w:fldCharType="end"/>
      </w:r>
      <w:r>
        <w:t xml:space="preserve"> </w:t>
      </w:r>
      <w:r>
        <w:rPr>
          <w:rFonts w:hint="eastAsia"/>
        </w:rPr>
        <w:t>经济预测</w:t>
      </w:r>
    </w:p>
    <w:p w14:paraId="352D1B76">
      <w:pPr>
        <w:ind w:firstLine="480"/>
      </w:pPr>
      <w:r>
        <w:rPr>
          <w:rFonts w:hint="eastAsia"/>
        </w:rPr>
        <w:t>根据ARIMA模型的预测结果，该区域在十四五（2021-2025年）至二十一五（2056-2060年）期间经济（GDP）呈现较高速度增长，经济实力稳步提升。</w:t>
      </w:r>
    </w:p>
    <w:p w14:paraId="2EC01853">
      <w:pPr>
        <w:ind w:firstLine="482"/>
        <w:rPr>
          <w:szCs w:val="36"/>
        </w:rPr>
      </w:pPr>
      <w:r>
        <w:rPr>
          <w:rFonts w:hint="eastAsia"/>
          <w:b/>
          <w:bCs/>
          <w:szCs w:val="36"/>
        </w:rPr>
        <w:t>能源消费量预测</w:t>
      </w:r>
      <w:r>
        <w:rPr>
          <w:rFonts w:hint="eastAsia"/>
          <w:szCs w:val="36"/>
        </w:rPr>
        <w:t>：已知2</w:t>
      </w:r>
      <w:r>
        <w:rPr>
          <w:szCs w:val="36"/>
        </w:rPr>
        <w:t>010-2020</w:t>
      </w:r>
      <w:r>
        <w:rPr>
          <w:rFonts w:hint="eastAsia"/>
          <w:szCs w:val="36"/>
        </w:rPr>
        <w:t>年该区域人口、经济和能源消费量数据，且上文也依次得到了人口和经济的预测值。考虑到能源消费量与人口、经济间的因果关系，则欲对能源消费量进行预测，可建立能源消费量与人口、经济的关联模型。团队在已有数据基础上，对能源消费量与人口、GDP总值进行多元回归，得到以下关联模型，</w:t>
      </w:r>
    </w:p>
    <w:p w14:paraId="01C4904B">
      <w:pPr>
        <w:ind w:firstLine="3559" w:firstLineChars="1483"/>
        <w:rPr>
          <w:szCs w:val="36"/>
        </w:rPr>
      </w:pPr>
      <m:oMath>
        <m:r>
          <m:rPr/>
          <w:rPr>
            <w:rFonts w:ascii="Cambria Math" w:hAnsi="Cambria Math"/>
            <w:szCs w:val="36"/>
          </w:rPr>
          <m:t>E=0.0012P+0.1582GDP+ε</m:t>
        </m:r>
      </m:oMath>
      <w:r>
        <w:rPr>
          <w:rFonts w:hint="eastAsia"/>
          <w:szCs w:val="36"/>
        </w:rPr>
        <w:t xml:space="preserve"> </w:t>
      </w:r>
      <w:r>
        <w:rPr>
          <w:szCs w:val="36"/>
        </w:rPr>
        <w:t xml:space="preserve">                 </w:t>
      </w:r>
      <w:r>
        <w:rPr>
          <w:rFonts w:hint="eastAsia"/>
          <w:szCs w:val="36"/>
        </w:rPr>
        <w:t>（8）</w:t>
      </w:r>
    </w:p>
    <w:p w14:paraId="2205877C">
      <w:pPr>
        <w:ind w:firstLine="480"/>
        <w:rPr>
          <w:szCs w:val="36"/>
        </w:rPr>
      </w:pPr>
      <w:r>
        <w:rPr>
          <w:rFonts w:hint="eastAsia"/>
          <w:szCs w:val="36"/>
        </w:rPr>
        <w:t>根据公式（8），得到能源消费量预测结果如下表所示，</w:t>
      </w:r>
    </w:p>
    <w:p w14:paraId="38540777">
      <w:pPr>
        <w:keepNext/>
        <w:ind w:firstLine="0" w:firstLineChars="0"/>
      </w:pPr>
      <w:r>
        <w:drawing>
          <wp:inline distT="0" distB="0" distL="0" distR="0">
            <wp:extent cx="5884545" cy="2807335"/>
            <wp:effectExtent l="0" t="0" r="1905" b="12065"/>
            <wp:docPr id="15652875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1EA3082E">
      <w:pPr>
        <w:pStyle w:val="5"/>
        <w:rPr>
          <w:szCs w:val="36"/>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13</w:t>
      </w:r>
      <w:r>
        <w:fldChar w:fldCharType="end"/>
      </w:r>
      <w:r>
        <w:t xml:space="preserve"> </w:t>
      </w:r>
      <w:r>
        <w:rPr>
          <w:rFonts w:hint="eastAsia"/>
        </w:rPr>
        <w:t>能源消费量预测</w:t>
      </w:r>
    </w:p>
    <w:p w14:paraId="6F7D9AB5">
      <w:pPr>
        <w:ind w:firstLine="482"/>
        <w:rPr>
          <w:b/>
          <w:bCs/>
          <w:szCs w:val="36"/>
        </w:rPr>
      </w:pPr>
      <w:r>
        <w:rPr>
          <w:rFonts w:hint="eastAsia"/>
          <w:b/>
          <w:bCs/>
          <w:szCs w:val="36"/>
        </w:rPr>
        <w:t>区域碳排放量预测：</w:t>
      </w:r>
      <w:r>
        <w:rPr>
          <w:rFonts w:hint="eastAsia"/>
          <w:szCs w:val="36"/>
        </w:rPr>
        <w:t>碳排放量与人口、经济和能源消费量具有因果关系，以碳排放量为因变量，人口、经济和能源消费量为自变量进行多元回归分析，可以得到碳排放量与人口、经济和能源消费量之间的关联模型，即</w:t>
      </w:r>
      <w:r>
        <w:rPr>
          <w:szCs w:val="36"/>
        </w:rPr>
        <w:t xml:space="preserve"> </w:t>
      </w:r>
    </w:p>
    <w:p w14:paraId="40A51554">
      <w:pPr>
        <w:ind w:firstLine="2400" w:firstLineChars="1000"/>
        <w:rPr>
          <w:szCs w:val="36"/>
        </w:rPr>
      </w:pPr>
      <m:oMath>
        <m:sSub>
          <m:sSubPr>
            <m:ctrlPr>
              <w:rPr>
                <w:rFonts w:ascii="Cambria Math" w:hAnsi="Cambria Math"/>
                <w:szCs w:val="36"/>
              </w:rPr>
            </m:ctrlPr>
          </m:sSubPr>
          <m:e>
            <m:r>
              <m:rPr/>
              <w:rPr>
                <w:rFonts w:ascii="Cambria Math" w:hAnsi="Cambria Math"/>
                <w:szCs w:val="36"/>
              </w:rPr>
              <m:t>CO</m:t>
            </m:r>
            <m:ctrlPr>
              <w:rPr>
                <w:rFonts w:ascii="Cambria Math" w:hAnsi="Cambria Math"/>
                <w:szCs w:val="36"/>
              </w:rPr>
            </m:ctrlPr>
          </m:e>
          <m:sub>
            <m:r>
              <m:rPr/>
              <w:rPr>
                <w:rFonts w:ascii="Cambria Math" w:hAnsi="Cambria Math"/>
                <w:szCs w:val="36"/>
              </w:rPr>
              <m:t>2</m:t>
            </m:r>
            <m:ctrlPr>
              <w:rPr>
                <w:rFonts w:ascii="Cambria Math" w:hAnsi="Cambria Math"/>
                <w:szCs w:val="36"/>
              </w:rPr>
            </m:ctrlPr>
          </m:sub>
        </m:sSub>
        <m:r>
          <m:rPr/>
          <w:rPr>
            <w:rFonts w:hint="eastAsia" w:ascii="Cambria Math" w:hAnsi="Cambria Math"/>
            <w:szCs w:val="36"/>
          </w:rPr>
          <m:t>=3.9084</m:t>
        </m:r>
        <m:r>
          <m:rPr/>
          <w:rPr>
            <w:rFonts w:ascii="Cambria Math" w:hAnsi="Cambria Math" w:eastAsia="MS Gothic" w:cs="MS Gothic"/>
            <w:szCs w:val="36"/>
          </w:rPr>
          <m:t>P</m:t>
        </m:r>
        <m:r>
          <m:rPr/>
          <w:rPr>
            <w:rFonts w:hint="eastAsia" w:ascii="Cambria Math" w:hAnsi="Cambria Math"/>
            <w:szCs w:val="36"/>
          </w:rPr>
          <m:t>+0.002GDP+0.214</m:t>
        </m:r>
        <m:r>
          <m:rPr/>
          <w:rPr>
            <w:rFonts w:ascii="Cambria Math" w:hAnsi="Cambria Math" w:eastAsia="MS Gothic" w:cs="MS Gothic"/>
            <w:szCs w:val="36"/>
          </w:rPr>
          <m:t>E+ε</m:t>
        </m:r>
      </m:oMath>
      <w:r>
        <w:rPr>
          <w:rFonts w:hint="eastAsia"/>
          <w:szCs w:val="36"/>
        </w:rPr>
        <w:t xml:space="preserve"> </w:t>
      </w:r>
      <w:r>
        <w:rPr>
          <w:szCs w:val="36"/>
        </w:rPr>
        <w:t xml:space="preserve">                </w:t>
      </w:r>
      <w:r>
        <w:rPr>
          <w:rFonts w:hint="eastAsia"/>
          <w:szCs w:val="36"/>
        </w:rPr>
        <w:t>（</w:t>
      </w:r>
      <w:r>
        <w:rPr>
          <w:szCs w:val="36"/>
        </w:rPr>
        <w:t>9</w:t>
      </w:r>
      <w:r>
        <w:rPr>
          <w:rFonts w:hint="eastAsia"/>
          <w:szCs w:val="36"/>
        </w:rPr>
        <w:t>）</w:t>
      </w:r>
    </w:p>
    <w:p w14:paraId="18300FDC">
      <w:pPr>
        <w:spacing w:line="400" w:lineRule="exact"/>
        <w:ind w:firstLine="480"/>
        <w:rPr>
          <w:kern w:val="24"/>
          <w:szCs w:val="24"/>
        </w:rPr>
      </w:pPr>
      <w:r>
        <w:rPr>
          <w:rFonts w:hint="eastAsia"/>
        </w:rPr>
        <w:t>碳排放量除与人口、经济和能源消费量存在关联关系外，也与</w:t>
      </w:r>
      <w:r>
        <w:rPr>
          <w:rFonts w:hint="eastAsia"/>
          <w:kern w:val="24"/>
          <w:szCs w:val="24"/>
        </w:rPr>
        <w:t>各部门的能源消费量、能源消费品种相关联。但若让碳排放与上述变量一并做多元回归，其中部分指标将因总体指标过多而呈现显著性不足，故为了</w:t>
      </w:r>
      <w:r>
        <w:rPr>
          <w:rFonts w:hint="eastAsia"/>
        </w:rPr>
        <w:t>更加准确和细致的预测，团队决定对</w:t>
      </w:r>
      <w:r>
        <w:rPr>
          <w:rFonts w:hint="eastAsia"/>
          <w:kern w:val="24"/>
          <w:szCs w:val="24"/>
        </w:rPr>
        <w:t>各部门的能源消费量、能源消费品种</w:t>
      </w:r>
      <w:r>
        <w:rPr>
          <w:rFonts w:hint="eastAsia"/>
        </w:rPr>
        <w:t>逐步回归，剔除其中的对系统不重要的变量，为后期路径决策提高精准性和针对性。</w:t>
      </w:r>
    </w:p>
    <w:p w14:paraId="06DD2452">
      <w:pPr>
        <w:ind w:firstLine="480"/>
        <w:rPr>
          <w:b/>
          <w:bCs/>
          <w:szCs w:val="36"/>
        </w:rPr>
      </w:pPr>
      <w:r>
        <w:rPr>
          <w:rFonts w:hint="eastAsia"/>
        </w:rPr>
        <w:t>团队先将各部门能源消费量进行相关性分析，其Pearson相关可视化如下图所示，可见各指标间的相关系数均大于等于0.6，说明它们间存在一定的关联性。</w:t>
      </w:r>
    </w:p>
    <w:p w14:paraId="6CC71682">
      <w:pPr>
        <w:keepNext/>
        <w:ind w:firstLine="0" w:firstLineChars="0"/>
        <w:jc w:val="center"/>
      </w:pPr>
      <w:r>
        <w:rPr>
          <w:rFonts w:cs="宋体"/>
          <w:kern w:val="0"/>
          <w:szCs w:val="24"/>
        </w:rPr>
        <w:drawing>
          <wp:inline distT="0" distB="0" distL="0" distR="0">
            <wp:extent cx="3352165" cy="1567180"/>
            <wp:effectExtent l="0" t="0" r="635" b="0"/>
            <wp:docPr id="1246556153" name="图片 1246556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56153" name="图片 1246556153"/>
                    <pic:cNvPicPr>
                      <a:picLocks noChangeAspect="1" noChangeArrowheads="1"/>
                    </pic:cNvPicPr>
                  </pic:nvPicPr>
                  <pic:blipFill>
                    <a:blip r:embed="rId31">
                      <a:extLst>
                        <a:ext uri="{28A0092B-C50C-407E-A947-70E740481C1C}">
                          <a14:useLocalDpi xmlns:a14="http://schemas.microsoft.com/office/drawing/2010/main" val="0"/>
                        </a:ext>
                      </a:extLst>
                    </a:blip>
                    <a:srcRect t="10228"/>
                    <a:stretch>
                      <a:fillRect/>
                    </a:stretch>
                  </pic:blipFill>
                  <pic:spPr>
                    <a:xfrm>
                      <a:off x="0" y="0"/>
                      <a:ext cx="3356997" cy="1569753"/>
                    </a:xfrm>
                    <a:prstGeom prst="rect">
                      <a:avLst/>
                    </a:prstGeom>
                    <a:noFill/>
                    <a:ln>
                      <a:noFill/>
                    </a:ln>
                  </pic:spPr>
                </pic:pic>
              </a:graphicData>
            </a:graphic>
          </wp:inline>
        </w:drawing>
      </w:r>
    </w:p>
    <w:p w14:paraId="2CB76653">
      <w:pPr>
        <w:pStyle w:val="5"/>
        <w:rPr>
          <w:szCs w:val="36"/>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14</w:t>
      </w:r>
      <w:r>
        <w:fldChar w:fldCharType="end"/>
      </w:r>
      <w:r>
        <w:t xml:space="preserve"> </w:t>
      </w:r>
      <w:r>
        <w:rPr>
          <w:rFonts w:hint="eastAsia"/>
        </w:rPr>
        <w:t>Pearson相关可视化图</w:t>
      </w:r>
    </w:p>
    <w:p w14:paraId="12DD439D">
      <w:pPr>
        <w:ind w:firstLine="480"/>
      </w:pPr>
      <w:r>
        <w:rPr>
          <w:rFonts w:hint="eastAsia"/>
        </w:rPr>
        <w:t>以各部门能源消费量为自变量，碳排放量为因变量进行多元线性回归，利用SPSS进行求解，得到如下线性回归结果表，</w:t>
      </w:r>
    </w:p>
    <w:p w14:paraId="4D77A01F">
      <w:pPr>
        <w:pStyle w:val="5"/>
        <w:keepNext/>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7</w:t>
      </w:r>
      <w:r>
        <w:fldChar w:fldCharType="end"/>
      </w:r>
      <w:r>
        <w:t xml:space="preserve"> </w:t>
      </w:r>
      <w:r>
        <w:rPr>
          <w:rFonts w:hint="eastAsia"/>
        </w:rPr>
        <w:t>线性回归结果表</w:t>
      </w:r>
    </w:p>
    <w:tbl>
      <w:tblPr>
        <w:tblStyle w:val="19"/>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541"/>
        <w:gridCol w:w="1181"/>
        <w:gridCol w:w="1181"/>
        <w:gridCol w:w="1248"/>
        <w:gridCol w:w="707"/>
        <w:gridCol w:w="722"/>
        <w:gridCol w:w="765"/>
        <w:gridCol w:w="1011"/>
      </w:tblGrid>
      <w:tr w14:paraId="073624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jc w:val="center"/>
        </w:trPr>
        <w:tc>
          <w:tcPr>
            <w:tcW w:w="1358" w:type="pct"/>
            <w:vMerge w:val="restart"/>
            <w:tcBorders>
              <w:top w:val="single" w:color="auto" w:sz="12" w:space="0"/>
              <w:bottom w:val="nil"/>
            </w:tcBorders>
            <w:shd w:val="clear" w:color="auto" w:fill="FFFFFF"/>
            <w:vAlign w:val="center"/>
          </w:tcPr>
          <w:p w14:paraId="0146A70C">
            <w:pPr>
              <w:pStyle w:val="5"/>
            </w:pPr>
          </w:p>
        </w:tc>
        <w:tc>
          <w:tcPr>
            <w:tcW w:w="1262" w:type="pct"/>
            <w:gridSpan w:val="2"/>
            <w:tcBorders>
              <w:top w:val="single" w:color="auto" w:sz="12" w:space="0"/>
              <w:bottom w:val="nil"/>
            </w:tcBorders>
            <w:shd w:val="clear" w:color="auto" w:fill="FFFFFF"/>
            <w:vAlign w:val="center"/>
          </w:tcPr>
          <w:p w14:paraId="0E832C69">
            <w:pPr>
              <w:pStyle w:val="5"/>
            </w:pPr>
            <w:r>
              <w:t>非标准化系数</w:t>
            </w:r>
          </w:p>
        </w:tc>
        <w:tc>
          <w:tcPr>
            <w:tcW w:w="667" w:type="pct"/>
            <w:tcBorders>
              <w:top w:val="single" w:color="auto" w:sz="12" w:space="0"/>
              <w:bottom w:val="nil"/>
            </w:tcBorders>
            <w:shd w:val="clear" w:color="auto" w:fill="FFFFFF"/>
            <w:vAlign w:val="center"/>
          </w:tcPr>
          <w:p w14:paraId="594B82B3">
            <w:pPr>
              <w:pStyle w:val="5"/>
            </w:pPr>
            <w:r>
              <w:t>标准化系数</w:t>
            </w:r>
          </w:p>
        </w:tc>
        <w:tc>
          <w:tcPr>
            <w:tcW w:w="378" w:type="pct"/>
            <w:vMerge w:val="restart"/>
            <w:tcBorders>
              <w:top w:val="single" w:color="auto" w:sz="12" w:space="0"/>
              <w:bottom w:val="nil"/>
            </w:tcBorders>
            <w:shd w:val="clear" w:color="auto" w:fill="FFFFFF"/>
            <w:vAlign w:val="center"/>
          </w:tcPr>
          <w:p w14:paraId="40E1E81A">
            <w:pPr>
              <w:pStyle w:val="5"/>
            </w:pPr>
            <w:r>
              <w:rPr>
                <w:i/>
                <w:iCs/>
              </w:rPr>
              <w:t>t</w:t>
            </w:r>
          </w:p>
        </w:tc>
        <w:tc>
          <w:tcPr>
            <w:tcW w:w="386" w:type="pct"/>
            <w:vMerge w:val="restart"/>
            <w:tcBorders>
              <w:top w:val="single" w:color="auto" w:sz="12" w:space="0"/>
              <w:bottom w:val="nil"/>
            </w:tcBorders>
            <w:shd w:val="clear" w:color="auto" w:fill="FFFFFF"/>
            <w:vAlign w:val="center"/>
          </w:tcPr>
          <w:p w14:paraId="35921226">
            <w:pPr>
              <w:pStyle w:val="5"/>
            </w:pPr>
            <w:r>
              <w:rPr>
                <w:i/>
                <w:iCs/>
              </w:rPr>
              <w:t>p</w:t>
            </w:r>
          </w:p>
        </w:tc>
        <w:tc>
          <w:tcPr>
            <w:tcW w:w="949" w:type="pct"/>
            <w:gridSpan w:val="2"/>
            <w:tcBorders>
              <w:top w:val="single" w:color="auto" w:sz="12" w:space="0"/>
              <w:bottom w:val="nil"/>
            </w:tcBorders>
            <w:shd w:val="clear" w:color="auto" w:fill="FFFFFF"/>
            <w:vAlign w:val="center"/>
          </w:tcPr>
          <w:p w14:paraId="3FCF1A71">
            <w:pPr>
              <w:pStyle w:val="5"/>
            </w:pPr>
            <w:r>
              <w:t>共线性诊断</w:t>
            </w:r>
          </w:p>
        </w:tc>
      </w:tr>
      <w:tr w14:paraId="33ED16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jc w:val="center"/>
        </w:trPr>
        <w:tc>
          <w:tcPr>
            <w:tcW w:w="0" w:type="auto"/>
            <w:vMerge w:val="continue"/>
            <w:tcBorders>
              <w:top w:val="nil"/>
              <w:bottom w:val="single" w:color="auto" w:sz="12" w:space="0"/>
            </w:tcBorders>
            <w:vAlign w:val="center"/>
          </w:tcPr>
          <w:p w14:paraId="431CD56D">
            <w:pPr>
              <w:pStyle w:val="5"/>
            </w:pPr>
          </w:p>
        </w:tc>
        <w:tc>
          <w:tcPr>
            <w:tcW w:w="631" w:type="pct"/>
            <w:tcBorders>
              <w:top w:val="nil"/>
              <w:bottom w:val="single" w:color="auto" w:sz="12" w:space="0"/>
            </w:tcBorders>
            <w:shd w:val="clear" w:color="auto" w:fill="FFFFFF"/>
            <w:vAlign w:val="center"/>
          </w:tcPr>
          <w:p w14:paraId="44349CCD">
            <w:pPr>
              <w:pStyle w:val="5"/>
            </w:pPr>
            <w:r>
              <w:rPr>
                <w:i/>
                <w:iCs/>
              </w:rPr>
              <w:t>B</w:t>
            </w:r>
          </w:p>
        </w:tc>
        <w:tc>
          <w:tcPr>
            <w:tcW w:w="631" w:type="pct"/>
            <w:tcBorders>
              <w:top w:val="nil"/>
              <w:bottom w:val="single" w:color="auto" w:sz="12" w:space="0"/>
            </w:tcBorders>
            <w:shd w:val="clear" w:color="auto" w:fill="FFFFFF"/>
            <w:vAlign w:val="center"/>
          </w:tcPr>
          <w:p w14:paraId="31703506">
            <w:pPr>
              <w:pStyle w:val="5"/>
            </w:pPr>
            <w:r>
              <w:t>标准误</w:t>
            </w:r>
          </w:p>
        </w:tc>
        <w:tc>
          <w:tcPr>
            <w:tcW w:w="667" w:type="pct"/>
            <w:tcBorders>
              <w:top w:val="nil"/>
              <w:bottom w:val="single" w:color="auto" w:sz="12" w:space="0"/>
            </w:tcBorders>
            <w:shd w:val="clear" w:color="auto" w:fill="FFFFFF"/>
            <w:vAlign w:val="center"/>
          </w:tcPr>
          <w:p w14:paraId="38AEE4C6">
            <w:pPr>
              <w:pStyle w:val="5"/>
            </w:pPr>
            <w:r>
              <w:rPr>
                <w:i/>
                <w:iCs/>
              </w:rPr>
              <w:t>Beta</w:t>
            </w:r>
          </w:p>
        </w:tc>
        <w:tc>
          <w:tcPr>
            <w:tcW w:w="0" w:type="auto"/>
            <w:vMerge w:val="continue"/>
            <w:tcBorders>
              <w:top w:val="nil"/>
              <w:bottom w:val="single" w:color="auto" w:sz="12" w:space="0"/>
            </w:tcBorders>
            <w:vAlign w:val="center"/>
          </w:tcPr>
          <w:p w14:paraId="288B3F3F">
            <w:pPr>
              <w:pStyle w:val="5"/>
            </w:pPr>
          </w:p>
        </w:tc>
        <w:tc>
          <w:tcPr>
            <w:tcW w:w="0" w:type="auto"/>
            <w:vMerge w:val="continue"/>
            <w:tcBorders>
              <w:top w:val="nil"/>
              <w:bottom w:val="single" w:color="auto" w:sz="12" w:space="0"/>
            </w:tcBorders>
            <w:vAlign w:val="center"/>
          </w:tcPr>
          <w:p w14:paraId="01061A06">
            <w:pPr>
              <w:pStyle w:val="5"/>
            </w:pPr>
          </w:p>
        </w:tc>
        <w:tc>
          <w:tcPr>
            <w:tcW w:w="409" w:type="pct"/>
            <w:tcBorders>
              <w:top w:val="nil"/>
              <w:bottom w:val="single" w:color="auto" w:sz="12" w:space="0"/>
            </w:tcBorders>
            <w:shd w:val="clear" w:color="auto" w:fill="FFFFFF"/>
            <w:vAlign w:val="center"/>
          </w:tcPr>
          <w:p w14:paraId="62210C41">
            <w:pPr>
              <w:pStyle w:val="5"/>
            </w:pPr>
            <w:r>
              <w:t>VIF</w:t>
            </w:r>
          </w:p>
        </w:tc>
        <w:tc>
          <w:tcPr>
            <w:tcW w:w="540" w:type="pct"/>
            <w:tcBorders>
              <w:top w:val="nil"/>
              <w:bottom w:val="single" w:color="auto" w:sz="12" w:space="0"/>
            </w:tcBorders>
            <w:shd w:val="clear" w:color="auto" w:fill="FFFFFF"/>
            <w:vAlign w:val="center"/>
          </w:tcPr>
          <w:p w14:paraId="28DFFCAC">
            <w:pPr>
              <w:pStyle w:val="5"/>
            </w:pPr>
            <w:r>
              <w:t>容忍度</w:t>
            </w:r>
            <w:r>
              <w:rPr>
                <w:color w:val="CCCCCC"/>
              </w:rPr>
              <w:t></w:t>
            </w:r>
          </w:p>
        </w:tc>
      </w:tr>
      <w:tr w14:paraId="717E39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jc w:val="center"/>
        </w:trPr>
        <w:tc>
          <w:tcPr>
            <w:tcW w:w="1358" w:type="pct"/>
            <w:tcBorders>
              <w:top w:val="single" w:color="auto" w:sz="12" w:space="0"/>
            </w:tcBorders>
            <w:shd w:val="clear" w:color="auto" w:fill="FFFFFF"/>
            <w:vAlign w:val="center"/>
          </w:tcPr>
          <w:p w14:paraId="298003B8">
            <w:pPr>
              <w:pStyle w:val="5"/>
            </w:pPr>
            <w:r>
              <w:t>常数</w:t>
            </w:r>
          </w:p>
        </w:tc>
        <w:tc>
          <w:tcPr>
            <w:tcW w:w="631" w:type="pct"/>
            <w:tcBorders>
              <w:top w:val="single" w:color="auto" w:sz="12" w:space="0"/>
            </w:tcBorders>
            <w:shd w:val="clear" w:color="auto" w:fill="FFFFFF"/>
            <w:vAlign w:val="center"/>
          </w:tcPr>
          <w:p w14:paraId="2F1B6F14">
            <w:pPr>
              <w:pStyle w:val="5"/>
            </w:pPr>
            <w:r>
              <w:t>34784.560</w:t>
            </w:r>
          </w:p>
        </w:tc>
        <w:tc>
          <w:tcPr>
            <w:tcW w:w="631" w:type="pct"/>
            <w:tcBorders>
              <w:top w:val="single" w:color="auto" w:sz="12" w:space="0"/>
            </w:tcBorders>
            <w:shd w:val="clear" w:color="auto" w:fill="FFFFFF"/>
            <w:vAlign w:val="center"/>
          </w:tcPr>
          <w:p w14:paraId="4A8125CF">
            <w:pPr>
              <w:pStyle w:val="5"/>
            </w:pPr>
            <w:r>
              <w:t>24563.952</w:t>
            </w:r>
          </w:p>
        </w:tc>
        <w:tc>
          <w:tcPr>
            <w:tcW w:w="667" w:type="pct"/>
            <w:tcBorders>
              <w:top w:val="single" w:color="auto" w:sz="12" w:space="0"/>
            </w:tcBorders>
            <w:shd w:val="clear" w:color="auto" w:fill="FFFFFF"/>
            <w:vAlign w:val="center"/>
          </w:tcPr>
          <w:p w14:paraId="57946458">
            <w:pPr>
              <w:pStyle w:val="5"/>
            </w:pPr>
            <w:r>
              <w:t>-</w:t>
            </w:r>
          </w:p>
        </w:tc>
        <w:tc>
          <w:tcPr>
            <w:tcW w:w="378" w:type="pct"/>
            <w:tcBorders>
              <w:top w:val="single" w:color="auto" w:sz="12" w:space="0"/>
            </w:tcBorders>
            <w:shd w:val="clear" w:color="auto" w:fill="FFFFFF"/>
            <w:vAlign w:val="center"/>
          </w:tcPr>
          <w:p w14:paraId="72DA5E41">
            <w:pPr>
              <w:pStyle w:val="5"/>
            </w:pPr>
            <w:r>
              <w:t>1.416</w:t>
            </w:r>
          </w:p>
        </w:tc>
        <w:tc>
          <w:tcPr>
            <w:tcW w:w="386" w:type="pct"/>
            <w:tcBorders>
              <w:top w:val="single" w:color="auto" w:sz="12" w:space="0"/>
            </w:tcBorders>
            <w:shd w:val="clear" w:color="auto" w:fill="FFFFFF"/>
            <w:vAlign w:val="center"/>
          </w:tcPr>
          <w:p w14:paraId="3E5EDF18">
            <w:pPr>
              <w:pStyle w:val="5"/>
            </w:pPr>
            <w:r>
              <w:t>0.207</w:t>
            </w:r>
          </w:p>
        </w:tc>
        <w:tc>
          <w:tcPr>
            <w:tcW w:w="409" w:type="pct"/>
            <w:tcBorders>
              <w:top w:val="single" w:color="auto" w:sz="12" w:space="0"/>
            </w:tcBorders>
            <w:shd w:val="clear" w:color="auto" w:fill="FFFFFF"/>
            <w:vAlign w:val="center"/>
          </w:tcPr>
          <w:p w14:paraId="58A182BE">
            <w:pPr>
              <w:pStyle w:val="5"/>
            </w:pPr>
            <w:r>
              <w:t>-</w:t>
            </w:r>
          </w:p>
        </w:tc>
        <w:tc>
          <w:tcPr>
            <w:tcW w:w="540" w:type="pct"/>
            <w:tcBorders>
              <w:top w:val="single" w:color="auto" w:sz="12" w:space="0"/>
            </w:tcBorders>
            <w:shd w:val="clear" w:color="auto" w:fill="FFFFFF"/>
            <w:vAlign w:val="center"/>
          </w:tcPr>
          <w:p w14:paraId="4721A9DC">
            <w:pPr>
              <w:pStyle w:val="5"/>
            </w:pPr>
            <w:r>
              <w:t>-</w:t>
            </w:r>
          </w:p>
        </w:tc>
      </w:tr>
      <w:tr w14:paraId="49943D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jc w:val="center"/>
        </w:trPr>
        <w:tc>
          <w:tcPr>
            <w:tcW w:w="1358" w:type="pct"/>
            <w:shd w:val="clear" w:color="auto" w:fill="FFFFFF"/>
            <w:vAlign w:val="center"/>
          </w:tcPr>
          <w:p w14:paraId="12806315">
            <w:pPr>
              <w:pStyle w:val="5"/>
            </w:pPr>
            <w:r>
              <w:t>部门能源消费量 X11-2</w:t>
            </w:r>
          </w:p>
        </w:tc>
        <w:tc>
          <w:tcPr>
            <w:tcW w:w="631" w:type="pct"/>
            <w:shd w:val="clear" w:color="auto" w:fill="FFFFFF"/>
            <w:vAlign w:val="center"/>
          </w:tcPr>
          <w:p w14:paraId="6265E263">
            <w:pPr>
              <w:pStyle w:val="5"/>
            </w:pPr>
            <w:r>
              <w:t>4.364</w:t>
            </w:r>
          </w:p>
        </w:tc>
        <w:tc>
          <w:tcPr>
            <w:tcW w:w="631" w:type="pct"/>
            <w:shd w:val="clear" w:color="auto" w:fill="FFFFFF"/>
            <w:vAlign w:val="center"/>
          </w:tcPr>
          <w:p w14:paraId="79AACDEC">
            <w:pPr>
              <w:pStyle w:val="5"/>
            </w:pPr>
            <w:r>
              <w:t>1.199</w:t>
            </w:r>
          </w:p>
        </w:tc>
        <w:tc>
          <w:tcPr>
            <w:tcW w:w="667" w:type="pct"/>
            <w:shd w:val="clear" w:color="auto" w:fill="FFFFFF"/>
            <w:vAlign w:val="center"/>
          </w:tcPr>
          <w:p w14:paraId="28AACE66">
            <w:pPr>
              <w:pStyle w:val="5"/>
            </w:pPr>
            <w:r>
              <w:t>0.520</w:t>
            </w:r>
          </w:p>
        </w:tc>
        <w:tc>
          <w:tcPr>
            <w:tcW w:w="378" w:type="pct"/>
            <w:shd w:val="clear" w:color="auto" w:fill="FFFFFF"/>
            <w:vAlign w:val="center"/>
          </w:tcPr>
          <w:p w14:paraId="3BBCD5AE">
            <w:pPr>
              <w:pStyle w:val="5"/>
            </w:pPr>
            <w:r>
              <w:t>3.640</w:t>
            </w:r>
          </w:p>
        </w:tc>
        <w:tc>
          <w:tcPr>
            <w:tcW w:w="386" w:type="pct"/>
            <w:shd w:val="clear" w:color="auto" w:fill="FFFFFF"/>
            <w:vAlign w:val="center"/>
          </w:tcPr>
          <w:p w14:paraId="565E37A5">
            <w:pPr>
              <w:pStyle w:val="5"/>
            </w:pPr>
            <w:r>
              <w:t>0.011*</w:t>
            </w:r>
          </w:p>
        </w:tc>
        <w:tc>
          <w:tcPr>
            <w:tcW w:w="409" w:type="pct"/>
            <w:shd w:val="clear" w:color="auto" w:fill="FFFFFF"/>
            <w:vAlign w:val="center"/>
          </w:tcPr>
          <w:p w14:paraId="7789A10F">
            <w:pPr>
              <w:pStyle w:val="5"/>
            </w:pPr>
            <w:r>
              <w:t>1.849</w:t>
            </w:r>
          </w:p>
        </w:tc>
        <w:tc>
          <w:tcPr>
            <w:tcW w:w="540" w:type="pct"/>
            <w:shd w:val="clear" w:color="auto" w:fill="FFFFFF"/>
            <w:vAlign w:val="center"/>
          </w:tcPr>
          <w:p w14:paraId="75F4C0C5">
            <w:pPr>
              <w:pStyle w:val="5"/>
            </w:pPr>
            <w:r>
              <w:t>0.541</w:t>
            </w:r>
          </w:p>
        </w:tc>
      </w:tr>
      <w:tr w14:paraId="3D5EAE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jc w:val="center"/>
        </w:trPr>
        <w:tc>
          <w:tcPr>
            <w:tcW w:w="1358" w:type="pct"/>
            <w:shd w:val="clear" w:color="auto" w:fill="FFFFFF"/>
            <w:vAlign w:val="center"/>
          </w:tcPr>
          <w:p w14:paraId="570376CC">
            <w:pPr>
              <w:pStyle w:val="5"/>
            </w:pPr>
            <w:r>
              <w:t>部门能源消费量 X11-3</w:t>
            </w:r>
          </w:p>
        </w:tc>
        <w:tc>
          <w:tcPr>
            <w:tcW w:w="631" w:type="pct"/>
            <w:shd w:val="clear" w:color="auto" w:fill="FFFFFF"/>
            <w:vAlign w:val="center"/>
          </w:tcPr>
          <w:p w14:paraId="3AF151AB">
            <w:pPr>
              <w:pStyle w:val="5"/>
            </w:pPr>
            <w:r>
              <w:t>5.601</w:t>
            </w:r>
          </w:p>
        </w:tc>
        <w:tc>
          <w:tcPr>
            <w:tcW w:w="631" w:type="pct"/>
            <w:shd w:val="clear" w:color="auto" w:fill="FFFFFF"/>
            <w:vAlign w:val="center"/>
          </w:tcPr>
          <w:p w14:paraId="56D6D3A1">
            <w:pPr>
              <w:pStyle w:val="5"/>
            </w:pPr>
            <w:r>
              <w:t>2.132</w:t>
            </w:r>
          </w:p>
        </w:tc>
        <w:tc>
          <w:tcPr>
            <w:tcW w:w="667" w:type="pct"/>
            <w:shd w:val="clear" w:color="auto" w:fill="FFFFFF"/>
            <w:vAlign w:val="center"/>
          </w:tcPr>
          <w:p w14:paraId="0A819E69">
            <w:pPr>
              <w:pStyle w:val="5"/>
            </w:pPr>
            <w:r>
              <w:t>0.963</w:t>
            </w:r>
          </w:p>
        </w:tc>
        <w:tc>
          <w:tcPr>
            <w:tcW w:w="378" w:type="pct"/>
            <w:shd w:val="clear" w:color="auto" w:fill="FFFFFF"/>
            <w:vAlign w:val="center"/>
          </w:tcPr>
          <w:p w14:paraId="29A6CA3C">
            <w:pPr>
              <w:pStyle w:val="5"/>
            </w:pPr>
            <w:r>
              <w:t>2.627</w:t>
            </w:r>
          </w:p>
        </w:tc>
        <w:tc>
          <w:tcPr>
            <w:tcW w:w="386" w:type="pct"/>
            <w:shd w:val="clear" w:color="auto" w:fill="FFFFFF"/>
            <w:vAlign w:val="center"/>
          </w:tcPr>
          <w:p w14:paraId="7EA91A16">
            <w:pPr>
              <w:pStyle w:val="5"/>
            </w:pPr>
            <w:r>
              <w:t>0.039*</w:t>
            </w:r>
          </w:p>
        </w:tc>
        <w:tc>
          <w:tcPr>
            <w:tcW w:w="409" w:type="pct"/>
            <w:shd w:val="clear" w:color="auto" w:fill="FFFFFF"/>
            <w:vAlign w:val="center"/>
          </w:tcPr>
          <w:p w14:paraId="385ACA55">
            <w:pPr>
              <w:pStyle w:val="5"/>
            </w:pPr>
            <w:r>
              <w:t>12.156</w:t>
            </w:r>
          </w:p>
        </w:tc>
        <w:tc>
          <w:tcPr>
            <w:tcW w:w="540" w:type="pct"/>
            <w:shd w:val="clear" w:color="auto" w:fill="FFFFFF"/>
            <w:vAlign w:val="center"/>
          </w:tcPr>
          <w:p w14:paraId="0E1100F7">
            <w:pPr>
              <w:pStyle w:val="5"/>
            </w:pPr>
            <w:r>
              <w:t>0.082</w:t>
            </w:r>
          </w:p>
        </w:tc>
      </w:tr>
      <w:tr w14:paraId="2AF837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jc w:val="center"/>
        </w:trPr>
        <w:tc>
          <w:tcPr>
            <w:tcW w:w="1358" w:type="pct"/>
            <w:shd w:val="clear" w:color="auto" w:fill="FFFFFF"/>
            <w:vAlign w:val="center"/>
          </w:tcPr>
          <w:p w14:paraId="74512D50">
            <w:pPr>
              <w:pStyle w:val="5"/>
            </w:pPr>
            <w:r>
              <w:t>部门能源消费量 X11-5</w:t>
            </w:r>
          </w:p>
        </w:tc>
        <w:tc>
          <w:tcPr>
            <w:tcW w:w="631" w:type="pct"/>
            <w:shd w:val="clear" w:color="auto" w:fill="FFFFFF"/>
            <w:vAlign w:val="center"/>
          </w:tcPr>
          <w:p w14:paraId="69444D7F">
            <w:pPr>
              <w:pStyle w:val="5"/>
            </w:pPr>
            <w:r>
              <w:t>70.597</w:t>
            </w:r>
          </w:p>
        </w:tc>
        <w:tc>
          <w:tcPr>
            <w:tcW w:w="631" w:type="pct"/>
            <w:shd w:val="clear" w:color="auto" w:fill="FFFFFF"/>
            <w:vAlign w:val="center"/>
          </w:tcPr>
          <w:p w14:paraId="7C5DEFA7">
            <w:pPr>
              <w:pStyle w:val="5"/>
            </w:pPr>
            <w:r>
              <w:t>38.618</w:t>
            </w:r>
          </w:p>
        </w:tc>
        <w:tc>
          <w:tcPr>
            <w:tcW w:w="667" w:type="pct"/>
            <w:shd w:val="clear" w:color="auto" w:fill="FFFFFF"/>
            <w:vAlign w:val="center"/>
          </w:tcPr>
          <w:p w14:paraId="3ABFD6CD">
            <w:pPr>
              <w:pStyle w:val="5"/>
            </w:pPr>
            <w:r>
              <w:t>1.287</w:t>
            </w:r>
          </w:p>
        </w:tc>
        <w:tc>
          <w:tcPr>
            <w:tcW w:w="378" w:type="pct"/>
            <w:shd w:val="clear" w:color="auto" w:fill="FFFFFF"/>
            <w:vAlign w:val="center"/>
          </w:tcPr>
          <w:p w14:paraId="6CA03722">
            <w:pPr>
              <w:pStyle w:val="5"/>
            </w:pPr>
            <w:r>
              <w:t>1.828</w:t>
            </w:r>
          </w:p>
        </w:tc>
        <w:tc>
          <w:tcPr>
            <w:tcW w:w="386" w:type="pct"/>
            <w:shd w:val="clear" w:color="auto" w:fill="FFFFFF"/>
            <w:vAlign w:val="center"/>
          </w:tcPr>
          <w:p w14:paraId="59700A30">
            <w:pPr>
              <w:pStyle w:val="5"/>
            </w:pPr>
            <w:r>
              <w:t>0.117</w:t>
            </w:r>
          </w:p>
        </w:tc>
        <w:tc>
          <w:tcPr>
            <w:tcW w:w="409" w:type="pct"/>
            <w:shd w:val="clear" w:color="auto" w:fill="FFFFFF"/>
            <w:vAlign w:val="center"/>
          </w:tcPr>
          <w:p w14:paraId="3A43B093">
            <w:pPr>
              <w:pStyle w:val="5"/>
            </w:pPr>
            <w:r>
              <w:t>44.863</w:t>
            </w:r>
          </w:p>
        </w:tc>
        <w:tc>
          <w:tcPr>
            <w:tcW w:w="540" w:type="pct"/>
            <w:shd w:val="clear" w:color="auto" w:fill="FFFFFF"/>
            <w:vAlign w:val="center"/>
          </w:tcPr>
          <w:p w14:paraId="51D9C8C6">
            <w:pPr>
              <w:pStyle w:val="5"/>
            </w:pPr>
            <w:r>
              <w:t>0.022</w:t>
            </w:r>
          </w:p>
        </w:tc>
      </w:tr>
      <w:tr w14:paraId="600417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jc w:val="center"/>
        </w:trPr>
        <w:tc>
          <w:tcPr>
            <w:tcW w:w="1358" w:type="pct"/>
            <w:shd w:val="clear" w:color="auto" w:fill="FFFFFF"/>
            <w:vAlign w:val="center"/>
          </w:tcPr>
          <w:p w14:paraId="0F81DEE9">
            <w:pPr>
              <w:pStyle w:val="5"/>
            </w:pPr>
            <w:r>
              <w:t>部门能源消费量 X11-6</w:t>
            </w:r>
          </w:p>
        </w:tc>
        <w:tc>
          <w:tcPr>
            <w:tcW w:w="631" w:type="pct"/>
            <w:shd w:val="clear" w:color="auto" w:fill="FFFFFF"/>
            <w:vAlign w:val="center"/>
          </w:tcPr>
          <w:p w14:paraId="04515AE7">
            <w:pPr>
              <w:pStyle w:val="5"/>
            </w:pPr>
            <w:r>
              <w:t>-45.579</w:t>
            </w:r>
          </w:p>
        </w:tc>
        <w:tc>
          <w:tcPr>
            <w:tcW w:w="631" w:type="pct"/>
            <w:shd w:val="clear" w:color="auto" w:fill="FFFFFF"/>
            <w:vAlign w:val="center"/>
          </w:tcPr>
          <w:p w14:paraId="4019039E">
            <w:pPr>
              <w:pStyle w:val="5"/>
            </w:pPr>
            <w:r>
              <w:t>17.348</w:t>
            </w:r>
          </w:p>
        </w:tc>
        <w:tc>
          <w:tcPr>
            <w:tcW w:w="667" w:type="pct"/>
            <w:shd w:val="clear" w:color="auto" w:fill="FFFFFF"/>
            <w:vAlign w:val="center"/>
          </w:tcPr>
          <w:p w14:paraId="1AACAAFA">
            <w:pPr>
              <w:pStyle w:val="5"/>
            </w:pPr>
            <w:r>
              <w:t>-1.798</w:t>
            </w:r>
          </w:p>
        </w:tc>
        <w:tc>
          <w:tcPr>
            <w:tcW w:w="378" w:type="pct"/>
            <w:shd w:val="clear" w:color="auto" w:fill="FFFFFF"/>
            <w:vAlign w:val="center"/>
          </w:tcPr>
          <w:p w14:paraId="6D2805D8">
            <w:pPr>
              <w:pStyle w:val="5"/>
            </w:pPr>
            <w:r>
              <w:t>-2.627</w:t>
            </w:r>
          </w:p>
        </w:tc>
        <w:tc>
          <w:tcPr>
            <w:tcW w:w="386" w:type="pct"/>
            <w:shd w:val="clear" w:color="auto" w:fill="FFFFFF"/>
            <w:vAlign w:val="center"/>
          </w:tcPr>
          <w:p w14:paraId="3375252F">
            <w:pPr>
              <w:pStyle w:val="5"/>
            </w:pPr>
            <w:r>
              <w:t>0.039*</w:t>
            </w:r>
          </w:p>
        </w:tc>
        <w:tc>
          <w:tcPr>
            <w:tcW w:w="409" w:type="pct"/>
            <w:shd w:val="clear" w:color="auto" w:fill="FFFFFF"/>
            <w:vAlign w:val="center"/>
          </w:tcPr>
          <w:p w14:paraId="30203D57">
            <w:pPr>
              <w:pStyle w:val="5"/>
            </w:pPr>
            <w:r>
              <w:t>42.421</w:t>
            </w:r>
          </w:p>
        </w:tc>
        <w:tc>
          <w:tcPr>
            <w:tcW w:w="540" w:type="pct"/>
            <w:shd w:val="clear" w:color="auto" w:fill="FFFFFF"/>
            <w:vAlign w:val="center"/>
          </w:tcPr>
          <w:p w14:paraId="5FDDEE19">
            <w:pPr>
              <w:pStyle w:val="5"/>
            </w:pPr>
            <w:r>
              <w:t>0.024</w:t>
            </w:r>
          </w:p>
        </w:tc>
      </w:tr>
      <w:tr w14:paraId="36699D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jc w:val="center"/>
        </w:trPr>
        <w:tc>
          <w:tcPr>
            <w:tcW w:w="1358" w:type="pct"/>
            <w:shd w:val="clear" w:color="auto" w:fill="FFFFFF"/>
            <w:vAlign w:val="center"/>
          </w:tcPr>
          <w:p w14:paraId="1804F6AA">
            <w:pPr>
              <w:pStyle w:val="5"/>
            </w:pPr>
            <w:r>
              <w:rPr>
                <w:i/>
                <w:iCs/>
              </w:rPr>
              <w:t>R</w:t>
            </w:r>
            <w:r>
              <w:t> </w:t>
            </w:r>
            <w:r>
              <w:rPr>
                <w:sz w:val="18"/>
                <w:szCs w:val="18"/>
                <w:vertAlign w:val="superscript"/>
              </w:rPr>
              <w:t>2</w:t>
            </w:r>
          </w:p>
        </w:tc>
        <w:tc>
          <w:tcPr>
            <w:tcW w:w="3642" w:type="pct"/>
            <w:gridSpan w:val="7"/>
            <w:shd w:val="clear" w:color="auto" w:fill="FFFFFF"/>
            <w:vAlign w:val="center"/>
          </w:tcPr>
          <w:p w14:paraId="1177A7B6">
            <w:pPr>
              <w:pStyle w:val="5"/>
            </w:pPr>
            <w:r>
              <w:t>0.934</w:t>
            </w:r>
          </w:p>
        </w:tc>
      </w:tr>
      <w:tr w14:paraId="7831CEE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jc w:val="center"/>
        </w:trPr>
        <w:tc>
          <w:tcPr>
            <w:tcW w:w="1358" w:type="pct"/>
            <w:shd w:val="clear" w:color="auto" w:fill="FFFFFF"/>
            <w:vAlign w:val="center"/>
          </w:tcPr>
          <w:p w14:paraId="0CC55970">
            <w:pPr>
              <w:pStyle w:val="5"/>
            </w:pPr>
            <w:r>
              <w:t>调整</w:t>
            </w:r>
            <w:r>
              <w:rPr>
                <w:i/>
                <w:iCs/>
              </w:rPr>
              <w:t>R</w:t>
            </w:r>
            <w:r>
              <w:t> </w:t>
            </w:r>
            <w:r>
              <w:rPr>
                <w:sz w:val="18"/>
                <w:szCs w:val="18"/>
                <w:vertAlign w:val="superscript"/>
              </w:rPr>
              <w:t>2</w:t>
            </w:r>
          </w:p>
        </w:tc>
        <w:tc>
          <w:tcPr>
            <w:tcW w:w="3642" w:type="pct"/>
            <w:gridSpan w:val="7"/>
            <w:shd w:val="clear" w:color="auto" w:fill="FFFFFF"/>
            <w:vAlign w:val="center"/>
          </w:tcPr>
          <w:p w14:paraId="0A04E0D4">
            <w:pPr>
              <w:pStyle w:val="5"/>
            </w:pPr>
            <w:r>
              <w:t>0.890</w:t>
            </w:r>
          </w:p>
        </w:tc>
      </w:tr>
      <w:tr w14:paraId="52008B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jc w:val="center"/>
        </w:trPr>
        <w:tc>
          <w:tcPr>
            <w:tcW w:w="1358" w:type="pct"/>
            <w:shd w:val="clear" w:color="auto" w:fill="FFFFFF"/>
            <w:vAlign w:val="center"/>
          </w:tcPr>
          <w:p w14:paraId="29DB3C00">
            <w:pPr>
              <w:pStyle w:val="5"/>
            </w:pPr>
            <w:r>
              <w:rPr>
                <w:i/>
                <w:iCs/>
              </w:rPr>
              <w:t>F</w:t>
            </w:r>
          </w:p>
        </w:tc>
        <w:tc>
          <w:tcPr>
            <w:tcW w:w="3642" w:type="pct"/>
            <w:gridSpan w:val="7"/>
            <w:shd w:val="clear" w:color="auto" w:fill="FFFFFF"/>
            <w:vAlign w:val="center"/>
          </w:tcPr>
          <w:p w14:paraId="5A999BF2">
            <w:pPr>
              <w:pStyle w:val="5"/>
            </w:pPr>
            <w:r>
              <w:rPr>
                <w:i/>
                <w:iCs/>
              </w:rPr>
              <w:t>F</w:t>
            </w:r>
            <w:r>
              <w:t> (4,6)=21.138,</w:t>
            </w:r>
            <w:r>
              <w:rPr>
                <w:i/>
                <w:iCs/>
              </w:rPr>
              <w:t>p</w:t>
            </w:r>
            <w:r>
              <w:t>=0.001</w:t>
            </w:r>
          </w:p>
        </w:tc>
      </w:tr>
      <w:tr w14:paraId="4CEF27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jc w:val="center"/>
        </w:trPr>
        <w:tc>
          <w:tcPr>
            <w:tcW w:w="1358" w:type="pct"/>
            <w:shd w:val="clear" w:color="auto" w:fill="FFFFFF"/>
            <w:vAlign w:val="center"/>
          </w:tcPr>
          <w:p w14:paraId="7A01E41D">
            <w:pPr>
              <w:pStyle w:val="5"/>
            </w:pPr>
            <w:r>
              <w:t>D-W值</w:t>
            </w:r>
          </w:p>
        </w:tc>
        <w:tc>
          <w:tcPr>
            <w:tcW w:w="3642" w:type="pct"/>
            <w:gridSpan w:val="7"/>
            <w:shd w:val="clear" w:color="auto" w:fill="FFFFFF"/>
            <w:vAlign w:val="center"/>
          </w:tcPr>
          <w:p w14:paraId="35991609">
            <w:pPr>
              <w:pStyle w:val="5"/>
            </w:pPr>
            <w:r>
              <w:t>2.399</w:t>
            </w:r>
          </w:p>
        </w:tc>
      </w:tr>
    </w:tbl>
    <w:p w14:paraId="50418035">
      <w:pPr>
        <w:ind w:firstLine="480"/>
      </w:pPr>
      <w:r>
        <w:rPr>
          <w:rFonts w:hint="eastAsia"/>
        </w:rPr>
        <w:t>根据线性回归结果表，得到如下碳排放量与各部门能源消费量间的关联模型。该模型R方值为0.934，说明各部门能源消费量可以解释碳排放量9</w:t>
      </w:r>
      <w:r>
        <w:t>3.4%</w:t>
      </w:r>
      <w:r>
        <w:rPr>
          <w:rFonts w:hint="eastAsia"/>
        </w:rPr>
        <w:t>的变化原因，较为准确。</w:t>
      </w:r>
    </w:p>
    <w:p w14:paraId="7BE0628B">
      <w:pPr>
        <w:ind w:firstLine="480"/>
      </w:pPr>
      <w:r>
        <w:rPr>
          <w:rFonts w:hint="eastAsia"/>
        </w:rPr>
        <w:t>其中，能源供应部门能源消费量X</w:t>
      </w:r>
      <w:r>
        <w:rPr>
          <w:rFonts w:hint="eastAsia"/>
          <w:vertAlign w:val="subscript"/>
        </w:rPr>
        <w:t>11-2,</w:t>
      </w:r>
      <w:r>
        <w:rPr>
          <w:rFonts w:hint="eastAsia"/>
        </w:rPr>
        <w:t xml:space="preserve"> 工业消费部门能源消费量X</w:t>
      </w:r>
      <w:r>
        <w:rPr>
          <w:rFonts w:hint="eastAsia"/>
          <w:vertAlign w:val="subscript"/>
        </w:rPr>
        <w:t>11-3</w:t>
      </w:r>
      <w:r>
        <w:rPr>
          <w:rFonts w:hint="eastAsia"/>
        </w:rPr>
        <w:t>会对总体碳排放量产生显著的正向影响关系，而建筑消费部门能源消费量 X</w:t>
      </w:r>
      <w:r>
        <w:rPr>
          <w:rFonts w:hint="eastAsia"/>
          <w:vertAlign w:val="subscript"/>
        </w:rPr>
        <w:t>11-6</w:t>
      </w:r>
      <w:r>
        <w:rPr>
          <w:rFonts w:hint="eastAsia"/>
        </w:rPr>
        <w:t>会对总体碳排放量产生显著的负向影响关系。</w:t>
      </w:r>
    </w:p>
    <w:p w14:paraId="6A3160E9">
      <w:pPr>
        <w:ind w:firstLine="480"/>
      </w:pPr>
      <w:r>
        <w:rPr>
          <w:rFonts w:hint="eastAsia"/>
        </w:rPr>
        <w:t>为了进一步理清能源供应部门对其他部门的能源消费量的影响，团队再次选择结构方程模型进行探究能源供应部门对其他消费部门的影响，从下图可以看出能源供应部门对其下游的工业消费部门影响巨大，且该影响直接导致碳排放增加。若能源供应部门的使用效率大幅提升，则工业消费部门、交通消费部门、居民消费部门的碳排放将会减少。</w:t>
      </w:r>
    </w:p>
    <w:p w14:paraId="035FB293">
      <w:pPr>
        <w:keepNext/>
        <w:ind w:firstLine="0" w:firstLineChars="0"/>
        <w:jc w:val="center"/>
      </w:pPr>
      <w:r>
        <w:rPr>
          <w:rFonts w:eastAsia="等线"/>
          <w:sz w:val="21"/>
          <w:szCs w:val="21"/>
        </w:rPr>
        <w:drawing>
          <wp:inline distT="0" distB="0" distL="0" distR="0">
            <wp:extent cx="5257800" cy="2840990"/>
            <wp:effectExtent l="0" t="0" r="0" b="0"/>
            <wp:docPr id="24322488" name="图片 24322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2488" name="图片 2432248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257800" cy="2840990"/>
                    </a:xfrm>
                    <a:prstGeom prst="rect">
                      <a:avLst/>
                    </a:prstGeom>
                    <a:noFill/>
                    <a:ln>
                      <a:noFill/>
                    </a:ln>
                  </pic:spPr>
                </pic:pic>
              </a:graphicData>
            </a:graphic>
          </wp:inline>
        </w:drawing>
      </w:r>
    </w:p>
    <w:p w14:paraId="2835A54E">
      <w:pPr>
        <w:pStyle w:val="5"/>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15</w:t>
      </w:r>
      <w:r>
        <w:fldChar w:fldCharType="end"/>
      </w:r>
      <w:r>
        <w:t xml:space="preserve"> </w:t>
      </w:r>
      <w:r>
        <w:rPr>
          <w:rFonts w:hint="eastAsia"/>
        </w:rPr>
        <w:t>结构方程模型图</w:t>
      </w:r>
    </w:p>
    <w:p w14:paraId="2D136E4A">
      <w:pPr>
        <w:ind w:firstLine="480"/>
      </w:pPr>
      <w:r>
        <w:rPr>
          <w:rFonts w:hint="eastAsia"/>
        </w:rPr>
        <w:t>同上文对碳排放量与各部门能源消费量进行的关联分析，下文再对碳排放量与各部门能源消费品种进行关联分析。</w:t>
      </w:r>
    </w:p>
    <w:p w14:paraId="5D7AD543">
      <w:pPr>
        <w:ind w:firstLine="480"/>
      </w:pPr>
      <w:r>
        <w:rPr>
          <w:rFonts w:hint="eastAsia"/>
        </w:rPr>
        <w:t>首先，对碳排放量与各部门能源消费品种指标进行相关性分析，以剔除其中的系统不重要指标。其Pearson相关可视化图如下，</w:t>
      </w:r>
    </w:p>
    <w:p w14:paraId="4C545703">
      <w:pPr>
        <w:keepNext/>
        <w:ind w:firstLine="0" w:firstLineChars="0"/>
        <w:jc w:val="center"/>
      </w:pPr>
      <w:r>
        <w:rPr>
          <w:rFonts w:eastAsia="等线"/>
          <w:sz w:val="21"/>
          <w:szCs w:val="21"/>
        </w:rPr>
        <w:drawing>
          <wp:inline distT="0" distB="0" distL="0" distR="0">
            <wp:extent cx="4363720" cy="2165985"/>
            <wp:effectExtent l="0" t="0" r="0" b="5715"/>
            <wp:docPr id="374639224" name="图片 37463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39224" name="图片 374639224"/>
                    <pic:cNvPicPr>
                      <a:picLocks noChangeAspect="1" noChangeArrowheads="1"/>
                    </pic:cNvPicPr>
                  </pic:nvPicPr>
                  <pic:blipFill>
                    <a:blip r:embed="rId33">
                      <a:extLst>
                        <a:ext uri="{28A0092B-C50C-407E-A947-70E740481C1C}">
                          <a14:useLocalDpi xmlns:a14="http://schemas.microsoft.com/office/drawing/2010/main" val="0"/>
                        </a:ext>
                      </a:extLst>
                    </a:blip>
                    <a:srcRect l="2553" t="10022" b="5113"/>
                    <a:stretch>
                      <a:fillRect/>
                    </a:stretch>
                  </pic:blipFill>
                  <pic:spPr>
                    <a:xfrm>
                      <a:off x="0" y="0"/>
                      <a:ext cx="4364971" cy="2166342"/>
                    </a:xfrm>
                    <a:prstGeom prst="rect">
                      <a:avLst/>
                    </a:prstGeom>
                    <a:noFill/>
                    <a:ln>
                      <a:noFill/>
                    </a:ln>
                  </pic:spPr>
                </pic:pic>
              </a:graphicData>
            </a:graphic>
          </wp:inline>
        </w:drawing>
      </w:r>
    </w:p>
    <w:p w14:paraId="5A9AE89A">
      <w:pPr>
        <w:pStyle w:val="5"/>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16</w:t>
      </w:r>
      <w:r>
        <w:fldChar w:fldCharType="end"/>
      </w:r>
      <w:r>
        <w:t xml:space="preserve"> </w:t>
      </w:r>
      <w:r>
        <w:rPr>
          <w:rFonts w:hint="eastAsia"/>
        </w:rPr>
        <w:t>Pearson相关可视化图</w:t>
      </w:r>
    </w:p>
    <w:p w14:paraId="03DA45F9">
      <w:pPr>
        <w:spacing w:line="400" w:lineRule="exact"/>
        <w:ind w:firstLine="480"/>
        <w:rPr>
          <w:kern w:val="24"/>
          <w:szCs w:val="24"/>
        </w:rPr>
      </w:pPr>
      <w:r>
        <w:rPr>
          <w:rFonts w:hint="eastAsia"/>
          <w:kern w:val="24"/>
          <w:szCs w:val="24"/>
        </w:rPr>
        <w:t xml:space="preserve"> 其次，从上图可以发现，由于初始数据中非化石能源相对于化石能源过于渺小，其可能导致分析结果极不相关。因此在研究碳排放和各部门消费异质性时，偏向于筛选各部门一次石化能源消费量和二次能源消费量以及化石能源发电构建多元线性回归模型。</w:t>
      </w:r>
    </w:p>
    <w:p w14:paraId="67BB15C1">
      <w:pPr>
        <w:spacing w:line="400" w:lineRule="exact"/>
        <w:ind w:firstLine="480"/>
        <w:rPr>
          <w:kern w:val="24"/>
          <w:szCs w:val="24"/>
        </w:rPr>
      </w:pPr>
      <w:r>
        <w:rPr>
          <w:rFonts w:hint="eastAsia"/>
          <w:kern w:val="24"/>
          <w:szCs w:val="24"/>
        </w:rPr>
        <w:t>之后，利用SPSS对碳排放和各部门一次石化能源消费量、二次能源消费量和化石能源发电进行多元回归分析，得到结果如下表所示，</w:t>
      </w:r>
    </w:p>
    <w:p w14:paraId="0F3E8514">
      <w:pPr>
        <w:pStyle w:val="5"/>
        <w:keepNext/>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8</w:t>
      </w:r>
      <w:r>
        <w:fldChar w:fldCharType="end"/>
      </w:r>
      <w:r>
        <w:t xml:space="preserve"> </w:t>
      </w:r>
      <w:r>
        <w:rPr>
          <w:rFonts w:hint="eastAsia"/>
        </w:rPr>
        <w:t>线性回归结果表</w:t>
      </w:r>
    </w:p>
    <w:tbl>
      <w:tblPr>
        <w:tblStyle w:val="19"/>
        <w:tblW w:w="5000" w:type="pct"/>
        <w:tblInd w:w="108"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009"/>
        <w:gridCol w:w="1216"/>
        <w:gridCol w:w="1024"/>
        <w:gridCol w:w="1082"/>
        <w:gridCol w:w="662"/>
        <w:gridCol w:w="709"/>
        <w:gridCol w:w="782"/>
        <w:gridCol w:w="872"/>
      </w:tblGrid>
      <w:tr w14:paraId="4F124D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1608" w:type="pct"/>
            <w:vMerge w:val="restart"/>
            <w:shd w:val="clear" w:color="auto" w:fill="FFFFFF"/>
            <w:vAlign w:val="center"/>
          </w:tcPr>
          <w:p w14:paraId="6C83FC52">
            <w:pPr>
              <w:pStyle w:val="5"/>
            </w:pPr>
          </w:p>
        </w:tc>
        <w:tc>
          <w:tcPr>
            <w:tcW w:w="1197" w:type="pct"/>
            <w:gridSpan w:val="2"/>
            <w:shd w:val="clear" w:color="auto" w:fill="FFFFFF"/>
            <w:vAlign w:val="center"/>
          </w:tcPr>
          <w:p w14:paraId="1E73CE80">
            <w:pPr>
              <w:pStyle w:val="5"/>
            </w:pPr>
            <w:r>
              <w:t>非标准化系数</w:t>
            </w:r>
          </w:p>
        </w:tc>
        <w:tc>
          <w:tcPr>
            <w:tcW w:w="578" w:type="pct"/>
            <w:shd w:val="clear" w:color="auto" w:fill="FFFFFF"/>
            <w:vAlign w:val="center"/>
          </w:tcPr>
          <w:p w14:paraId="5BC5CFF4">
            <w:pPr>
              <w:pStyle w:val="5"/>
            </w:pPr>
            <w:r>
              <w:t>标准化系数</w:t>
            </w:r>
          </w:p>
        </w:tc>
        <w:tc>
          <w:tcPr>
            <w:tcW w:w="354" w:type="pct"/>
            <w:vMerge w:val="restart"/>
            <w:shd w:val="clear" w:color="auto" w:fill="FFFFFF"/>
            <w:vAlign w:val="center"/>
          </w:tcPr>
          <w:p w14:paraId="4EC79A1B">
            <w:pPr>
              <w:pStyle w:val="5"/>
            </w:pPr>
            <w:r>
              <w:rPr>
                <w:i/>
                <w:iCs/>
              </w:rPr>
              <w:t>t</w:t>
            </w:r>
            <w:r>
              <w:rPr>
                <w:color w:val="CCCCCC"/>
              </w:rPr>
              <w:t></w:t>
            </w:r>
          </w:p>
        </w:tc>
        <w:tc>
          <w:tcPr>
            <w:tcW w:w="379" w:type="pct"/>
            <w:vMerge w:val="restart"/>
            <w:shd w:val="clear" w:color="auto" w:fill="FFFFFF"/>
            <w:vAlign w:val="center"/>
          </w:tcPr>
          <w:p w14:paraId="5A6FEF2C">
            <w:pPr>
              <w:pStyle w:val="5"/>
            </w:pPr>
            <w:r>
              <w:rPr>
                <w:i/>
                <w:iCs/>
              </w:rPr>
              <w:t>p</w:t>
            </w:r>
            <w:r>
              <w:rPr>
                <w:color w:val="CCCCCC"/>
              </w:rPr>
              <w:t></w:t>
            </w:r>
          </w:p>
        </w:tc>
        <w:tc>
          <w:tcPr>
            <w:tcW w:w="884" w:type="pct"/>
            <w:gridSpan w:val="2"/>
            <w:shd w:val="clear" w:color="auto" w:fill="FFFFFF"/>
            <w:vAlign w:val="center"/>
          </w:tcPr>
          <w:p w14:paraId="1337645F">
            <w:pPr>
              <w:pStyle w:val="5"/>
            </w:pPr>
            <w:r>
              <w:t>共线性诊断</w:t>
            </w:r>
          </w:p>
        </w:tc>
      </w:tr>
      <w:tr w14:paraId="5E5C2D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0" w:type="auto"/>
            <w:vMerge w:val="continue"/>
            <w:vAlign w:val="center"/>
          </w:tcPr>
          <w:p w14:paraId="0C428184">
            <w:pPr>
              <w:pStyle w:val="5"/>
            </w:pPr>
          </w:p>
        </w:tc>
        <w:tc>
          <w:tcPr>
            <w:tcW w:w="650" w:type="pct"/>
            <w:shd w:val="clear" w:color="auto" w:fill="FFFFFF"/>
            <w:vAlign w:val="center"/>
          </w:tcPr>
          <w:p w14:paraId="6E6F5115">
            <w:pPr>
              <w:pStyle w:val="5"/>
            </w:pPr>
            <w:r>
              <w:rPr>
                <w:i/>
                <w:iCs/>
              </w:rPr>
              <w:t>B</w:t>
            </w:r>
            <w:r>
              <w:rPr>
                <w:color w:val="CCCCCC"/>
              </w:rPr>
              <w:t></w:t>
            </w:r>
          </w:p>
        </w:tc>
        <w:tc>
          <w:tcPr>
            <w:tcW w:w="547" w:type="pct"/>
            <w:shd w:val="clear" w:color="auto" w:fill="FFFFFF"/>
            <w:vAlign w:val="center"/>
          </w:tcPr>
          <w:p w14:paraId="3F86924F">
            <w:pPr>
              <w:pStyle w:val="5"/>
            </w:pPr>
            <w:r>
              <w:t>标准误</w:t>
            </w:r>
            <w:r>
              <w:rPr>
                <w:color w:val="CCCCCC"/>
              </w:rPr>
              <w:t></w:t>
            </w:r>
          </w:p>
        </w:tc>
        <w:tc>
          <w:tcPr>
            <w:tcW w:w="578" w:type="pct"/>
            <w:shd w:val="clear" w:color="auto" w:fill="FFFFFF"/>
            <w:vAlign w:val="center"/>
          </w:tcPr>
          <w:p w14:paraId="28A7A7F5">
            <w:pPr>
              <w:pStyle w:val="5"/>
            </w:pPr>
            <w:r>
              <w:rPr>
                <w:i/>
                <w:iCs/>
              </w:rPr>
              <w:t>Beta</w:t>
            </w:r>
            <w:r>
              <w:rPr>
                <w:color w:val="CCCCCC"/>
              </w:rPr>
              <w:t></w:t>
            </w:r>
          </w:p>
        </w:tc>
        <w:tc>
          <w:tcPr>
            <w:tcW w:w="0" w:type="auto"/>
            <w:vMerge w:val="continue"/>
            <w:vAlign w:val="center"/>
          </w:tcPr>
          <w:p w14:paraId="42E331E1">
            <w:pPr>
              <w:pStyle w:val="5"/>
            </w:pPr>
          </w:p>
        </w:tc>
        <w:tc>
          <w:tcPr>
            <w:tcW w:w="0" w:type="auto"/>
            <w:vMerge w:val="continue"/>
            <w:vAlign w:val="center"/>
          </w:tcPr>
          <w:p w14:paraId="20FD5058">
            <w:pPr>
              <w:pStyle w:val="5"/>
            </w:pPr>
          </w:p>
        </w:tc>
        <w:tc>
          <w:tcPr>
            <w:tcW w:w="418" w:type="pct"/>
            <w:shd w:val="clear" w:color="auto" w:fill="FFFFFF"/>
            <w:vAlign w:val="center"/>
          </w:tcPr>
          <w:p w14:paraId="30FFFE03">
            <w:pPr>
              <w:pStyle w:val="5"/>
            </w:pPr>
            <w:r>
              <w:t>VIF</w:t>
            </w:r>
            <w:r>
              <w:rPr>
                <w:color w:val="CCCCCC"/>
              </w:rPr>
              <w:t></w:t>
            </w:r>
          </w:p>
        </w:tc>
        <w:tc>
          <w:tcPr>
            <w:tcW w:w="466" w:type="pct"/>
            <w:shd w:val="clear" w:color="auto" w:fill="FFFFFF"/>
            <w:vAlign w:val="center"/>
          </w:tcPr>
          <w:p w14:paraId="67C07BD9">
            <w:pPr>
              <w:pStyle w:val="5"/>
            </w:pPr>
            <w:r>
              <w:t>容忍度</w:t>
            </w:r>
            <w:r>
              <w:rPr>
                <w:color w:val="CCCCCC"/>
              </w:rPr>
              <w:t></w:t>
            </w:r>
          </w:p>
        </w:tc>
      </w:tr>
      <w:tr w14:paraId="78E211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1608" w:type="pct"/>
            <w:shd w:val="clear" w:color="auto" w:fill="FFFFFF"/>
            <w:vAlign w:val="center"/>
          </w:tcPr>
          <w:p w14:paraId="115C396C">
            <w:pPr>
              <w:pStyle w:val="5"/>
            </w:pPr>
            <w:r>
              <w:t>常数</w:t>
            </w:r>
          </w:p>
        </w:tc>
        <w:tc>
          <w:tcPr>
            <w:tcW w:w="650" w:type="pct"/>
            <w:shd w:val="clear" w:color="auto" w:fill="FFFFFF"/>
            <w:vAlign w:val="center"/>
          </w:tcPr>
          <w:p w14:paraId="1A138BCD">
            <w:pPr>
              <w:pStyle w:val="5"/>
            </w:pPr>
            <w:r>
              <w:t>-160242.787</w:t>
            </w:r>
          </w:p>
        </w:tc>
        <w:tc>
          <w:tcPr>
            <w:tcW w:w="547" w:type="pct"/>
            <w:shd w:val="clear" w:color="auto" w:fill="FFFFFF"/>
            <w:vAlign w:val="center"/>
          </w:tcPr>
          <w:p w14:paraId="7AE6E759">
            <w:pPr>
              <w:pStyle w:val="5"/>
            </w:pPr>
            <w:r>
              <w:t>33887.784</w:t>
            </w:r>
          </w:p>
        </w:tc>
        <w:tc>
          <w:tcPr>
            <w:tcW w:w="578" w:type="pct"/>
            <w:shd w:val="clear" w:color="auto" w:fill="FFFFFF"/>
            <w:vAlign w:val="center"/>
          </w:tcPr>
          <w:p w14:paraId="07464429">
            <w:pPr>
              <w:pStyle w:val="5"/>
            </w:pPr>
            <w:r>
              <w:t>-</w:t>
            </w:r>
          </w:p>
        </w:tc>
        <w:tc>
          <w:tcPr>
            <w:tcW w:w="354" w:type="pct"/>
            <w:shd w:val="clear" w:color="auto" w:fill="FFFFFF"/>
            <w:vAlign w:val="center"/>
          </w:tcPr>
          <w:p w14:paraId="2DB19211">
            <w:pPr>
              <w:pStyle w:val="5"/>
            </w:pPr>
            <w:r>
              <w:t>-4.729</w:t>
            </w:r>
          </w:p>
        </w:tc>
        <w:tc>
          <w:tcPr>
            <w:tcW w:w="379" w:type="pct"/>
            <w:shd w:val="clear" w:color="auto" w:fill="FFFFFF"/>
            <w:vAlign w:val="center"/>
          </w:tcPr>
          <w:p w14:paraId="103D605C">
            <w:pPr>
              <w:pStyle w:val="5"/>
            </w:pPr>
            <w:r>
              <w:t>0.018*</w:t>
            </w:r>
          </w:p>
        </w:tc>
        <w:tc>
          <w:tcPr>
            <w:tcW w:w="418" w:type="pct"/>
            <w:shd w:val="clear" w:color="auto" w:fill="FFFFFF"/>
            <w:vAlign w:val="center"/>
          </w:tcPr>
          <w:p w14:paraId="1DA65628">
            <w:pPr>
              <w:pStyle w:val="5"/>
            </w:pPr>
            <w:r>
              <w:t>-</w:t>
            </w:r>
          </w:p>
        </w:tc>
        <w:tc>
          <w:tcPr>
            <w:tcW w:w="466" w:type="pct"/>
            <w:shd w:val="clear" w:color="auto" w:fill="FFFFFF"/>
            <w:vAlign w:val="center"/>
          </w:tcPr>
          <w:p w14:paraId="114400DE">
            <w:pPr>
              <w:pStyle w:val="5"/>
            </w:pPr>
            <w:r>
              <w:t>-</w:t>
            </w:r>
          </w:p>
        </w:tc>
      </w:tr>
      <w:tr w14:paraId="67C335E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1608" w:type="pct"/>
            <w:shd w:val="clear" w:color="auto" w:fill="FFFFFF"/>
            <w:vAlign w:val="center"/>
          </w:tcPr>
          <w:p w14:paraId="13BE89D9">
            <w:pPr>
              <w:pStyle w:val="5"/>
            </w:pPr>
            <w:r>
              <w:t>H1化石能源发电</w:t>
            </w:r>
          </w:p>
        </w:tc>
        <w:tc>
          <w:tcPr>
            <w:tcW w:w="650" w:type="pct"/>
            <w:shd w:val="clear" w:color="auto" w:fill="FFFFFF"/>
            <w:vAlign w:val="center"/>
          </w:tcPr>
          <w:p w14:paraId="0FBAF96A">
            <w:pPr>
              <w:pStyle w:val="5"/>
            </w:pPr>
            <w:r>
              <w:t>-2.876</w:t>
            </w:r>
          </w:p>
        </w:tc>
        <w:tc>
          <w:tcPr>
            <w:tcW w:w="547" w:type="pct"/>
            <w:shd w:val="clear" w:color="auto" w:fill="FFFFFF"/>
            <w:vAlign w:val="center"/>
          </w:tcPr>
          <w:p w14:paraId="12FF1819">
            <w:pPr>
              <w:pStyle w:val="5"/>
            </w:pPr>
            <w:r>
              <w:t>3.264</w:t>
            </w:r>
          </w:p>
        </w:tc>
        <w:tc>
          <w:tcPr>
            <w:tcW w:w="578" w:type="pct"/>
            <w:shd w:val="clear" w:color="auto" w:fill="FFFFFF"/>
            <w:vAlign w:val="center"/>
          </w:tcPr>
          <w:p w14:paraId="5F4C4096">
            <w:pPr>
              <w:pStyle w:val="5"/>
            </w:pPr>
            <w:r>
              <w:t>-0.338</w:t>
            </w:r>
          </w:p>
        </w:tc>
        <w:tc>
          <w:tcPr>
            <w:tcW w:w="354" w:type="pct"/>
            <w:shd w:val="clear" w:color="auto" w:fill="FFFFFF"/>
            <w:vAlign w:val="center"/>
          </w:tcPr>
          <w:p w14:paraId="0B569B9A">
            <w:pPr>
              <w:pStyle w:val="5"/>
            </w:pPr>
            <w:r>
              <w:t>-0.881</w:t>
            </w:r>
          </w:p>
        </w:tc>
        <w:tc>
          <w:tcPr>
            <w:tcW w:w="379" w:type="pct"/>
            <w:shd w:val="clear" w:color="auto" w:fill="FFFFFF"/>
            <w:vAlign w:val="center"/>
          </w:tcPr>
          <w:p w14:paraId="149C2602">
            <w:pPr>
              <w:pStyle w:val="5"/>
            </w:pPr>
            <w:r>
              <w:t>0.443</w:t>
            </w:r>
          </w:p>
        </w:tc>
        <w:tc>
          <w:tcPr>
            <w:tcW w:w="418" w:type="pct"/>
            <w:shd w:val="clear" w:color="auto" w:fill="FFFFFF"/>
            <w:vAlign w:val="center"/>
          </w:tcPr>
          <w:p w14:paraId="456AE402">
            <w:pPr>
              <w:pStyle w:val="5"/>
            </w:pPr>
            <w:r>
              <w:t>93.496</w:t>
            </w:r>
          </w:p>
        </w:tc>
        <w:tc>
          <w:tcPr>
            <w:tcW w:w="466" w:type="pct"/>
            <w:shd w:val="clear" w:color="auto" w:fill="FFFFFF"/>
            <w:vAlign w:val="center"/>
          </w:tcPr>
          <w:p w14:paraId="30B9ECEE">
            <w:pPr>
              <w:pStyle w:val="5"/>
            </w:pPr>
            <w:r>
              <w:t>0.011</w:t>
            </w:r>
          </w:p>
        </w:tc>
      </w:tr>
      <w:tr w14:paraId="70596C3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1608" w:type="pct"/>
            <w:shd w:val="clear" w:color="auto" w:fill="FFFFFF"/>
            <w:vAlign w:val="center"/>
          </w:tcPr>
          <w:p w14:paraId="46F70D9F">
            <w:pPr>
              <w:pStyle w:val="5"/>
            </w:pPr>
            <w:r>
              <w:t>H2部门一次能源中非石化消费量-2</w:t>
            </w:r>
          </w:p>
        </w:tc>
        <w:tc>
          <w:tcPr>
            <w:tcW w:w="650" w:type="pct"/>
            <w:shd w:val="clear" w:color="auto" w:fill="FFFFFF"/>
            <w:vAlign w:val="center"/>
          </w:tcPr>
          <w:p w14:paraId="0ED26388">
            <w:pPr>
              <w:pStyle w:val="5"/>
            </w:pPr>
            <w:r>
              <w:t>-89.574</w:t>
            </w:r>
          </w:p>
        </w:tc>
        <w:tc>
          <w:tcPr>
            <w:tcW w:w="547" w:type="pct"/>
            <w:shd w:val="clear" w:color="auto" w:fill="FFFFFF"/>
            <w:vAlign w:val="center"/>
          </w:tcPr>
          <w:p w14:paraId="384118EC">
            <w:pPr>
              <w:pStyle w:val="5"/>
            </w:pPr>
            <w:r>
              <w:t>25.628</w:t>
            </w:r>
          </w:p>
        </w:tc>
        <w:tc>
          <w:tcPr>
            <w:tcW w:w="578" w:type="pct"/>
            <w:shd w:val="clear" w:color="auto" w:fill="FFFFFF"/>
            <w:vAlign w:val="center"/>
          </w:tcPr>
          <w:p w14:paraId="3465D846">
            <w:pPr>
              <w:pStyle w:val="5"/>
            </w:pPr>
            <w:r>
              <w:t>-0.754</w:t>
            </w:r>
          </w:p>
        </w:tc>
        <w:tc>
          <w:tcPr>
            <w:tcW w:w="354" w:type="pct"/>
            <w:shd w:val="clear" w:color="auto" w:fill="FFFFFF"/>
            <w:vAlign w:val="center"/>
          </w:tcPr>
          <w:p w14:paraId="4226B44B">
            <w:pPr>
              <w:pStyle w:val="5"/>
            </w:pPr>
            <w:r>
              <w:t>-3.495</w:t>
            </w:r>
          </w:p>
        </w:tc>
        <w:tc>
          <w:tcPr>
            <w:tcW w:w="379" w:type="pct"/>
            <w:shd w:val="clear" w:color="auto" w:fill="FFFFFF"/>
            <w:vAlign w:val="center"/>
          </w:tcPr>
          <w:p w14:paraId="61DF8A4B">
            <w:pPr>
              <w:pStyle w:val="5"/>
            </w:pPr>
            <w:r>
              <w:t>0.040*</w:t>
            </w:r>
          </w:p>
        </w:tc>
        <w:tc>
          <w:tcPr>
            <w:tcW w:w="418" w:type="pct"/>
            <w:shd w:val="clear" w:color="auto" w:fill="FFFFFF"/>
            <w:vAlign w:val="center"/>
          </w:tcPr>
          <w:p w14:paraId="57C95269">
            <w:pPr>
              <w:pStyle w:val="5"/>
            </w:pPr>
            <w:r>
              <w:t>29.493</w:t>
            </w:r>
          </w:p>
        </w:tc>
        <w:tc>
          <w:tcPr>
            <w:tcW w:w="466" w:type="pct"/>
            <w:shd w:val="clear" w:color="auto" w:fill="FFFFFF"/>
            <w:vAlign w:val="center"/>
          </w:tcPr>
          <w:p w14:paraId="616B66F3">
            <w:pPr>
              <w:pStyle w:val="5"/>
            </w:pPr>
            <w:r>
              <w:t>0.034</w:t>
            </w:r>
          </w:p>
        </w:tc>
      </w:tr>
      <w:tr w14:paraId="33308C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1608" w:type="pct"/>
            <w:shd w:val="clear" w:color="auto" w:fill="FFFFFF"/>
            <w:vAlign w:val="center"/>
          </w:tcPr>
          <w:p w14:paraId="31986D91">
            <w:pPr>
              <w:pStyle w:val="5"/>
            </w:pPr>
            <w:r>
              <w:t>H3部门一次石化能源消费量-2</w:t>
            </w:r>
          </w:p>
        </w:tc>
        <w:tc>
          <w:tcPr>
            <w:tcW w:w="650" w:type="pct"/>
            <w:shd w:val="clear" w:color="auto" w:fill="FFFFFF"/>
            <w:vAlign w:val="center"/>
          </w:tcPr>
          <w:p w14:paraId="3FB01E88">
            <w:pPr>
              <w:pStyle w:val="5"/>
            </w:pPr>
            <w:r>
              <w:t>6.402</w:t>
            </w:r>
          </w:p>
        </w:tc>
        <w:tc>
          <w:tcPr>
            <w:tcW w:w="547" w:type="pct"/>
            <w:shd w:val="clear" w:color="auto" w:fill="FFFFFF"/>
            <w:vAlign w:val="center"/>
          </w:tcPr>
          <w:p w14:paraId="62900C7D">
            <w:pPr>
              <w:pStyle w:val="5"/>
            </w:pPr>
            <w:r>
              <w:t>1.488</w:t>
            </w:r>
          </w:p>
        </w:tc>
        <w:tc>
          <w:tcPr>
            <w:tcW w:w="578" w:type="pct"/>
            <w:shd w:val="clear" w:color="auto" w:fill="FFFFFF"/>
            <w:vAlign w:val="center"/>
          </w:tcPr>
          <w:p w14:paraId="4B3C0362">
            <w:pPr>
              <w:pStyle w:val="5"/>
            </w:pPr>
            <w:r>
              <w:t>0.731</w:t>
            </w:r>
          </w:p>
        </w:tc>
        <w:tc>
          <w:tcPr>
            <w:tcW w:w="354" w:type="pct"/>
            <w:shd w:val="clear" w:color="auto" w:fill="FFFFFF"/>
            <w:vAlign w:val="center"/>
          </w:tcPr>
          <w:p w14:paraId="585A96A0">
            <w:pPr>
              <w:pStyle w:val="5"/>
            </w:pPr>
            <w:r>
              <w:t>4.303</w:t>
            </w:r>
          </w:p>
        </w:tc>
        <w:tc>
          <w:tcPr>
            <w:tcW w:w="379" w:type="pct"/>
            <w:shd w:val="clear" w:color="auto" w:fill="FFFFFF"/>
            <w:vAlign w:val="center"/>
          </w:tcPr>
          <w:p w14:paraId="265151AB">
            <w:pPr>
              <w:pStyle w:val="5"/>
            </w:pPr>
            <w:r>
              <w:t>0.023*</w:t>
            </w:r>
          </w:p>
        </w:tc>
        <w:tc>
          <w:tcPr>
            <w:tcW w:w="418" w:type="pct"/>
            <w:shd w:val="clear" w:color="auto" w:fill="FFFFFF"/>
            <w:vAlign w:val="center"/>
          </w:tcPr>
          <w:p w14:paraId="18B6C2EC">
            <w:pPr>
              <w:pStyle w:val="5"/>
            </w:pPr>
            <w:r>
              <w:t>18.307</w:t>
            </w:r>
          </w:p>
        </w:tc>
        <w:tc>
          <w:tcPr>
            <w:tcW w:w="466" w:type="pct"/>
            <w:shd w:val="clear" w:color="auto" w:fill="FFFFFF"/>
            <w:vAlign w:val="center"/>
          </w:tcPr>
          <w:p w14:paraId="36609B3F">
            <w:pPr>
              <w:pStyle w:val="5"/>
            </w:pPr>
            <w:r>
              <w:t>0.055</w:t>
            </w:r>
          </w:p>
        </w:tc>
      </w:tr>
      <w:tr w14:paraId="58A95D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1608" w:type="pct"/>
            <w:shd w:val="clear" w:color="auto" w:fill="FFFFFF"/>
            <w:vAlign w:val="center"/>
          </w:tcPr>
          <w:p w14:paraId="688F3CDF">
            <w:pPr>
              <w:pStyle w:val="5"/>
            </w:pPr>
            <w:r>
              <w:t>H4部门一次石化能源消费量-3</w:t>
            </w:r>
          </w:p>
        </w:tc>
        <w:tc>
          <w:tcPr>
            <w:tcW w:w="650" w:type="pct"/>
            <w:shd w:val="clear" w:color="auto" w:fill="FFFFFF"/>
            <w:vAlign w:val="center"/>
          </w:tcPr>
          <w:p w14:paraId="5A1F2F0C">
            <w:pPr>
              <w:pStyle w:val="5"/>
            </w:pPr>
            <w:r>
              <w:t>22.447</w:t>
            </w:r>
          </w:p>
        </w:tc>
        <w:tc>
          <w:tcPr>
            <w:tcW w:w="547" w:type="pct"/>
            <w:shd w:val="clear" w:color="auto" w:fill="FFFFFF"/>
            <w:vAlign w:val="center"/>
          </w:tcPr>
          <w:p w14:paraId="795CB8BF">
            <w:pPr>
              <w:pStyle w:val="5"/>
            </w:pPr>
            <w:r>
              <w:t>2.235</w:t>
            </w:r>
          </w:p>
        </w:tc>
        <w:tc>
          <w:tcPr>
            <w:tcW w:w="578" w:type="pct"/>
            <w:shd w:val="clear" w:color="auto" w:fill="FFFFFF"/>
            <w:vAlign w:val="center"/>
          </w:tcPr>
          <w:p w14:paraId="75286BF9">
            <w:pPr>
              <w:pStyle w:val="5"/>
            </w:pPr>
            <w:r>
              <w:t>1.797</w:t>
            </w:r>
          </w:p>
        </w:tc>
        <w:tc>
          <w:tcPr>
            <w:tcW w:w="354" w:type="pct"/>
            <w:shd w:val="clear" w:color="auto" w:fill="FFFFFF"/>
            <w:vAlign w:val="center"/>
          </w:tcPr>
          <w:p w14:paraId="2AC32193">
            <w:pPr>
              <w:pStyle w:val="5"/>
            </w:pPr>
            <w:r>
              <w:t>10.043</w:t>
            </w:r>
          </w:p>
        </w:tc>
        <w:tc>
          <w:tcPr>
            <w:tcW w:w="379" w:type="pct"/>
            <w:shd w:val="clear" w:color="auto" w:fill="FFFFFF"/>
            <w:vAlign w:val="center"/>
          </w:tcPr>
          <w:p w14:paraId="1AEBD075">
            <w:pPr>
              <w:pStyle w:val="5"/>
            </w:pPr>
            <w:r>
              <w:t>0.002**</w:t>
            </w:r>
          </w:p>
        </w:tc>
        <w:tc>
          <w:tcPr>
            <w:tcW w:w="418" w:type="pct"/>
            <w:shd w:val="clear" w:color="auto" w:fill="FFFFFF"/>
            <w:vAlign w:val="center"/>
          </w:tcPr>
          <w:p w14:paraId="63A8D9FD">
            <w:pPr>
              <w:pStyle w:val="5"/>
            </w:pPr>
            <w:r>
              <w:t>20.310</w:t>
            </w:r>
          </w:p>
        </w:tc>
        <w:tc>
          <w:tcPr>
            <w:tcW w:w="466" w:type="pct"/>
            <w:shd w:val="clear" w:color="auto" w:fill="FFFFFF"/>
            <w:vAlign w:val="center"/>
          </w:tcPr>
          <w:p w14:paraId="5FBFB5AB">
            <w:pPr>
              <w:pStyle w:val="5"/>
            </w:pPr>
            <w:r>
              <w:t>0.049</w:t>
            </w:r>
          </w:p>
        </w:tc>
      </w:tr>
      <w:tr w14:paraId="755FA0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1608" w:type="pct"/>
            <w:shd w:val="clear" w:color="auto" w:fill="FFFFFF"/>
            <w:vAlign w:val="center"/>
          </w:tcPr>
          <w:p w14:paraId="7474E56B">
            <w:pPr>
              <w:pStyle w:val="5"/>
            </w:pPr>
            <w:r>
              <w:t>H5部门二次能源消费量-1</w:t>
            </w:r>
          </w:p>
        </w:tc>
        <w:tc>
          <w:tcPr>
            <w:tcW w:w="650" w:type="pct"/>
            <w:shd w:val="clear" w:color="auto" w:fill="FFFFFF"/>
            <w:vAlign w:val="center"/>
          </w:tcPr>
          <w:p w14:paraId="4392259E">
            <w:pPr>
              <w:pStyle w:val="5"/>
            </w:pPr>
            <w:r>
              <w:t>-1247.830</w:t>
            </w:r>
          </w:p>
        </w:tc>
        <w:tc>
          <w:tcPr>
            <w:tcW w:w="547" w:type="pct"/>
            <w:shd w:val="clear" w:color="auto" w:fill="FFFFFF"/>
            <w:vAlign w:val="center"/>
          </w:tcPr>
          <w:p w14:paraId="58BA0007">
            <w:pPr>
              <w:pStyle w:val="5"/>
            </w:pPr>
            <w:r>
              <w:t>198.169</w:t>
            </w:r>
          </w:p>
        </w:tc>
        <w:tc>
          <w:tcPr>
            <w:tcW w:w="578" w:type="pct"/>
            <w:shd w:val="clear" w:color="auto" w:fill="FFFFFF"/>
            <w:vAlign w:val="center"/>
          </w:tcPr>
          <w:p w14:paraId="72A00061">
            <w:pPr>
              <w:pStyle w:val="5"/>
            </w:pPr>
            <w:r>
              <w:t>-3.095</w:t>
            </w:r>
          </w:p>
        </w:tc>
        <w:tc>
          <w:tcPr>
            <w:tcW w:w="354" w:type="pct"/>
            <w:shd w:val="clear" w:color="auto" w:fill="FFFFFF"/>
            <w:vAlign w:val="center"/>
          </w:tcPr>
          <w:p w14:paraId="7F3B8265">
            <w:pPr>
              <w:pStyle w:val="5"/>
            </w:pPr>
            <w:r>
              <w:t>-6.297</w:t>
            </w:r>
          </w:p>
        </w:tc>
        <w:tc>
          <w:tcPr>
            <w:tcW w:w="379" w:type="pct"/>
            <w:shd w:val="clear" w:color="auto" w:fill="FFFFFF"/>
            <w:vAlign w:val="center"/>
          </w:tcPr>
          <w:p w14:paraId="290651F5">
            <w:pPr>
              <w:pStyle w:val="5"/>
            </w:pPr>
            <w:r>
              <w:t>0.008**</w:t>
            </w:r>
          </w:p>
        </w:tc>
        <w:tc>
          <w:tcPr>
            <w:tcW w:w="418" w:type="pct"/>
            <w:shd w:val="clear" w:color="auto" w:fill="FFFFFF"/>
            <w:vAlign w:val="center"/>
          </w:tcPr>
          <w:p w14:paraId="7282E1D1">
            <w:pPr>
              <w:pStyle w:val="5"/>
            </w:pPr>
            <w:r>
              <w:t>153.202</w:t>
            </w:r>
          </w:p>
        </w:tc>
        <w:tc>
          <w:tcPr>
            <w:tcW w:w="466" w:type="pct"/>
            <w:shd w:val="clear" w:color="auto" w:fill="FFFFFF"/>
            <w:vAlign w:val="center"/>
          </w:tcPr>
          <w:p w14:paraId="221E0983">
            <w:pPr>
              <w:pStyle w:val="5"/>
            </w:pPr>
            <w:r>
              <w:t>0.007</w:t>
            </w:r>
          </w:p>
        </w:tc>
      </w:tr>
      <w:tr w14:paraId="0B14D9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1608" w:type="pct"/>
            <w:shd w:val="clear" w:color="auto" w:fill="FFFFFF"/>
            <w:vAlign w:val="center"/>
          </w:tcPr>
          <w:p w14:paraId="7097C4FB">
            <w:pPr>
              <w:pStyle w:val="5"/>
            </w:pPr>
            <w:r>
              <w:t>H6部门二次能源消费量-2</w:t>
            </w:r>
          </w:p>
        </w:tc>
        <w:tc>
          <w:tcPr>
            <w:tcW w:w="650" w:type="pct"/>
            <w:shd w:val="clear" w:color="auto" w:fill="FFFFFF"/>
            <w:vAlign w:val="center"/>
          </w:tcPr>
          <w:p w14:paraId="096CD031">
            <w:pPr>
              <w:pStyle w:val="5"/>
            </w:pPr>
            <w:r>
              <w:t>12.903</w:t>
            </w:r>
          </w:p>
        </w:tc>
        <w:tc>
          <w:tcPr>
            <w:tcW w:w="547" w:type="pct"/>
            <w:shd w:val="clear" w:color="auto" w:fill="FFFFFF"/>
            <w:vAlign w:val="center"/>
          </w:tcPr>
          <w:p w14:paraId="2E7B96C8">
            <w:pPr>
              <w:pStyle w:val="5"/>
            </w:pPr>
            <w:r>
              <w:t>8.685</w:t>
            </w:r>
          </w:p>
        </w:tc>
        <w:tc>
          <w:tcPr>
            <w:tcW w:w="578" w:type="pct"/>
            <w:shd w:val="clear" w:color="auto" w:fill="FFFFFF"/>
            <w:vAlign w:val="center"/>
          </w:tcPr>
          <w:p w14:paraId="56544C39">
            <w:pPr>
              <w:pStyle w:val="5"/>
            </w:pPr>
            <w:r>
              <w:t>1.033</w:t>
            </w:r>
          </w:p>
        </w:tc>
        <w:tc>
          <w:tcPr>
            <w:tcW w:w="354" w:type="pct"/>
            <w:shd w:val="clear" w:color="auto" w:fill="FFFFFF"/>
            <w:vAlign w:val="center"/>
          </w:tcPr>
          <w:p w14:paraId="7AFD112D">
            <w:pPr>
              <w:pStyle w:val="5"/>
            </w:pPr>
            <w:r>
              <w:t>1.486</w:t>
            </w:r>
          </w:p>
        </w:tc>
        <w:tc>
          <w:tcPr>
            <w:tcW w:w="379" w:type="pct"/>
            <w:shd w:val="clear" w:color="auto" w:fill="FFFFFF"/>
            <w:vAlign w:val="center"/>
          </w:tcPr>
          <w:p w14:paraId="5988EFD2">
            <w:pPr>
              <w:pStyle w:val="5"/>
            </w:pPr>
            <w:r>
              <w:t>0.234</w:t>
            </w:r>
          </w:p>
        </w:tc>
        <w:tc>
          <w:tcPr>
            <w:tcW w:w="418" w:type="pct"/>
            <w:shd w:val="clear" w:color="auto" w:fill="FFFFFF"/>
            <w:vAlign w:val="center"/>
          </w:tcPr>
          <w:p w14:paraId="75652A85">
            <w:pPr>
              <w:pStyle w:val="5"/>
            </w:pPr>
            <w:r>
              <w:t>306.897</w:t>
            </w:r>
          </w:p>
        </w:tc>
        <w:tc>
          <w:tcPr>
            <w:tcW w:w="466" w:type="pct"/>
            <w:shd w:val="clear" w:color="auto" w:fill="FFFFFF"/>
            <w:vAlign w:val="center"/>
          </w:tcPr>
          <w:p w14:paraId="451D2B59">
            <w:pPr>
              <w:pStyle w:val="5"/>
            </w:pPr>
            <w:r>
              <w:t>0.003</w:t>
            </w:r>
          </w:p>
        </w:tc>
      </w:tr>
      <w:tr w14:paraId="03830B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1608" w:type="pct"/>
            <w:shd w:val="clear" w:color="auto" w:fill="FFFFFF"/>
            <w:vAlign w:val="center"/>
          </w:tcPr>
          <w:p w14:paraId="39D80B96">
            <w:pPr>
              <w:pStyle w:val="5"/>
            </w:pPr>
            <w:r>
              <w:t>H7部门二次能源消费量-6</w:t>
            </w:r>
          </w:p>
        </w:tc>
        <w:tc>
          <w:tcPr>
            <w:tcW w:w="650" w:type="pct"/>
            <w:shd w:val="clear" w:color="auto" w:fill="FFFFFF"/>
            <w:vAlign w:val="center"/>
          </w:tcPr>
          <w:p w14:paraId="30414BFD">
            <w:pPr>
              <w:pStyle w:val="5"/>
            </w:pPr>
            <w:r>
              <w:t>89.168</w:t>
            </w:r>
          </w:p>
        </w:tc>
        <w:tc>
          <w:tcPr>
            <w:tcW w:w="547" w:type="pct"/>
            <w:shd w:val="clear" w:color="auto" w:fill="FFFFFF"/>
            <w:vAlign w:val="center"/>
          </w:tcPr>
          <w:p w14:paraId="540D0239">
            <w:pPr>
              <w:pStyle w:val="5"/>
            </w:pPr>
            <w:r>
              <w:t>15.235</w:t>
            </w:r>
          </w:p>
        </w:tc>
        <w:tc>
          <w:tcPr>
            <w:tcW w:w="578" w:type="pct"/>
            <w:shd w:val="clear" w:color="auto" w:fill="FFFFFF"/>
            <w:vAlign w:val="center"/>
          </w:tcPr>
          <w:p w14:paraId="121B3255">
            <w:pPr>
              <w:pStyle w:val="5"/>
            </w:pPr>
            <w:r>
              <w:t>1.743</w:t>
            </w:r>
          </w:p>
        </w:tc>
        <w:tc>
          <w:tcPr>
            <w:tcW w:w="354" w:type="pct"/>
            <w:shd w:val="clear" w:color="auto" w:fill="FFFFFF"/>
            <w:vAlign w:val="center"/>
          </w:tcPr>
          <w:p w14:paraId="38669064">
            <w:pPr>
              <w:pStyle w:val="5"/>
            </w:pPr>
            <w:r>
              <w:t>5.853</w:t>
            </w:r>
          </w:p>
        </w:tc>
        <w:tc>
          <w:tcPr>
            <w:tcW w:w="379" w:type="pct"/>
            <w:shd w:val="clear" w:color="auto" w:fill="FFFFFF"/>
            <w:vAlign w:val="center"/>
          </w:tcPr>
          <w:p w14:paraId="51BE17EE">
            <w:pPr>
              <w:pStyle w:val="5"/>
            </w:pPr>
            <w:r>
              <w:t>0.010**</w:t>
            </w:r>
          </w:p>
        </w:tc>
        <w:tc>
          <w:tcPr>
            <w:tcW w:w="418" w:type="pct"/>
            <w:shd w:val="clear" w:color="auto" w:fill="FFFFFF"/>
            <w:vAlign w:val="center"/>
          </w:tcPr>
          <w:p w14:paraId="04A8E9DE">
            <w:pPr>
              <w:pStyle w:val="5"/>
            </w:pPr>
            <w:r>
              <w:t>56.271</w:t>
            </w:r>
          </w:p>
        </w:tc>
        <w:tc>
          <w:tcPr>
            <w:tcW w:w="466" w:type="pct"/>
            <w:shd w:val="clear" w:color="auto" w:fill="FFFFFF"/>
            <w:vAlign w:val="center"/>
          </w:tcPr>
          <w:p w14:paraId="5F20AC68">
            <w:pPr>
              <w:pStyle w:val="5"/>
            </w:pPr>
            <w:r>
              <w:t>0.018</w:t>
            </w:r>
          </w:p>
        </w:tc>
      </w:tr>
      <w:tr w14:paraId="655815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1608" w:type="pct"/>
            <w:shd w:val="clear" w:color="auto" w:fill="FFFFFF"/>
            <w:vAlign w:val="center"/>
          </w:tcPr>
          <w:p w14:paraId="556CECB1">
            <w:pPr>
              <w:pStyle w:val="5"/>
            </w:pPr>
            <w:r>
              <w:rPr>
                <w:i/>
                <w:iCs/>
              </w:rPr>
              <w:t>R</w:t>
            </w:r>
            <w:r>
              <w:t> </w:t>
            </w:r>
            <w:r>
              <w:rPr>
                <w:sz w:val="12"/>
                <w:szCs w:val="12"/>
              </w:rPr>
              <w:t>2</w:t>
            </w:r>
            <w:r>
              <w:rPr>
                <w:color w:val="CCCCCC"/>
              </w:rPr>
              <w:t></w:t>
            </w:r>
          </w:p>
        </w:tc>
        <w:tc>
          <w:tcPr>
            <w:tcW w:w="3392" w:type="pct"/>
            <w:gridSpan w:val="7"/>
            <w:shd w:val="clear" w:color="auto" w:fill="FFFFFF"/>
            <w:vAlign w:val="center"/>
          </w:tcPr>
          <w:p w14:paraId="4EC13697">
            <w:pPr>
              <w:pStyle w:val="5"/>
            </w:pPr>
            <w:r>
              <w:t>0.995</w:t>
            </w:r>
          </w:p>
        </w:tc>
      </w:tr>
      <w:tr w14:paraId="3897BD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1608" w:type="pct"/>
            <w:shd w:val="clear" w:color="auto" w:fill="FFFFFF"/>
            <w:vAlign w:val="center"/>
          </w:tcPr>
          <w:p w14:paraId="7F2E3C8A">
            <w:pPr>
              <w:pStyle w:val="5"/>
            </w:pPr>
            <w:r>
              <w:t>调整</w:t>
            </w:r>
            <w:r>
              <w:rPr>
                <w:i/>
                <w:iCs/>
              </w:rPr>
              <w:t>R</w:t>
            </w:r>
            <w:r>
              <w:t> </w:t>
            </w:r>
            <w:r>
              <w:rPr>
                <w:sz w:val="12"/>
                <w:szCs w:val="12"/>
              </w:rPr>
              <w:t>2</w:t>
            </w:r>
            <w:r>
              <w:rPr>
                <w:color w:val="CCCCCC"/>
              </w:rPr>
              <w:t></w:t>
            </w:r>
          </w:p>
        </w:tc>
        <w:tc>
          <w:tcPr>
            <w:tcW w:w="3392" w:type="pct"/>
            <w:gridSpan w:val="7"/>
            <w:shd w:val="clear" w:color="auto" w:fill="FFFFFF"/>
            <w:vAlign w:val="center"/>
          </w:tcPr>
          <w:p w14:paraId="2BD57FE2">
            <w:pPr>
              <w:pStyle w:val="5"/>
            </w:pPr>
            <w:r>
              <w:t>0.984</w:t>
            </w:r>
          </w:p>
        </w:tc>
      </w:tr>
      <w:tr w14:paraId="41605A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1608" w:type="pct"/>
            <w:shd w:val="clear" w:color="auto" w:fill="FFFFFF"/>
            <w:vAlign w:val="center"/>
          </w:tcPr>
          <w:p w14:paraId="304A942E">
            <w:pPr>
              <w:pStyle w:val="5"/>
            </w:pPr>
            <w:r>
              <w:rPr>
                <w:i/>
                <w:iCs/>
              </w:rPr>
              <w:t>F</w:t>
            </w:r>
            <w:r>
              <w:rPr>
                <w:color w:val="CCCCCC"/>
              </w:rPr>
              <w:t></w:t>
            </w:r>
          </w:p>
        </w:tc>
        <w:tc>
          <w:tcPr>
            <w:tcW w:w="3392" w:type="pct"/>
            <w:gridSpan w:val="7"/>
            <w:shd w:val="clear" w:color="auto" w:fill="FFFFFF"/>
            <w:vAlign w:val="center"/>
          </w:tcPr>
          <w:p w14:paraId="3823682D">
            <w:pPr>
              <w:pStyle w:val="5"/>
            </w:pPr>
            <w:r>
              <w:rPr>
                <w:i/>
                <w:iCs/>
              </w:rPr>
              <w:t>F</w:t>
            </w:r>
            <w:r>
              <w:t> (7,3)=90.182,</w:t>
            </w:r>
            <w:r>
              <w:rPr>
                <w:i/>
                <w:iCs/>
              </w:rPr>
              <w:t>p</w:t>
            </w:r>
            <w:r>
              <w:t>=0.002</w:t>
            </w:r>
          </w:p>
        </w:tc>
      </w:tr>
      <w:tr w14:paraId="71D07CE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1608" w:type="pct"/>
            <w:shd w:val="clear" w:color="auto" w:fill="FFFFFF"/>
            <w:vAlign w:val="center"/>
          </w:tcPr>
          <w:p w14:paraId="28798D12">
            <w:pPr>
              <w:pStyle w:val="5"/>
            </w:pPr>
            <w:r>
              <w:t>D-W值</w:t>
            </w:r>
          </w:p>
        </w:tc>
        <w:tc>
          <w:tcPr>
            <w:tcW w:w="3392" w:type="pct"/>
            <w:gridSpan w:val="7"/>
            <w:shd w:val="clear" w:color="auto" w:fill="FFFFFF"/>
            <w:vAlign w:val="center"/>
          </w:tcPr>
          <w:p w14:paraId="5A25A8FB">
            <w:pPr>
              <w:pStyle w:val="5"/>
            </w:pPr>
            <w:r>
              <w:t>3.501</w:t>
            </w:r>
          </w:p>
        </w:tc>
      </w:tr>
    </w:tbl>
    <w:p w14:paraId="502D0453">
      <w:pPr>
        <w:ind w:firstLine="480"/>
      </w:pPr>
      <w:r>
        <w:rPr>
          <w:rFonts w:hint="eastAsia"/>
        </w:rPr>
        <w:t>最后，根据上表，得到如下关联模型：</w:t>
      </w:r>
    </w:p>
    <w:p w14:paraId="6A0BCE06">
      <w:pPr>
        <w:ind w:firstLine="0" w:firstLineChars="0"/>
      </w:pPr>
      <m:oMath>
        <m:sSub>
          <m:sSubPr>
            <m:ctrlPr>
              <w:rPr>
                <w:rFonts w:ascii="Cambria Math" w:hAnsi="Cambria Math"/>
                <w:i/>
              </w:rPr>
            </m:ctrlPr>
          </m:sSubPr>
          <m:e>
            <m:r>
              <m:rPr/>
              <w:rPr>
                <w:rFonts w:ascii="Cambria Math" w:hAnsi="Cambria Math"/>
              </w:rPr>
              <m:t>CO</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=−160242.787−2.876</m:t>
        </m:r>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−89.574</m:t>
        </m:r>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+6.402</m:t>
        </m:r>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3</m:t>
            </m:r>
            <m:ctrlPr>
              <w:rPr>
                <w:rFonts w:ascii="Cambria Math" w:hAnsi="Cambria Math"/>
                <w:i/>
              </w:rPr>
            </m:ctrlPr>
          </m:sub>
        </m:sSub>
        <m:r>
          <m:rPr/>
          <w:rPr>
            <w:rFonts w:ascii="Cambria Math" w:hAnsi="Cambria Math"/>
          </w:rPr>
          <m:t>+22.447</m:t>
        </m:r>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4</m:t>
            </m:r>
            <m:ctrlPr>
              <w:rPr>
                <w:rFonts w:ascii="Cambria Math" w:hAnsi="Cambria Math"/>
                <w:i/>
              </w:rPr>
            </m:ctrlPr>
          </m:sub>
        </m:sSub>
        <m:r>
          <m:rPr/>
          <w:rPr>
            <w:rFonts w:ascii="Cambria Math" w:hAnsi="Cambria Math"/>
          </w:rPr>
          <m:t>−1247.83</m:t>
        </m:r>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5</m:t>
            </m:r>
            <m:ctrlPr>
              <w:rPr>
                <w:rFonts w:ascii="Cambria Math" w:hAnsi="Cambria Math"/>
                <w:i/>
              </w:rPr>
            </m:ctrlPr>
          </m:sub>
        </m:sSub>
        <m:r>
          <m:rPr/>
          <w:rPr>
            <w:rFonts w:ascii="Cambria Math" w:hAnsi="Cambria Math"/>
          </w:rPr>
          <m:t>+                                                                 12.903</m:t>
        </m:r>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6</m:t>
            </m:r>
            <m:ctrlPr>
              <w:rPr>
                <w:rFonts w:ascii="Cambria Math" w:hAnsi="Cambria Math"/>
                <w:i/>
              </w:rPr>
            </m:ctrlPr>
          </m:sub>
        </m:sSub>
        <m:r>
          <m:rPr/>
          <w:rPr>
            <w:rFonts w:ascii="Cambria Math" w:hAnsi="Cambria Math"/>
          </w:rPr>
          <m:t>+89.168</m:t>
        </m:r>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7</m:t>
            </m:r>
            <m:ctrlPr>
              <w:rPr>
                <w:rFonts w:ascii="Cambria Math" w:hAnsi="Cambria Math"/>
                <w:i/>
              </w:rPr>
            </m:ctrlPr>
          </m:sub>
        </m:sSub>
      </m:oMath>
      <w:r>
        <w:rPr>
          <w:rFonts w:hint="eastAsia"/>
        </w:rPr>
        <w:t xml:space="preserve"> </w:t>
      </w:r>
      <w:r>
        <w:t xml:space="preserve">                          </w:t>
      </w:r>
      <w:r>
        <w:rPr>
          <w:rFonts w:hint="eastAsia"/>
        </w:rPr>
        <w:t>（1</w:t>
      </w:r>
      <w:r>
        <w:t>0</w:t>
      </w:r>
      <w:r>
        <w:rPr>
          <w:rFonts w:hint="eastAsia"/>
        </w:rPr>
        <w:t>）</w:t>
      </w:r>
      <w:r>
        <w:rPr>
          <w:rFonts w:hint="eastAsia"/>
          <w:kern w:val="24"/>
          <w:szCs w:val="24"/>
        </w:rPr>
        <w:t xml:space="preserve"> </w:t>
      </w:r>
    </w:p>
    <w:p w14:paraId="61EBAF45">
      <w:pPr>
        <w:ind w:firstLine="480"/>
      </w:pPr>
      <w:r>
        <w:rPr>
          <w:rFonts w:hint="eastAsia"/>
        </w:rPr>
        <w:t>其中，能源供应部门非石化消费量的p=0.040&lt;0.05，系数为负，意味着能源部门非石化能源消费量会对总体碳排放量产生显著的负向影响关系，这是因为非石化能源并不产生碳排放，其消费量的增加意味着石化能源的消费量在一定程度上得到了替代，因而碳排放量反向变化；能源供应部门石化能源消费量的p=0.023&lt;0.05，系数为正，意味着能源部门石化能源消费量会对总体碳排放量产生显著的正向影响关系。工业部门石化能源消费量的p=0.002&lt;0.01，系数为正，意味着工业部门一次石化能源消费量会对总体碳排放量产生显著的正向影响关系。</w:t>
      </w:r>
    </w:p>
    <w:p w14:paraId="29AFC3E8">
      <w:pPr>
        <w:ind w:firstLine="480"/>
      </w:pPr>
      <w:r>
        <w:rPr>
          <w:rFonts w:hint="eastAsia"/>
        </w:rPr>
        <w:t>为了进一步分析从化石能源出发对其他部门碳消费量的影响。团队选择了对数据进行路径分析，得到分析结果如下表所示，据此发现化石能源发电</w:t>
      </w:r>
      <w:r>
        <w:rPr>
          <w:b/>
          <w:bCs/>
        </w:rPr>
        <w:t>→</w:t>
      </w:r>
      <w:r>
        <w:rPr>
          <w:rFonts w:hint="eastAsia"/>
        </w:rPr>
        <w:t>工业部门石化消费量和居民生活部门二次能源消费量的p值均小于0</w:t>
      </w:r>
      <w:r>
        <w:t>.01</w:t>
      </w:r>
      <w:r>
        <w:rPr>
          <w:rFonts w:hint="eastAsia"/>
        </w:rPr>
        <w:t>，路径有效，而工业部门石化消费量和居民生活部门二次能源消费量</w:t>
      </w:r>
      <w:r>
        <w:rPr>
          <w:b/>
          <w:bCs/>
        </w:rPr>
        <w:t>→</w:t>
      </w:r>
      <w:r>
        <w:rPr>
          <w:rFonts w:hint="eastAsia"/>
        </w:rPr>
        <w:t>碳排放量的p值大于均大于0</w:t>
      </w:r>
      <w:r>
        <w:t>.01</w:t>
      </w:r>
      <w:r>
        <w:rPr>
          <w:rFonts w:hint="eastAsia"/>
        </w:rPr>
        <w:t>，路径无效。同时，石化能源发电</w:t>
      </w:r>
      <w:r>
        <w:rPr>
          <w:b/>
          <w:bCs/>
        </w:rPr>
        <w:t>→</w:t>
      </w:r>
      <w:r>
        <w:rPr>
          <w:rFonts w:hint="eastAsia"/>
        </w:rPr>
        <w:t>工业部门石化消费量和居民生活部门二次能源消费量的标准化路径系数分别为0</w:t>
      </w:r>
      <w:r>
        <w:t>.716</w:t>
      </w:r>
      <w:r>
        <w:rPr>
          <w:rFonts w:hint="eastAsia"/>
        </w:rPr>
        <w:t>和0</w:t>
      </w:r>
      <w:r>
        <w:t>.741</w:t>
      </w:r>
      <w:r>
        <w:rPr>
          <w:rFonts w:hint="eastAsia"/>
        </w:rPr>
        <w:t>，石化能源指标的逐渐递减对工业部门石化消费量的和居民生活部门二次能源消费量具有负向影响。</w:t>
      </w:r>
    </w:p>
    <w:p w14:paraId="7721168F">
      <w:pPr>
        <w:pStyle w:val="5"/>
        <w:keepNext/>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9</w:t>
      </w:r>
      <w:r>
        <w:fldChar w:fldCharType="end"/>
      </w:r>
      <w:r>
        <w:t xml:space="preserve"> </w:t>
      </w:r>
      <w:r>
        <w:rPr>
          <w:rFonts w:hint="eastAsia"/>
        </w:rPr>
        <w:t>模型回归系数汇总表</w:t>
      </w:r>
    </w:p>
    <w:tbl>
      <w:tblPr>
        <w:tblStyle w:val="19"/>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789"/>
        <w:gridCol w:w="385"/>
        <w:gridCol w:w="1639"/>
        <w:gridCol w:w="1843"/>
        <w:gridCol w:w="711"/>
        <w:gridCol w:w="951"/>
        <w:gridCol w:w="503"/>
        <w:gridCol w:w="1535"/>
      </w:tblGrid>
      <w:tr w14:paraId="3C7DDBE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956" w:type="pct"/>
            <w:tcBorders>
              <w:bottom w:val="single" w:color="auto" w:sz="12" w:space="0"/>
            </w:tcBorders>
            <w:shd w:val="clear" w:color="auto" w:fill="FFFFFF"/>
            <w:vAlign w:val="center"/>
          </w:tcPr>
          <w:p w14:paraId="4FE14F21">
            <w:pPr>
              <w:pStyle w:val="5"/>
            </w:pPr>
            <w:r>
              <w:t>X</w:t>
            </w:r>
          </w:p>
        </w:tc>
        <w:tc>
          <w:tcPr>
            <w:tcW w:w="206" w:type="pct"/>
            <w:tcBorders>
              <w:bottom w:val="single" w:color="auto" w:sz="12" w:space="0"/>
            </w:tcBorders>
            <w:shd w:val="clear" w:color="auto" w:fill="FFFFFF"/>
            <w:vAlign w:val="center"/>
          </w:tcPr>
          <w:p w14:paraId="11A5971B">
            <w:pPr>
              <w:pStyle w:val="5"/>
            </w:pPr>
            <w:r>
              <w:t>→</w:t>
            </w:r>
          </w:p>
        </w:tc>
        <w:tc>
          <w:tcPr>
            <w:tcW w:w="876" w:type="pct"/>
            <w:tcBorders>
              <w:bottom w:val="single" w:color="auto" w:sz="12" w:space="0"/>
            </w:tcBorders>
            <w:shd w:val="clear" w:color="auto" w:fill="FFFFFF"/>
            <w:vAlign w:val="center"/>
          </w:tcPr>
          <w:p w14:paraId="18A2B2CA">
            <w:pPr>
              <w:pStyle w:val="5"/>
            </w:pPr>
            <w:r>
              <w:t>Y</w:t>
            </w:r>
          </w:p>
        </w:tc>
        <w:tc>
          <w:tcPr>
            <w:tcW w:w="985" w:type="pct"/>
            <w:tcBorders>
              <w:bottom w:val="single" w:color="auto" w:sz="12" w:space="0"/>
            </w:tcBorders>
            <w:shd w:val="clear" w:color="auto" w:fill="FFFFFF"/>
            <w:vAlign w:val="center"/>
          </w:tcPr>
          <w:p w14:paraId="34B1A9E7">
            <w:pPr>
              <w:pStyle w:val="5"/>
            </w:pPr>
            <w:r>
              <w:t>非标准化路径系数</w:t>
            </w:r>
          </w:p>
        </w:tc>
        <w:tc>
          <w:tcPr>
            <w:tcW w:w="380" w:type="pct"/>
            <w:tcBorders>
              <w:bottom w:val="single" w:color="auto" w:sz="12" w:space="0"/>
            </w:tcBorders>
            <w:shd w:val="clear" w:color="auto" w:fill="FFFFFF"/>
            <w:vAlign w:val="center"/>
          </w:tcPr>
          <w:p w14:paraId="1ECFD770">
            <w:pPr>
              <w:pStyle w:val="5"/>
            </w:pPr>
            <w:r>
              <w:t>SE</w:t>
            </w:r>
          </w:p>
        </w:tc>
        <w:tc>
          <w:tcPr>
            <w:tcW w:w="508" w:type="pct"/>
            <w:tcBorders>
              <w:bottom w:val="single" w:color="auto" w:sz="12" w:space="0"/>
            </w:tcBorders>
            <w:shd w:val="clear" w:color="auto" w:fill="FFFFFF"/>
            <w:vAlign w:val="center"/>
          </w:tcPr>
          <w:p w14:paraId="2688B955">
            <w:pPr>
              <w:pStyle w:val="5"/>
            </w:pPr>
            <w:r>
              <w:t>z(CR值)</w:t>
            </w:r>
          </w:p>
        </w:tc>
        <w:tc>
          <w:tcPr>
            <w:tcW w:w="269" w:type="pct"/>
            <w:tcBorders>
              <w:bottom w:val="single" w:color="auto" w:sz="12" w:space="0"/>
            </w:tcBorders>
            <w:shd w:val="clear" w:color="auto" w:fill="FFFFFF"/>
            <w:vAlign w:val="center"/>
          </w:tcPr>
          <w:p w14:paraId="663ABCF4">
            <w:pPr>
              <w:pStyle w:val="5"/>
            </w:pPr>
            <w:r>
              <w:t>p</w:t>
            </w:r>
          </w:p>
        </w:tc>
        <w:tc>
          <w:tcPr>
            <w:tcW w:w="820" w:type="pct"/>
            <w:tcBorders>
              <w:bottom w:val="single" w:color="auto" w:sz="12" w:space="0"/>
            </w:tcBorders>
            <w:shd w:val="clear" w:color="auto" w:fill="FFFFFF"/>
            <w:vAlign w:val="center"/>
          </w:tcPr>
          <w:p w14:paraId="766FDCFD">
            <w:pPr>
              <w:pStyle w:val="5"/>
            </w:pPr>
            <w:r>
              <w:t>标准化路径系数</w:t>
            </w:r>
          </w:p>
        </w:tc>
      </w:tr>
      <w:tr w14:paraId="52596D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956" w:type="pct"/>
            <w:tcBorders>
              <w:top w:val="single" w:color="auto" w:sz="12" w:space="0"/>
            </w:tcBorders>
            <w:shd w:val="clear" w:color="auto" w:fill="FFFFFF"/>
            <w:vAlign w:val="center"/>
          </w:tcPr>
          <w:p w14:paraId="43693E40">
            <w:pPr>
              <w:pStyle w:val="5"/>
            </w:pPr>
            <w:r>
              <w:t>石化能源发电</w:t>
            </w:r>
          </w:p>
        </w:tc>
        <w:tc>
          <w:tcPr>
            <w:tcW w:w="206" w:type="pct"/>
            <w:tcBorders>
              <w:top w:val="single" w:color="auto" w:sz="12" w:space="0"/>
            </w:tcBorders>
            <w:shd w:val="clear" w:color="auto" w:fill="FFFFFF"/>
            <w:vAlign w:val="center"/>
          </w:tcPr>
          <w:p w14:paraId="3785EC3A">
            <w:pPr>
              <w:pStyle w:val="5"/>
            </w:pPr>
            <w:r>
              <w:t>→</w:t>
            </w:r>
          </w:p>
        </w:tc>
        <w:tc>
          <w:tcPr>
            <w:tcW w:w="876" w:type="pct"/>
            <w:tcBorders>
              <w:top w:val="single" w:color="auto" w:sz="12" w:space="0"/>
            </w:tcBorders>
            <w:shd w:val="clear" w:color="auto" w:fill="FFFFFF"/>
            <w:vAlign w:val="center"/>
          </w:tcPr>
          <w:p w14:paraId="27C431C8">
            <w:pPr>
              <w:pStyle w:val="5"/>
            </w:pPr>
            <w:r>
              <w:t>部门一次石化能源消费量-3</w:t>
            </w:r>
          </w:p>
        </w:tc>
        <w:tc>
          <w:tcPr>
            <w:tcW w:w="985" w:type="pct"/>
            <w:tcBorders>
              <w:top w:val="single" w:color="auto" w:sz="12" w:space="0"/>
            </w:tcBorders>
            <w:shd w:val="clear" w:color="auto" w:fill="FFFFFF"/>
            <w:vAlign w:val="center"/>
          </w:tcPr>
          <w:p w14:paraId="2CB68ECA">
            <w:pPr>
              <w:pStyle w:val="5"/>
            </w:pPr>
            <w:r>
              <w:t>0.494</w:t>
            </w:r>
          </w:p>
        </w:tc>
        <w:tc>
          <w:tcPr>
            <w:tcW w:w="380" w:type="pct"/>
            <w:tcBorders>
              <w:top w:val="single" w:color="auto" w:sz="12" w:space="0"/>
            </w:tcBorders>
            <w:shd w:val="clear" w:color="auto" w:fill="FFFFFF"/>
            <w:vAlign w:val="center"/>
          </w:tcPr>
          <w:p w14:paraId="729099A5">
            <w:pPr>
              <w:pStyle w:val="5"/>
            </w:pPr>
            <w:r>
              <w:t>0.145</w:t>
            </w:r>
          </w:p>
        </w:tc>
        <w:tc>
          <w:tcPr>
            <w:tcW w:w="508" w:type="pct"/>
            <w:tcBorders>
              <w:top w:val="single" w:color="auto" w:sz="12" w:space="0"/>
            </w:tcBorders>
            <w:shd w:val="clear" w:color="auto" w:fill="FFFFFF"/>
            <w:vAlign w:val="center"/>
          </w:tcPr>
          <w:p w14:paraId="30634CF9">
            <w:pPr>
              <w:pStyle w:val="5"/>
            </w:pPr>
            <w:r>
              <w:t>3.406</w:t>
            </w:r>
          </w:p>
        </w:tc>
        <w:tc>
          <w:tcPr>
            <w:tcW w:w="269" w:type="pct"/>
            <w:tcBorders>
              <w:top w:val="single" w:color="auto" w:sz="12" w:space="0"/>
            </w:tcBorders>
            <w:shd w:val="clear" w:color="auto" w:fill="FFFFFF"/>
            <w:vAlign w:val="center"/>
          </w:tcPr>
          <w:p w14:paraId="6C8CB403">
            <w:pPr>
              <w:pStyle w:val="5"/>
            </w:pPr>
            <w:r>
              <w:t>0.001</w:t>
            </w:r>
          </w:p>
        </w:tc>
        <w:tc>
          <w:tcPr>
            <w:tcW w:w="820" w:type="pct"/>
            <w:tcBorders>
              <w:top w:val="single" w:color="auto" w:sz="12" w:space="0"/>
            </w:tcBorders>
            <w:shd w:val="clear" w:color="auto" w:fill="FFFFFF"/>
            <w:vAlign w:val="center"/>
          </w:tcPr>
          <w:p w14:paraId="6CE2C2D6">
            <w:pPr>
              <w:pStyle w:val="5"/>
            </w:pPr>
            <w:r>
              <w:t>0.716</w:t>
            </w:r>
          </w:p>
        </w:tc>
      </w:tr>
      <w:tr w14:paraId="244AA0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956" w:type="pct"/>
            <w:shd w:val="clear" w:color="auto" w:fill="FFFFFF"/>
            <w:vAlign w:val="center"/>
          </w:tcPr>
          <w:p w14:paraId="4BC5C96D">
            <w:pPr>
              <w:pStyle w:val="5"/>
            </w:pPr>
            <w:r>
              <w:t>部门一次石化能源消费量-3</w:t>
            </w:r>
          </w:p>
        </w:tc>
        <w:tc>
          <w:tcPr>
            <w:tcW w:w="206" w:type="pct"/>
            <w:shd w:val="clear" w:color="auto" w:fill="FFFFFF"/>
            <w:vAlign w:val="center"/>
          </w:tcPr>
          <w:p w14:paraId="7DCD345C">
            <w:pPr>
              <w:pStyle w:val="5"/>
            </w:pPr>
            <w:r>
              <w:t>→</w:t>
            </w:r>
          </w:p>
        </w:tc>
        <w:tc>
          <w:tcPr>
            <w:tcW w:w="876" w:type="pct"/>
            <w:shd w:val="clear" w:color="auto" w:fill="FFFFFF"/>
            <w:vAlign w:val="center"/>
          </w:tcPr>
          <w:p w14:paraId="445E9E7D">
            <w:pPr>
              <w:pStyle w:val="5"/>
            </w:pPr>
            <w:r>
              <w:t>总体碳排放量 Y2</w:t>
            </w:r>
          </w:p>
        </w:tc>
        <w:tc>
          <w:tcPr>
            <w:tcW w:w="985" w:type="pct"/>
            <w:shd w:val="clear" w:color="auto" w:fill="FFFFFF"/>
            <w:vAlign w:val="center"/>
          </w:tcPr>
          <w:p w14:paraId="7CF2FEFE">
            <w:pPr>
              <w:pStyle w:val="5"/>
            </w:pPr>
            <w:r>
              <w:t>7.635</w:t>
            </w:r>
          </w:p>
        </w:tc>
        <w:tc>
          <w:tcPr>
            <w:tcW w:w="380" w:type="pct"/>
            <w:shd w:val="clear" w:color="auto" w:fill="FFFFFF"/>
            <w:vAlign w:val="center"/>
          </w:tcPr>
          <w:p w14:paraId="112D5175">
            <w:pPr>
              <w:pStyle w:val="5"/>
            </w:pPr>
            <w:r>
              <w:t>3.101</w:t>
            </w:r>
          </w:p>
        </w:tc>
        <w:tc>
          <w:tcPr>
            <w:tcW w:w="508" w:type="pct"/>
            <w:shd w:val="clear" w:color="auto" w:fill="FFFFFF"/>
            <w:vAlign w:val="center"/>
          </w:tcPr>
          <w:p w14:paraId="129AC0A9">
            <w:pPr>
              <w:pStyle w:val="5"/>
            </w:pPr>
            <w:r>
              <w:t>2.462</w:t>
            </w:r>
          </w:p>
        </w:tc>
        <w:tc>
          <w:tcPr>
            <w:tcW w:w="269" w:type="pct"/>
            <w:shd w:val="clear" w:color="auto" w:fill="FFFFFF"/>
            <w:vAlign w:val="center"/>
          </w:tcPr>
          <w:p w14:paraId="55DDCDFD">
            <w:pPr>
              <w:pStyle w:val="5"/>
            </w:pPr>
            <w:r>
              <w:t>0.014</w:t>
            </w:r>
          </w:p>
        </w:tc>
        <w:tc>
          <w:tcPr>
            <w:tcW w:w="820" w:type="pct"/>
            <w:shd w:val="clear" w:color="auto" w:fill="FFFFFF"/>
            <w:vAlign w:val="center"/>
          </w:tcPr>
          <w:p w14:paraId="39343E66">
            <w:pPr>
              <w:pStyle w:val="5"/>
            </w:pPr>
            <w:r>
              <w:t>0.605</w:t>
            </w:r>
          </w:p>
        </w:tc>
      </w:tr>
      <w:tr w14:paraId="1C706C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956" w:type="pct"/>
            <w:shd w:val="clear" w:color="auto" w:fill="FFFFFF"/>
            <w:vAlign w:val="center"/>
          </w:tcPr>
          <w:p w14:paraId="5DFF1938">
            <w:pPr>
              <w:pStyle w:val="5"/>
            </w:pPr>
            <w:r>
              <w:t>部门二次能源消费量-6</w:t>
            </w:r>
          </w:p>
        </w:tc>
        <w:tc>
          <w:tcPr>
            <w:tcW w:w="206" w:type="pct"/>
            <w:shd w:val="clear" w:color="auto" w:fill="FFFFFF"/>
            <w:vAlign w:val="center"/>
          </w:tcPr>
          <w:p w14:paraId="1E774FD0">
            <w:pPr>
              <w:pStyle w:val="5"/>
            </w:pPr>
            <w:r>
              <w:t>→</w:t>
            </w:r>
          </w:p>
        </w:tc>
        <w:tc>
          <w:tcPr>
            <w:tcW w:w="876" w:type="pct"/>
            <w:shd w:val="clear" w:color="auto" w:fill="FFFFFF"/>
            <w:vAlign w:val="center"/>
          </w:tcPr>
          <w:p w14:paraId="623DA990">
            <w:pPr>
              <w:pStyle w:val="5"/>
            </w:pPr>
            <w:r>
              <w:t>总体碳排放量 Y2</w:t>
            </w:r>
          </w:p>
        </w:tc>
        <w:tc>
          <w:tcPr>
            <w:tcW w:w="985" w:type="pct"/>
            <w:shd w:val="clear" w:color="auto" w:fill="FFFFFF"/>
            <w:vAlign w:val="center"/>
          </w:tcPr>
          <w:p w14:paraId="729EF2B2">
            <w:pPr>
              <w:pStyle w:val="5"/>
            </w:pPr>
            <w:r>
              <w:t>9.367</w:t>
            </w:r>
          </w:p>
        </w:tc>
        <w:tc>
          <w:tcPr>
            <w:tcW w:w="380" w:type="pct"/>
            <w:shd w:val="clear" w:color="auto" w:fill="FFFFFF"/>
            <w:vAlign w:val="center"/>
          </w:tcPr>
          <w:p w14:paraId="56D17A64">
            <w:pPr>
              <w:pStyle w:val="5"/>
            </w:pPr>
            <w:r>
              <w:t>12.216</w:t>
            </w:r>
          </w:p>
        </w:tc>
        <w:tc>
          <w:tcPr>
            <w:tcW w:w="508" w:type="pct"/>
            <w:shd w:val="clear" w:color="auto" w:fill="FFFFFF"/>
            <w:vAlign w:val="center"/>
          </w:tcPr>
          <w:p w14:paraId="3D51458A">
            <w:pPr>
              <w:pStyle w:val="5"/>
            </w:pPr>
            <w:r>
              <w:t>0.767</w:t>
            </w:r>
          </w:p>
        </w:tc>
        <w:tc>
          <w:tcPr>
            <w:tcW w:w="269" w:type="pct"/>
            <w:shd w:val="clear" w:color="auto" w:fill="FFFFFF"/>
            <w:vAlign w:val="center"/>
          </w:tcPr>
          <w:p w14:paraId="71E59898">
            <w:pPr>
              <w:pStyle w:val="5"/>
            </w:pPr>
            <w:r>
              <w:t>0.443</w:t>
            </w:r>
          </w:p>
        </w:tc>
        <w:tc>
          <w:tcPr>
            <w:tcW w:w="820" w:type="pct"/>
            <w:shd w:val="clear" w:color="auto" w:fill="FFFFFF"/>
            <w:vAlign w:val="center"/>
          </w:tcPr>
          <w:p w14:paraId="101BFAC7">
            <w:pPr>
              <w:pStyle w:val="5"/>
            </w:pPr>
            <w:r>
              <w:t>0.188</w:t>
            </w:r>
          </w:p>
        </w:tc>
      </w:tr>
      <w:tr w14:paraId="0D1ED0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956" w:type="pct"/>
            <w:shd w:val="clear" w:color="auto" w:fill="FFFFFF"/>
            <w:vAlign w:val="center"/>
          </w:tcPr>
          <w:p w14:paraId="1FEC0F53">
            <w:pPr>
              <w:pStyle w:val="5"/>
            </w:pPr>
            <w:r>
              <w:t>石化能源发电</w:t>
            </w:r>
          </w:p>
        </w:tc>
        <w:tc>
          <w:tcPr>
            <w:tcW w:w="206" w:type="pct"/>
            <w:shd w:val="clear" w:color="auto" w:fill="FFFFFF"/>
            <w:vAlign w:val="center"/>
          </w:tcPr>
          <w:p w14:paraId="3E149607">
            <w:pPr>
              <w:pStyle w:val="5"/>
            </w:pPr>
            <w:r>
              <w:t>→</w:t>
            </w:r>
          </w:p>
        </w:tc>
        <w:tc>
          <w:tcPr>
            <w:tcW w:w="876" w:type="pct"/>
            <w:shd w:val="clear" w:color="auto" w:fill="FFFFFF"/>
            <w:vAlign w:val="center"/>
          </w:tcPr>
          <w:p w14:paraId="36CC7132">
            <w:pPr>
              <w:pStyle w:val="5"/>
            </w:pPr>
            <w:r>
              <w:t>部门二次能源消费量-6</w:t>
            </w:r>
          </w:p>
        </w:tc>
        <w:tc>
          <w:tcPr>
            <w:tcW w:w="985" w:type="pct"/>
            <w:shd w:val="clear" w:color="auto" w:fill="FFFFFF"/>
            <w:vAlign w:val="center"/>
          </w:tcPr>
          <w:p w14:paraId="5C1F5F28">
            <w:pPr>
              <w:pStyle w:val="5"/>
            </w:pPr>
            <w:r>
              <w:t>0.130</w:t>
            </w:r>
          </w:p>
        </w:tc>
        <w:tc>
          <w:tcPr>
            <w:tcW w:w="380" w:type="pct"/>
            <w:shd w:val="clear" w:color="auto" w:fill="FFFFFF"/>
            <w:vAlign w:val="center"/>
          </w:tcPr>
          <w:p w14:paraId="3A927320">
            <w:pPr>
              <w:pStyle w:val="5"/>
            </w:pPr>
            <w:r>
              <w:t>0.035</w:t>
            </w:r>
          </w:p>
        </w:tc>
        <w:tc>
          <w:tcPr>
            <w:tcW w:w="508" w:type="pct"/>
            <w:shd w:val="clear" w:color="auto" w:fill="FFFFFF"/>
            <w:vAlign w:val="center"/>
          </w:tcPr>
          <w:p w14:paraId="1F575431">
            <w:pPr>
              <w:pStyle w:val="5"/>
            </w:pPr>
            <w:r>
              <w:t>3.663</w:t>
            </w:r>
          </w:p>
        </w:tc>
        <w:tc>
          <w:tcPr>
            <w:tcW w:w="269" w:type="pct"/>
            <w:shd w:val="clear" w:color="auto" w:fill="FFFFFF"/>
            <w:vAlign w:val="center"/>
          </w:tcPr>
          <w:p w14:paraId="74458CCD">
            <w:pPr>
              <w:pStyle w:val="5"/>
            </w:pPr>
            <w:r>
              <w:t>0.000</w:t>
            </w:r>
          </w:p>
        </w:tc>
        <w:tc>
          <w:tcPr>
            <w:tcW w:w="820" w:type="pct"/>
            <w:shd w:val="clear" w:color="auto" w:fill="FFFFFF"/>
            <w:vAlign w:val="center"/>
          </w:tcPr>
          <w:p w14:paraId="2B378CBC">
            <w:pPr>
              <w:pStyle w:val="5"/>
            </w:pPr>
            <w:r>
              <w:t>0.741</w:t>
            </w:r>
          </w:p>
        </w:tc>
      </w:tr>
      <w:tr w14:paraId="51AE7F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5000" w:type="pct"/>
            <w:gridSpan w:val="8"/>
            <w:shd w:val="clear" w:color="auto" w:fill="FFFFFF"/>
            <w:vAlign w:val="center"/>
          </w:tcPr>
          <w:p w14:paraId="722A092A">
            <w:pPr>
              <w:pStyle w:val="5"/>
              <w:jc w:val="left"/>
            </w:pPr>
            <w:r>
              <w:t>备注：→表示路径影响关系</w:t>
            </w:r>
          </w:p>
        </w:tc>
      </w:tr>
    </w:tbl>
    <w:p w14:paraId="2E596E1A">
      <w:pPr>
        <w:pStyle w:val="3"/>
      </w:pPr>
      <w:r>
        <w:rPr>
          <w:rFonts w:hint="eastAsia"/>
        </w:rPr>
        <w:t>5</w:t>
      </w:r>
      <w:r>
        <w:t xml:space="preserve">.3 </w:t>
      </w:r>
      <w:r>
        <w:rPr>
          <w:rFonts w:hint="eastAsia"/>
        </w:rPr>
        <w:t>问题三的求解</w:t>
      </w:r>
    </w:p>
    <w:p w14:paraId="799E0571">
      <w:pPr>
        <w:spacing w:line="400" w:lineRule="exact"/>
        <w:ind w:firstLine="0" w:firstLineChars="0"/>
        <w:jc w:val="left"/>
        <w:rPr>
          <w:b/>
          <w:bCs/>
          <w:szCs w:val="36"/>
        </w:rPr>
      </w:pPr>
      <w:r>
        <w:rPr>
          <w:b/>
          <w:bCs/>
          <w:szCs w:val="36"/>
        </w:rPr>
        <w:t xml:space="preserve">5.3.1 </w:t>
      </w:r>
      <w:r>
        <w:rPr>
          <w:rFonts w:hint="eastAsia"/>
          <w:b/>
          <w:bCs/>
          <w:szCs w:val="36"/>
        </w:rPr>
        <w:t>情景设计</w:t>
      </w:r>
    </w:p>
    <w:p w14:paraId="5BA35F19">
      <w:pPr>
        <w:ind w:firstLine="480"/>
      </w:pPr>
      <w:r>
        <w:t>2020年区域CO2排放</w:t>
      </w:r>
      <w:r>
        <w:rPr>
          <w:rFonts w:hint="eastAsia"/>
        </w:rPr>
        <w:t>量</w:t>
      </w:r>
      <w:r>
        <w:t>约177221.49（万TCO2），煤炭、石油、天然气等石化能源对应碳排放占比分别为66%、17%、5%，能源、工业是重点排放部门。若延续当前发展趋势，</w:t>
      </w:r>
      <w:r>
        <w:rPr>
          <w:rFonts w:hint="eastAsia"/>
        </w:rPr>
        <w:t>区域</w:t>
      </w:r>
      <w:r>
        <w:t>碳排放将长期维持在</w:t>
      </w:r>
      <w:r>
        <w:rPr>
          <w:rFonts w:hint="eastAsia"/>
        </w:rPr>
        <w:t>17</w:t>
      </w:r>
      <w:r>
        <w:t>亿吨以上。</w:t>
      </w:r>
    </w:p>
    <w:p w14:paraId="25843B3E">
      <w:pPr>
        <w:ind w:firstLine="0" w:firstLineChars="0"/>
        <w:jc w:val="center"/>
        <w:rPr>
          <w:szCs w:val="24"/>
        </w:rPr>
      </w:pPr>
      <w:r>
        <w:rPr>
          <w:rFonts w:eastAsia="等线"/>
          <w:sz w:val="21"/>
          <w:szCs w:val="21"/>
        </w:rPr>
        <w:drawing>
          <wp:inline distT="0" distB="0" distL="0" distR="0">
            <wp:extent cx="3869690" cy="1578610"/>
            <wp:effectExtent l="0" t="0" r="0" b="2540"/>
            <wp:docPr id="1033320465" name="图片 1033320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20465" name="图片 103332046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3869690" cy="1578610"/>
                    </a:xfrm>
                    <a:prstGeom prst="rect">
                      <a:avLst/>
                    </a:prstGeom>
                    <a:noFill/>
                    <a:ln>
                      <a:noFill/>
                    </a:ln>
                  </pic:spPr>
                </pic:pic>
              </a:graphicData>
            </a:graphic>
          </wp:inline>
        </w:drawing>
      </w:r>
    </w:p>
    <w:p w14:paraId="5CE18859">
      <w:pPr>
        <w:ind w:firstLine="420"/>
        <w:jc w:val="center"/>
        <w:rPr>
          <w:sz w:val="21"/>
          <w:szCs w:val="21"/>
        </w:rPr>
      </w:pPr>
      <w:r>
        <w:rPr>
          <w:sz w:val="21"/>
          <w:szCs w:val="21"/>
        </w:rPr>
        <w:t>图 1 2020年我国碳排放大数据及微观情况图 sourse北京理工大学学报</w:t>
      </w:r>
    </w:p>
    <w:p w14:paraId="53389B78">
      <w:pPr>
        <w:ind w:firstLine="480"/>
      </w:pPr>
      <w:r>
        <w:rPr>
          <w:rFonts w:hint="eastAsia"/>
        </w:rPr>
        <w:t>因此</w:t>
      </w:r>
      <w:r>
        <w:t>为促进碳中和目标达成，需在现有减排努力基础上进一步开展能源系</w:t>
      </w:r>
      <w:r>
        <w:rPr>
          <w:rFonts w:hint="eastAsia"/>
        </w:rPr>
        <w:t>统低碳转型。</w:t>
      </w:r>
    </w:p>
    <w:p w14:paraId="1965B917">
      <w:pPr>
        <w:keepNext/>
        <w:ind w:firstLine="0" w:firstLineChars="0"/>
        <w:jc w:val="center"/>
      </w:pPr>
      <w:r>
        <w:rPr>
          <w:rFonts w:cs="宋体"/>
          <w:kern w:val="0"/>
          <w:szCs w:val="24"/>
        </w:rPr>
        <w:drawing>
          <wp:inline distT="0" distB="0" distL="0" distR="0">
            <wp:extent cx="4544695" cy="2171700"/>
            <wp:effectExtent l="0" t="0" r="8255" b="0"/>
            <wp:docPr id="1085500130" name="图片 1085500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00130" name="图片 108550013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4544695" cy="2171700"/>
                    </a:xfrm>
                    <a:prstGeom prst="rect">
                      <a:avLst/>
                    </a:prstGeom>
                    <a:noFill/>
                    <a:ln>
                      <a:noFill/>
                    </a:ln>
                  </pic:spPr>
                </pic:pic>
              </a:graphicData>
            </a:graphic>
          </wp:inline>
        </w:drawing>
      </w:r>
    </w:p>
    <w:p w14:paraId="087B4581">
      <w:pPr>
        <w:pStyle w:val="5"/>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17</w:t>
      </w:r>
      <w:r>
        <w:fldChar w:fldCharType="end"/>
      </w:r>
      <w:r>
        <w:t xml:space="preserve"> </w:t>
      </w:r>
      <w:r>
        <w:rPr>
          <w:rFonts w:hint="eastAsia"/>
        </w:rPr>
        <w:t>情景设计思路图</w:t>
      </w:r>
    </w:p>
    <w:p w14:paraId="121CDF02">
      <w:pPr>
        <w:ind w:firstLine="480"/>
      </w:pPr>
      <w:r>
        <w:rPr>
          <w:rFonts w:hint="eastAsia"/>
        </w:rPr>
        <w:t>考虑未来区域经济行为发展不确定性对能源消费需求的影响、能源系统各类先进技术的发展速度和碳汇可用量的不确定性，团队结合本题区域数据以及专家学者魏一鸣（2023）等对双碳路径的研判，并按照上图所示的思路设计了以下三个情景。</w:t>
      </w:r>
    </w:p>
    <w:p w14:paraId="3A8C5D62">
      <w:pPr>
        <w:spacing w:line="400" w:lineRule="exact"/>
        <w:ind w:firstLine="0" w:firstLineChars="0"/>
        <w:rPr>
          <w:b/>
          <w:bCs/>
          <w:kern w:val="24"/>
          <w:szCs w:val="24"/>
        </w:rPr>
      </w:pPr>
      <w:r>
        <w:rPr>
          <w:rFonts w:hint="eastAsia"/>
          <w:b/>
          <w:bCs/>
          <w:szCs w:val="24"/>
        </w:rPr>
        <w:t>情景1：自由发展（BAU）政策趋势照常，该情境下正任由企业保持现状发展</w:t>
      </w:r>
      <w:r>
        <w:rPr>
          <w:rFonts w:hint="eastAsia"/>
          <w:b/>
          <w:bCs/>
          <w:kern w:val="24"/>
          <w:szCs w:val="24"/>
        </w:rPr>
        <w:t>。</w:t>
      </w:r>
    </w:p>
    <w:p w14:paraId="35E742DB">
      <w:pPr>
        <w:ind w:firstLine="0" w:firstLineChars="0"/>
        <w:rPr>
          <w:b/>
          <w:bCs/>
          <w:szCs w:val="24"/>
        </w:rPr>
      </w:pPr>
      <w:r>
        <w:rPr>
          <w:rFonts w:hint="eastAsia"/>
          <w:b/>
          <w:bCs/>
          <w:szCs w:val="24"/>
        </w:rPr>
        <w:t>情景2: 按时达峰基准情景（主要部门）</w:t>
      </w:r>
    </w:p>
    <w:tbl>
      <w:tblPr>
        <w:tblStyle w:val="5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7164"/>
      </w:tblGrid>
      <w:tr w14:paraId="0E6AA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Borders>
              <w:top w:val="single" w:color="auto" w:sz="4" w:space="0"/>
              <w:left w:val="single" w:color="auto" w:sz="4" w:space="0"/>
              <w:bottom w:val="single" w:color="auto" w:sz="4" w:space="0"/>
              <w:right w:val="single" w:color="auto" w:sz="4" w:space="0"/>
            </w:tcBorders>
            <w:shd w:val="clear" w:color="auto" w:fill="E2EFDA"/>
          </w:tcPr>
          <w:p w14:paraId="03FCA5A0">
            <w:pPr>
              <w:spacing w:line="400" w:lineRule="exact"/>
              <w:ind w:firstLine="0" w:firstLineChars="0"/>
              <w:jc w:val="center"/>
              <w:rPr>
                <w:rFonts w:eastAsia="宋体"/>
                <w:kern w:val="24"/>
                <w:szCs w:val="24"/>
              </w:rPr>
            </w:pPr>
            <w:r>
              <w:rPr>
                <w:rFonts w:hint="eastAsia" w:eastAsia="宋体"/>
                <w:kern w:val="24"/>
                <w:szCs w:val="24"/>
              </w:rPr>
              <w:t>按时达峰基准情景2—偏宏观</w:t>
            </w:r>
          </w:p>
        </w:tc>
      </w:tr>
      <w:tr w14:paraId="45A22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8" w:type="pct"/>
            <w:tcBorders>
              <w:top w:val="single" w:color="auto" w:sz="4" w:space="0"/>
              <w:left w:val="single" w:color="auto" w:sz="4" w:space="0"/>
              <w:bottom w:val="single" w:color="auto" w:sz="4" w:space="0"/>
              <w:right w:val="single" w:color="auto" w:sz="4" w:space="0"/>
            </w:tcBorders>
            <w:shd w:val="clear" w:color="auto" w:fill="E2EFDA"/>
          </w:tcPr>
          <w:p w14:paraId="2D3BF5A2">
            <w:pPr>
              <w:spacing w:line="400" w:lineRule="exact"/>
              <w:ind w:firstLine="0" w:firstLineChars="0"/>
              <w:rPr>
                <w:rFonts w:eastAsia="宋体"/>
                <w:color w:val="333333"/>
                <w:szCs w:val="24"/>
                <w:shd w:val="clear" w:color="auto" w:fill="FFFFFF"/>
              </w:rPr>
            </w:pPr>
          </w:p>
          <w:p w14:paraId="704B1733">
            <w:pPr>
              <w:spacing w:line="400" w:lineRule="exact"/>
              <w:ind w:firstLine="0" w:firstLineChars="0"/>
              <w:rPr>
                <w:rFonts w:eastAsia="宋体"/>
                <w:color w:val="333333"/>
                <w:szCs w:val="24"/>
                <w:shd w:val="clear" w:color="auto" w:fill="FFFFFF"/>
              </w:rPr>
            </w:pPr>
          </w:p>
          <w:p w14:paraId="0BC5E715">
            <w:pPr>
              <w:spacing w:line="400" w:lineRule="exact"/>
              <w:ind w:firstLine="0" w:firstLineChars="0"/>
              <w:jc w:val="center"/>
              <w:rPr>
                <w:rFonts w:eastAsia="宋体"/>
                <w:color w:val="333333"/>
                <w:szCs w:val="24"/>
                <w:shd w:val="clear" w:color="auto" w:fill="FFFFFF"/>
              </w:rPr>
            </w:pPr>
            <w:r>
              <w:rPr>
                <w:rFonts w:hint="eastAsia" w:eastAsia="宋体"/>
                <w:color w:val="333333"/>
                <w:szCs w:val="24"/>
                <w:shd w:val="clear" w:color="auto" w:fill="FFFFFF"/>
              </w:rPr>
              <w:t>阶段Ⅰ</w:t>
            </w:r>
          </w:p>
          <w:p w14:paraId="423EC54E">
            <w:pPr>
              <w:spacing w:line="400" w:lineRule="exact"/>
              <w:ind w:firstLine="0" w:firstLineChars="0"/>
              <w:jc w:val="center"/>
              <w:rPr>
                <w:rFonts w:eastAsia="宋体"/>
                <w:kern w:val="24"/>
                <w:szCs w:val="24"/>
              </w:rPr>
            </w:pPr>
            <w:r>
              <w:rPr>
                <w:rFonts w:hint="eastAsia" w:eastAsia="宋体"/>
                <w:color w:val="333333"/>
                <w:sz w:val="22"/>
                <w:shd w:val="clear" w:color="auto" w:fill="FFFFFF"/>
              </w:rPr>
              <w:t>（2020年-2030年）</w:t>
            </w:r>
          </w:p>
        </w:tc>
        <w:tc>
          <w:tcPr>
            <w:tcW w:w="3742" w:type="pct"/>
            <w:tcBorders>
              <w:top w:val="single" w:color="auto" w:sz="4" w:space="0"/>
              <w:left w:val="single" w:color="auto" w:sz="4" w:space="0"/>
              <w:bottom w:val="single" w:color="auto" w:sz="4" w:space="0"/>
              <w:right w:val="single" w:color="auto" w:sz="4" w:space="0"/>
            </w:tcBorders>
          </w:tcPr>
          <w:p w14:paraId="7D240F68">
            <w:pPr>
              <w:spacing w:line="400" w:lineRule="exact"/>
              <w:ind w:firstLine="0" w:firstLineChars="0"/>
              <w:rPr>
                <w:rFonts w:eastAsia="宋体"/>
                <w:b/>
                <w:bCs/>
                <w:kern w:val="24"/>
                <w:szCs w:val="24"/>
              </w:rPr>
            </w:pPr>
            <w:r>
              <w:rPr>
                <w:rFonts w:hint="eastAsia" w:eastAsia="宋体"/>
                <w:b/>
                <w:bCs/>
                <w:kern w:val="24"/>
                <w:szCs w:val="24"/>
              </w:rPr>
              <w:t>基准碳排放达峰。</w:t>
            </w:r>
          </w:p>
          <w:p w14:paraId="6B701352">
            <w:pPr>
              <w:spacing w:line="400" w:lineRule="exact"/>
              <w:ind w:firstLine="480"/>
              <w:rPr>
                <w:rFonts w:eastAsia="宋体"/>
                <w:kern w:val="24"/>
                <w:szCs w:val="24"/>
              </w:rPr>
            </w:pPr>
            <w:r>
              <w:rPr>
                <w:rFonts w:hint="eastAsia" w:eastAsia="宋体"/>
                <w:kern w:val="24"/>
                <w:szCs w:val="24"/>
              </w:rPr>
              <w:t>2030年提前两年实现碳达峰目标的基本任务，主要任务是降低能源消费强度，降低碳排放强度，控制煤炭消费，大规模发展清洁能源，</w:t>
            </w:r>
            <w:r>
              <w:rPr>
                <w:rFonts w:hint="eastAsia" w:eastAsia="宋体"/>
                <w:b/>
                <w:bCs/>
                <w:kern w:val="24"/>
                <w:szCs w:val="24"/>
              </w:rPr>
              <w:t>继续推进电动汽车对传统燃油汽车的替代</w:t>
            </w:r>
            <w:r>
              <w:rPr>
                <w:rFonts w:hint="eastAsia" w:eastAsia="宋体"/>
                <w:kern w:val="24"/>
                <w:szCs w:val="24"/>
              </w:rPr>
              <w:t>。到</w:t>
            </w:r>
            <w:r>
              <w:rPr>
                <w:rFonts w:eastAsia="宋体"/>
                <w:kern w:val="24"/>
                <w:szCs w:val="24"/>
              </w:rPr>
              <w:t>202</w:t>
            </w:r>
            <w:r>
              <w:rPr>
                <w:rFonts w:hint="eastAsia" w:eastAsia="宋体"/>
                <w:kern w:val="24"/>
                <w:szCs w:val="24"/>
              </w:rPr>
              <w:t>5年非化石能源消费比重</w:t>
            </w:r>
            <w:r>
              <w:rPr>
                <w:rFonts w:eastAsia="宋体"/>
                <w:kern w:val="24"/>
                <w:szCs w:val="24"/>
              </w:rPr>
              <w:t>达到</w:t>
            </w:r>
            <w:r>
              <w:rPr>
                <w:rFonts w:hint="eastAsia" w:eastAsia="宋体"/>
                <w:kern w:val="24"/>
                <w:szCs w:val="24"/>
              </w:rPr>
              <w:t>20</w:t>
            </w:r>
            <w:r>
              <w:rPr>
                <w:rFonts w:eastAsia="宋体"/>
                <w:kern w:val="24"/>
                <w:szCs w:val="24"/>
              </w:rPr>
              <w:t>%左右；到2030年非化石能源消费比重达到</w:t>
            </w:r>
            <w:r>
              <w:rPr>
                <w:rFonts w:hint="eastAsia" w:eastAsia="宋体"/>
                <w:kern w:val="24"/>
                <w:szCs w:val="24"/>
              </w:rPr>
              <w:t>25</w:t>
            </w:r>
            <w:r>
              <w:rPr>
                <w:rFonts w:eastAsia="宋体"/>
                <w:kern w:val="24"/>
                <w:szCs w:val="24"/>
              </w:rPr>
              <w:t>% 左右。</w:t>
            </w:r>
          </w:p>
        </w:tc>
      </w:tr>
      <w:tr w14:paraId="50D4E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8" w:type="pct"/>
            <w:tcBorders>
              <w:top w:val="single" w:color="auto" w:sz="4" w:space="0"/>
              <w:left w:val="single" w:color="auto" w:sz="4" w:space="0"/>
              <w:bottom w:val="single" w:color="auto" w:sz="4" w:space="0"/>
              <w:right w:val="single" w:color="auto" w:sz="4" w:space="0"/>
            </w:tcBorders>
            <w:shd w:val="clear" w:color="auto" w:fill="E2EFDA"/>
          </w:tcPr>
          <w:p w14:paraId="79699B96">
            <w:pPr>
              <w:spacing w:line="400" w:lineRule="exact"/>
              <w:ind w:firstLine="0" w:firstLineChars="0"/>
              <w:jc w:val="center"/>
              <w:rPr>
                <w:rFonts w:eastAsia="宋体"/>
                <w:color w:val="333333"/>
                <w:szCs w:val="24"/>
                <w:shd w:val="clear" w:color="auto" w:fill="FFFFFF"/>
              </w:rPr>
            </w:pPr>
          </w:p>
          <w:p w14:paraId="6382CE43">
            <w:pPr>
              <w:spacing w:line="400" w:lineRule="exact"/>
              <w:ind w:firstLine="0" w:firstLineChars="0"/>
              <w:jc w:val="center"/>
              <w:rPr>
                <w:rFonts w:eastAsia="宋体"/>
                <w:color w:val="333333"/>
                <w:szCs w:val="24"/>
                <w:shd w:val="clear" w:color="auto" w:fill="FFFFFF"/>
              </w:rPr>
            </w:pPr>
            <w:r>
              <w:rPr>
                <w:rFonts w:hint="eastAsia" w:eastAsia="宋体"/>
                <w:color w:val="333333"/>
                <w:szCs w:val="24"/>
                <w:shd w:val="clear" w:color="auto" w:fill="FFFFFF"/>
              </w:rPr>
              <w:t>阶段Ⅱ</w:t>
            </w:r>
          </w:p>
          <w:p w14:paraId="2C2FDB73">
            <w:pPr>
              <w:spacing w:line="400" w:lineRule="exact"/>
              <w:ind w:firstLine="0" w:firstLineChars="0"/>
              <w:rPr>
                <w:rFonts w:eastAsia="宋体"/>
                <w:kern w:val="24"/>
                <w:szCs w:val="24"/>
              </w:rPr>
            </w:pPr>
            <w:r>
              <w:rPr>
                <w:rFonts w:hint="eastAsia" w:eastAsia="宋体"/>
                <w:color w:val="333333"/>
                <w:sz w:val="22"/>
                <w:shd w:val="clear" w:color="auto" w:fill="FFFFFF"/>
              </w:rPr>
              <w:t>（2030年-2045年）</w:t>
            </w:r>
          </w:p>
        </w:tc>
        <w:tc>
          <w:tcPr>
            <w:tcW w:w="3742" w:type="pct"/>
            <w:tcBorders>
              <w:top w:val="single" w:color="auto" w:sz="4" w:space="0"/>
              <w:left w:val="single" w:color="auto" w:sz="4" w:space="0"/>
              <w:bottom w:val="single" w:color="auto" w:sz="4" w:space="0"/>
              <w:right w:val="single" w:color="auto" w:sz="4" w:space="0"/>
            </w:tcBorders>
          </w:tcPr>
          <w:p w14:paraId="43028EF6">
            <w:pPr>
              <w:spacing w:line="400" w:lineRule="exact"/>
              <w:ind w:firstLine="0" w:firstLineChars="0"/>
              <w:rPr>
                <w:rFonts w:eastAsia="宋体"/>
                <w:b/>
                <w:bCs/>
                <w:kern w:val="24"/>
                <w:szCs w:val="24"/>
              </w:rPr>
            </w:pPr>
            <w:r>
              <w:rPr>
                <w:rFonts w:hint="eastAsia" w:eastAsia="宋体"/>
                <w:b/>
                <w:bCs/>
                <w:kern w:val="24"/>
                <w:szCs w:val="24"/>
              </w:rPr>
              <w:t>稳健降低碳排放。</w:t>
            </w:r>
          </w:p>
          <w:p w14:paraId="54335872">
            <w:pPr>
              <w:spacing w:line="400" w:lineRule="exact"/>
              <w:ind w:firstLine="480"/>
              <w:rPr>
                <w:rFonts w:eastAsia="宋体"/>
                <w:kern w:val="24"/>
                <w:szCs w:val="24"/>
              </w:rPr>
            </w:pPr>
            <w:r>
              <w:rPr>
                <w:rFonts w:hint="eastAsia" w:eastAsia="宋体"/>
                <w:kern w:val="24"/>
                <w:szCs w:val="24"/>
              </w:rPr>
              <w:t>碳达峰后的主要减排途径转为可再生能源为主，</w:t>
            </w:r>
            <w:r>
              <w:rPr>
                <w:rFonts w:hint="eastAsia" w:eastAsia="宋体"/>
                <w:b/>
                <w:bCs/>
                <w:kern w:val="24"/>
                <w:szCs w:val="24"/>
              </w:rPr>
              <w:t>大面积完成电动汽车对传统燃油汽车的替代</w:t>
            </w:r>
            <w:r>
              <w:rPr>
                <w:rFonts w:hint="eastAsia" w:eastAsia="宋体"/>
                <w:kern w:val="24"/>
                <w:szCs w:val="24"/>
              </w:rPr>
              <w:t>，同时完成第一产业的减排改造，以</w:t>
            </w:r>
            <w:r>
              <w:rPr>
                <w:rFonts w:eastAsia="宋体"/>
                <w:kern w:val="24"/>
                <w:szCs w:val="24"/>
              </w:rPr>
              <w:t>CCUS</w:t>
            </w:r>
            <w:r>
              <w:rPr>
                <w:rFonts w:hint="eastAsia" w:eastAsia="宋体"/>
                <w:kern w:val="24"/>
                <w:szCs w:val="24"/>
              </w:rPr>
              <w:t>等技术为辅的过程。2035年的GDP比基期（2020年）翻一番。2060年比基期翻两番</w:t>
            </w:r>
          </w:p>
        </w:tc>
      </w:tr>
      <w:tr w14:paraId="29A83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8" w:type="pct"/>
            <w:tcBorders>
              <w:top w:val="single" w:color="auto" w:sz="4" w:space="0"/>
              <w:left w:val="single" w:color="auto" w:sz="4" w:space="0"/>
              <w:bottom w:val="single" w:color="auto" w:sz="4" w:space="0"/>
              <w:right w:val="single" w:color="auto" w:sz="4" w:space="0"/>
            </w:tcBorders>
            <w:shd w:val="clear" w:color="auto" w:fill="E2EFDA"/>
          </w:tcPr>
          <w:p w14:paraId="12E95817">
            <w:pPr>
              <w:spacing w:line="400" w:lineRule="exact"/>
              <w:ind w:firstLine="0" w:firstLineChars="0"/>
              <w:jc w:val="center"/>
              <w:rPr>
                <w:rFonts w:eastAsia="宋体"/>
                <w:color w:val="333333"/>
                <w:szCs w:val="24"/>
                <w:shd w:val="clear" w:color="auto" w:fill="FFFFFF"/>
              </w:rPr>
            </w:pPr>
          </w:p>
          <w:p w14:paraId="1CE5240D">
            <w:pPr>
              <w:spacing w:line="400" w:lineRule="exact"/>
              <w:ind w:firstLine="0" w:firstLineChars="0"/>
              <w:jc w:val="center"/>
              <w:rPr>
                <w:rFonts w:eastAsia="宋体"/>
                <w:color w:val="333333"/>
                <w:szCs w:val="24"/>
                <w:shd w:val="clear" w:color="auto" w:fill="FFFFFF"/>
              </w:rPr>
            </w:pPr>
            <w:r>
              <w:rPr>
                <w:rFonts w:hint="eastAsia" w:eastAsia="宋体"/>
                <w:color w:val="333333"/>
                <w:szCs w:val="24"/>
                <w:shd w:val="clear" w:color="auto" w:fill="FFFFFF"/>
              </w:rPr>
              <w:t>阶段Ⅱ</w:t>
            </w:r>
          </w:p>
          <w:p w14:paraId="1DA4DB52">
            <w:pPr>
              <w:spacing w:line="400" w:lineRule="exact"/>
              <w:ind w:firstLine="0" w:firstLineChars="0"/>
              <w:rPr>
                <w:rFonts w:eastAsia="宋体"/>
                <w:kern w:val="24"/>
                <w:szCs w:val="24"/>
              </w:rPr>
            </w:pPr>
            <w:r>
              <w:rPr>
                <w:rFonts w:hint="eastAsia" w:eastAsia="宋体"/>
                <w:color w:val="333333"/>
                <w:sz w:val="22"/>
                <w:shd w:val="clear" w:color="auto" w:fill="FFFFFF"/>
              </w:rPr>
              <w:t>（2030年-2045年）</w:t>
            </w:r>
          </w:p>
        </w:tc>
        <w:tc>
          <w:tcPr>
            <w:tcW w:w="3742" w:type="pct"/>
            <w:tcBorders>
              <w:top w:val="single" w:color="auto" w:sz="4" w:space="0"/>
              <w:left w:val="single" w:color="auto" w:sz="4" w:space="0"/>
              <w:bottom w:val="single" w:color="auto" w:sz="4" w:space="0"/>
              <w:right w:val="single" w:color="auto" w:sz="4" w:space="0"/>
            </w:tcBorders>
          </w:tcPr>
          <w:p w14:paraId="587E8F09">
            <w:pPr>
              <w:spacing w:line="400" w:lineRule="exact"/>
              <w:ind w:left="241" w:hanging="241" w:hangingChars="100"/>
              <w:rPr>
                <w:rFonts w:eastAsia="宋体"/>
                <w:kern w:val="24"/>
                <w:szCs w:val="24"/>
              </w:rPr>
            </w:pPr>
            <w:r>
              <w:rPr>
                <w:rFonts w:hint="eastAsia" w:eastAsia="宋体"/>
                <w:b/>
                <w:bCs/>
                <w:kern w:val="24"/>
                <w:szCs w:val="24"/>
              </w:rPr>
              <w:t>深度脱碳参与碳汇完成“碳中和”目标</w:t>
            </w:r>
            <w:r>
              <w:rPr>
                <w:rFonts w:hint="eastAsia" w:eastAsia="宋体"/>
                <w:kern w:val="24"/>
                <w:szCs w:val="24"/>
              </w:rPr>
              <w:t>。</w:t>
            </w:r>
          </w:p>
          <w:p w14:paraId="0A423998">
            <w:pPr>
              <w:spacing w:line="400" w:lineRule="exact"/>
              <w:ind w:left="274" w:leftChars="114" w:firstLine="240" w:firstLineChars="100"/>
              <w:rPr>
                <w:rFonts w:eastAsia="宋体"/>
                <w:kern w:val="24"/>
                <w:szCs w:val="24"/>
              </w:rPr>
            </w:pPr>
            <w:r>
              <w:rPr>
                <w:rFonts w:hint="eastAsia" w:eastAsia="宋体"/>
                <w:kern w:val="24"/>
                <w:szCs w:val="24"/>
              </w:rPr>
              <w:t>实现碳达峰，区域峰值不超过</w:t>
            </w:r>
            <w:r>
              <w:rPr>
                <w:rFonts w:hint="eastAsia" w:eastAsia="宋体"/>
                <w:b/>
                <w:bCs/>
                <w:kern w:val="24"/>
                <w:szCs w:val="24"/>
              </w:rPr>
              <w:t>17亿吨CO2</w:t>
            </w:r>
            <w:r>
              <w:rPr>
                <w:rFonts w:hint="eastAsia" w:eastAsia="宋体"/>
                <w:kern w:val="24"/>
                <w:szCs w:val="24"/>
              </w:rPr>
              <w:t>。</w:t>
            </w:r>
          </w:p>
        </w:tc>
      </w:tr>
    </w:tbl>
    <w:p w14:paraId="4A856B7F">
      <w:pPr>
        <w:spacing w:line="400" w:lineRule="exact"/>
        <w:ind w:firstLine="0" w:firstLineChars="0"/>
        <w:rPr>
          <w:b/>
          <w:bCs/>
          <w:kern w:val="24"/>
          <w:szCs w:val="24"/>
        </w:rPr>
      </w:pPr>
      <w:r>
        <w:rPr>
          <w:rFonts w:hint="eastAsia"/>
          <w:b/>
          <w:bCs/>
          <w:kern w:val="24"/>
          <w:szCs w:val="24"/>
        </w:rPr>
        <w:t>情景3：奋进双碳目标雄心情景（全力配合）</w:t>
      </w:r>
    </w:p>
    <w:tbl>
      <w:tblPr>
        <w:tblStyle w:val="5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9"/>
        <w:gridCol w:w="7173"/>
      </w:tblGrid>
      <w:tr w14:paraId="08DEA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Borders>
              <w:top w:val="single" w:color="auto" w:sz="4" w:space="0"/>
              <w:left w:val="single" w:color="auto" w:sz="4" w:space="0"/>
              <w:bottom w:val="single" w:color="auto" w:sz="4" w:space="0"/>
              <w:right w:val="single" w:color="auto" w:sz="4" w:space="0"/>
            </w:tcBorders>
            <w:shd w:val="clear" w:color="auto" w:fill="E2EFDA"/>
          </w:tcPr>
          <w:p w14:paraId="7B79C099">
            <w:pPr>
              <w:spacing w:line="400" w:lineRule="exact"/>
              <w:ind w:firstLine="0" w:firstLineChars="0"/>
              <w:jc w:val="center"/>
              <w:rPr>
                <w:rFonts w:eastAsia="宋体"/>
                <w:kern w:val="24"/>
                <w:szCs w:val="24"/>
              </w:rPr>
            </w:pPr>
            <w:r>
              <w:rPr>
                <w:rFonts w:hint="eastAsia" w:eastAsia="宋体"/>
                <w:kern w:val="24"/>
                <w:szCs w:val="24"/>
              </w:rPr>
              <w:t>奋进双碳目标雄心情景3—偏微观</w:t>
            </w:r>
          </w:p>
        </w:tc>
      </w:tr>
      <w:tr w14:paraId="2E9E5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E2EFDA"/>
          </w:tcPr>
          <w:p w14:paraId="610B91C8">
            <w:pPr>
              <w:spacing w:line="400" w:lineRule="exact"/>
              <w:ind w:firstLine="0" w:firstLineChars="0"/>
              <w:rPr>
                <w:rFonts w:eastAsia="宋体"/>
                <w:color w:val="333333"/>
                <w:szCs w:val="24"/>
                <w:shd w:val="clear" w:color="auto" w:fill="FFFFFF"/>
              </w:rPr>
            </w:pPr>
          </w:p>
          <w:p w14:paraId="13E49F58">
            <w:pPr>
              <w:spacing w:line="400" w:lineRule="exact"/>
              <w:ind w:firstLine="0" w:firstLineChars="0"/>
              <w:rPr>
                <w:rFonts w:eastAsia="宋体"/>
                <w:color w:val="333333"/>
                <w:szCs w:val="24"/>
                <w:shd w:val="clear" w:color="auto" w:fill="FFFFFF"/>
              </w:rPr>
            </w:pPr>
          </w:p>
          <w:p w14:paraId="44C1A5D8">
            <w:pPr>
              <w:spacing w:line="400" w:lineRule="exact"/>
              <w:ind w:firstLine="0" w:firstLineChars="0"/>
              <w:jc w:val="center"/>
              <w:rPr>
                <w:rFonts w:eastAsia="宋体"/>
                <w:color w:val="333333"/>
                <w:szCs w:val="24"/>
                <w:shd w:val="clear" w:color="auto" w:fill="FFFFFF"/>
              </w:rPr>
            </w:pPr>
            <w:r>
              <w:rPr>
                <w:rFonts w:hint="eastAsia" w:eastAsia="宋体"/>
                <w:color w:val="333333"/>
                <w:szCs w:val="24"/>
                <w:shd w:val="clear" w:color="auto" w:fill="FFFFFF"/>
              </w:rPr>
              <w:t>阶段Ⅰ</w:t>
            </w:r>
          </w:p>
          <w:p w14:paraId="5404361F">
            <w:pPr>
              <w:spacing w:line="400" w:lineRule="exact"/>
              <w:ind w:firstLine="0" w:firstLineChars="0"/>
              <w:jc w:val="center"/>
              <w:rPr>
                <w:rFonts w:eastAsia="宋体"/>
                <w:kern w:val="24"/>
                <w:szCs w:val="24"/>
              </w:rPr>
            </w:pPr>
            <w:r>
              <w:rPr>
                <w:rFonts w:hint="eastAsia" w:eastAsia="宋体"/>
                <w:color w:val="333333"/>
                <w:sz w:val="22"/>
                <w:shd w:val="clear" w:color="auto" w:fill="FFFFFF"/>
              </w:rPr>
              <w:t>（2020年-2030年）</w:t>
            </w:r>
          </w:p>
        </w:tc>
        <w:tc>
          <w:tcPr>
            <w:tcW w:w="3747" w:type="pct"/>
            <w:tcBorders>
              <w:top w:val="single" w:color="auto" w:sz="4" w:space="0"/>
              <w:left w:val="single" w:color="auto" w:sz="4" w:space="0"/>
              <w:bottom w:val="single" w:color="auto" w:sz="4" w:space="0"/>
              <w:right w:val="single" w:color="auto" w:sz="4" w:space="0"/>
            </w:tcBorders>
          </w:tcPr>
          <w:p w14:paraId="409D1742">
            <w:pPr>
              <w:spacing w:line="400" w:lineRule="exact"/>
              <w:ind w:firstLine="0" w:firstLineChars="0"/>
              <w:rPr>
                <w:rFonts w:eastAsia="宋体"/>
                <w:b/>
                <w:bCs/>
                <w:kern w:val="24"/>
                <w:szCs w:val="24"/>
              </w:rPr>
            </w:pPr>
            <w:r>
              <w:rPr>
                <w:rFonts w:hint="eastAsia" w:eastAsia="宋体"/>
                <w:b/>
                <w:bCs/>
                <w:kern w:val="24"/>
                <w:szCs w:val="24"/>
              </w:rPr>
              <w:t>超前碳排放达峰。</w:t>
            </w:r>
          </w:p>
          <w:p w14:paraId="65920A34">
            <w:pPr>
              <w:spacing w:line="400" w:lineRule="exact"/>
              <w:ind w:firstLine="482"/>
              <w:rPr>
                <w:rFonts w:eastAsia="宋体"/>
                <w:kern w:val="24"/>
                <w:szCs w:val="24"/>
              </w:rPr>
            </w:pPr>
            <w:r>
              <w:rPr>
                <w:rFonts w:eastAsia="宋体"/>
                <w:b/>
                <w:bCs/>
                <w:color w:val="70AD47"/>
                <w:kern w:val="24"/>
                <w:szCs w:val="24"/>
              </w:rPr>
              <w:t>20</w:t>
            </w:r>
            <w:r>
              <w:rPr>
                <w:rFonts w:hint="eastAsia" w:eastAsia="宋体"/>
                <w:b/>
                <w:bCs/>
                <w:color w:val="70AD47"/>
                <w:kern w:val="24"/>
                <w:szCs w:val="24"/>
              </w:rPr>
              <w:t>28年</w:t>
            </w:r>
            <w:r>
              <w:rPr>
                <w:rFonts w:hint="eastAsia" w:eastAsia="宋体"/>
                <w:kern w:val="24"/>
                <w:szCs w:val="24"/>
              </w:rPr>
              <w:t>提前两年实现碳达峰目标的基本任务，主要任务是降低能源消费强度，控制</w:t>
            </w:r>
            <w:r>
              <w:rPr>
                <w:rFonts w:hint="eastAsia" w:eastAsia="宋体"/>
                <w:b/>
                <w:bCs/>
                <w:kern w:val="24"/>
                <w:szCs w:val="24"/>
              </w:rPr>
              <w:t>煤炭消费，大规模发展清洁能源</w:t>
            </w:r>
            <w:r>
              <w:rPr>
                <w:rFonts w:hint="eastAsia" w:eastAsia="宋体"/>
                <w:kern w:val="24"/>
                <w:szCs w:val="24"/>
              </w:rPr>
              <w:t>，</w:t>
            </w:r>
            <w:r>
              <w:rPr>
                <w:rFonts w:hint="eastAsia" w:eastAsia="宋体"/>
                <w:b/>
                <w:bCs/>
                <w:kern w:val="24"/>
                <w:szCs w:val="24"/>
              </w:rPr>
              <w:t>继续推进电动汽车对传统燃油汽车的替代</w:t>
            </w:r>
            <w:r>
              <w:rPr>
                <w:rFonts w:hint="eastAsia" w:eastAsia="宋体"/>
                <w:kern w:val="24"/>
                <w:szCs w:val="24"/>
              </w:rPr>
              <w:t>。到</w:t>
            </w:r>
            <w:r>
              <w:rPr>
                <w:rFonts w:eastAsia="宋体"/>
                <w:b/>
                <w:bCs/>
                <w:color w:val="70AD47"/>
                <w:kern w:val="24"/>
                <w:szCs w:val="24"/>
              </w:rPr>
              <w:t>2024</w:t>
            </w:r>
            <w:r>
              <w:rPr>
                <w:rFonts w:hint="eastAsia" w:eastAsia="宋体"/>
                <w:b/>
                <w:bCs/>
                <w:color w:val="70AD47"/>
                <w:kern w:val="24"/>
                <w:szCs w:val="24"/>
              </w:rPr>
              <w:t>年</w:t>
            </w:r>
            <w:r>
              <w:rPr>
                <w:rFonts w:hint="eastAsia" w:eastAsia="宋体"/>
                <w:kern w:val="24"/>
                <w:szCs w:val="24"/>
              </w:rPr>
              <w:t>非化石能源消费比重</w:t>
            </w:r>
            <w:r>
              <w:rPr>
                <w:rFonts w:eastAsia="宋体"/>
                <w:kern w:val="24"/>
                <w:szCs w:val="24"/>
              </w:rPr>
              <w:t>达到</w:t>
            </w:r>
            <w:r>
              <w:rPr>
                <w:rFonts w:hint="eastAsia" w:eastAsia="宋体"/>
                <w:kern w:val="24"/>
                <w:szCs w:val="24"/>
              </w:rPr>
              <w:t>18</w:t>
            </w:r>
            <w:r>
              <w:rPr>
                <w:rFonts w:eastAsia="宋体"/>
                <w:kern w:val="24"/>
                <w:szCs w:val="24"/>
              </w:rPr>
              <w:t>%左右；</w:t>
            </w:r>
            <w:r>
              <w:rPr>
                <w:rFonts w:eastAsia="宋体"/>
                <w:b/>
                <w:bCs/>
                <w:kern w:val="24"/>
                <w:szCs w:val="24"/>
              </w:rPr>
              <w:t>到2030年非化石能源消费比重达到</w:t>
            </w:r>
            <w:r>
              <w:rPr>
                <w:rFonts w:hint="eastAsia" w:eastAsia="宋体"/>
                <w:b/>
                <w:bCs/>
                <w:color w:val="7030A0"/>
                <w:kern w:val="24"/>
                <w:szCs w:val="24"/>
              </w:rPr>
              <w:t>23</w:t>
            </w:r>
            <w:r>
              <w:rPr>
                <w:rFonts w:eastAsia="宋体"/>
                <w:b/>
                <w:bCs/>
                <w:color w:val="7030A0"/>
                <w:kern w:val="24"/>
                <w:szCs w:val="24"/>
              </w:rPr>
              <w:t>%</w:t>
            </w:r>
            <w:r>
              <w:rPr>
                <w:rFonts w:eastAsia="宋体"/>
                <w:b/>
                <w:bCs/>
                <w:kern w:val="24"/>
                <w:szCs w:val="24"/>
              </w:rPr>
              <w:t xml:space="preserve"> 左右。</w:t>
            </w:r>
          </w:p>
        </w:tc>
      </w:tr>
      <w:tr w14:paraId="7923F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E2EFDA"/>
          </w:tcPr>
          <w:p w14:paraId="0B28AD4C">
            <w:pPr>
              <w:spacing w:line="400" w:lineRule="exact"/>
              <w:ind w:firstLine="0" w:firstLineChars="0"/>
              <w:jc w:val="center"/>
              <w:rPr>
                <w:rFonts w:eastAsia="宋体"/>
                <w:color w:val="333333"/>
                <w:szCs w:val="24"/>
                <w:shd w:val="clear" w:color="auto" w:fill="FFFFFF"/>
              </w:rPr>
            </w:pPr>
          </w:p>
          <w:p w14:paraId="328CE825">
            <w:pPr>
              <w:spacing w:line="400" w:lineRule="exact"/>
              <w:ind w:firstLine="0" w:firstLineChars="0"/>
              <w:jc w:val="center"/>
              <w:rPr>
                <w:rFonts w:eastAsia="宋体"/>
                <w:color w:val="333333"/>
                <w:szCs w:val="24"/>
                <w:shd w:val="clear" w:color="auto" w:fill="FFFFFF"/>
              </w:rPr>
            </w:pPr>
            <w:r>
              <w:rPr>
                <w:rFonts w:hint="eastAsia" w:eastAsia="宋体"/>
                <w:color w:val="333333"/>
                <w:szCs w:val="24"/>
                <w:shd w:val="clear" w:color="auto" w:fill="FFFFFF"/>
              </w:rPr>
              <w:t>阶段Ⅱ</w:t>
            </w:r>
          </w:p>
          <w:p w14:paraId="62B29B5F">
            <w:pPr>
              <w:spacing w:line="400" w:lineRule="exact"/>
              <w:ind w:firstLine="0" w:firstLineChars="0"/>
              <w:rPr>
                <w:rFonts w:eastAsia="宋体"/>
                <w:kern w:val="24"/>
                <w:szCs w:val="24"/>
              </w:rPr>
            </w:pPr>
            <w:r>
              <w:rPr>
                <w:rFonts w:hint="eastAsia" w:eastAsia="宋体"/>
                <w:color w:val="333333"/>
                <w:sz w:val="22"/>
                <w:shd w:val="clear" w:color="auto" w:fill="FFFFFF"/>
              </w:rPr>
              <w:t>（2030年-2045年）</w:t>
            </w:r>
          </w:p>
        </w:tc>
        <w:tc>
          <w:tcPr>
            <w:tcW w:w="3747" w:type="pct"/>
            <w:tcBorders>
              <w:top w:val="single" w:color="auto" w:sz="4" w:space="0"/>
              <w:left w:val="single" w:color="auto" w:sz="4" w:space="0"/>
              <w:bottom w:val="single" w:color="auto" w:sz="4" w:space="0"/>
              <w:right w:val="single" w:color="auto" w:sz="4" w:space="0"/>
            </w:tcBorders>
          </w:tcPr>
          <w:p w14:paraId="78FF73BC">
            <w:pPr>
              <w:spacing w:line="400" w:lineRule="exact"/>
              <w:ind w:firstLine="0" w:firstLineChars="0"/>
              <w:rPr>
                <w:rFonts w:eastAsia="宋体"/>
                <w:b/>
                <w:bCs/>
                <w:kern w:val="24"/>
                <w:szCs w:val="24"/>
              </w:rPr>
            </w:pPr>
            <w:r>
              <w:rPr>
                <w:rFonts w:hint="eastAsia" w:eastAsia="宋体"/>
                <w:b/>
                <w:bCs/>
                <w:kern w:val="24"/>
                <w:szCs w:val="24"/>
              </w:rPr>
              <w:t>快速降低碳排放。</w:t>
            </w:r>
          </w:p>
          <w:p w14:paraId="7B07E689">
            <w:pPr>
              <w:spacing w:line="400" w:lineRule="exact"/>
              <w:ind w:firstLine="480"/>
              <w:rPr>
                <w:rFonts w:eastAsia="宋体"/>
                <w:kern w:val="24"/>
                <w:szCs w:val="24"/>
              </w:rPr>
            </w:pPr>
            <w:r>
              <w:rPr>
                <w:rFonts w:hint="eastAsia" w:eastAsia="宋体"/>
                <w:kern w:val="24"/>
                <w:szCs w:val="24"/>
              </w:rPr>
              <w:t>碳达峰后的主要减排途径转为可再生能源为主，</w:t>
            </w:r>
            <w:r>
              <w:rPr>
                <w:rFonts w:hint="eastAsia" w:eastAsia="宋体"/>
                <w:b/>
                <w:bCs/>
                <w:kern w:val="24"/>
                <w:szCs w:val="24"/>
              </w:rPr>
              <w:t>大面积完成电动汽车对传统燃油汽车的替代</w:t>
            </w:r>
            <w:r>
              <w:rPr>
                <w:rFonts w:hint="eastAsia" w:eastAsia="宋体"/>
                <w:kern w:val="24"/>
                <w:szCs w:val="24"/>
              </w:rPr>
              <w:t>，同时完成第一产业的减排改造和能效提升，以</w:t>
            </w:r>
            <w:r>
              <w:rPr>
                <w:rFonts w:eastAsia="宋体"/>
                <w:kern w:val="24"/>
                <w:szCs w:val="24"/>
              </w:rPr>
              <w:t>CCUS</w:t>
            </w:r>
            <w:r>
              <w:rPr>
                <w:rFonts w:hint="eastAsia" w:eastAsia="宋体"/>
                <w:kern w:val="24"/>
                <w:szCs w:val="24"/>
              </w:rPr>
              <w:t>等技术为辅的过程。</w:t>
            </w:r>
            <w:r>
              <w:rPr>
                <w:rFonts w:hint="eastAsia" w:eastAsia="宋体"/>
                <w:b/>
                <w:bCs/>
                <w:color w:val="70AD47"/>
                <w:kern w:val="24"/>
                <w:szCs w:val="24"/>
              </w:rPr>
              <w:t>2043年</w:t>
            </w:r>
            <w:r>
              <w:rPr>
                <w:rFonts w:hint="eastAsia" w:eastAsia="宋体"/>
                <w:b/>
                <w:bCs/>
                <w:kern w:val="24"/>
                <w:szCs w:val="24"/>
              </w:rPr>
              <w:t>生态碳汇的碳消纳量为基期碳排放量的</w:t>
            </w:r>
            <w:r>
              <w:rPr>
                <w:rFonts w:hint="eastAsia" w:eastAsia="宋体"/>
                <w:b/>
                <w:bCs/>
                <w:color w:val="70AD47"/>
                <w:kern w:val="24"/>
                <w:szCs w:val="24"/>
              </w:rPr>
              <w:t>7%</w:t>
            </w:r>
            <w:r>
              <w:rPr>
                <w:rFonts w:hint="eastAsia" w:eastAsia="宋体"/>
                <w:b/>
                <w:bCs/>
                <w:kern w:val="24"/>
                <w:szCs w:val="24"/>
              </w:rPr>
              <w:t>；碳排放大幅下降。</w:t>
            </w:r>
            <w:r>
              <w:rPr>
                <w:rFonts w:eastAsia="宋体"/>
                <w:b/>
                <w:bCs/>
                <w:color w:val="70AD47"/>
                <w:kern w:val="24"/>
                <w:szCs w:val="24"/>
              </w:rPr>
              <w:t>203</w:t>
            </w:r>
            <w:r>
              <w:rPr>
                <w:rFonts w:hint="eastAsia" w:eastAsia="宋体"/>
                <w:b/>
                <w:bCs/>
                <w:color w:val="70AD47"/>
                <w:kern w:val="24"/>
                <w:szCs w:val="24"/>
              </w:rPr>
              <w:t>2</w:t>
            </w:r>
            <w:r>
              <w:rPr>
                <w:rFonts w:eastAsia="宋体"/>
                <w:kern w:val="24"/>
                <w:szCs w:val="24"/>
              </w:rPr>
              <w:t>年的GDP比基期（2020年）</w:t>
            </w:r>
            <w:r>
              <w:rPr>
                <w:rFonts w:eastAsia="宋体"/>
                <w:b/>
                <w:bCs/>
                <w:color w:val="7030A0"/>
                <w:kern w:val="24"/>
                <w:szCs w:val="24"/>
              </w:rPr>
              <w:t>翻一番</w:t>
            </w:r>
            <w:r>
              <w:rPr>
                <w:rFonts w:hint="eastAsia" w:eastAsia="宋体"/>
                <w:kern w:val="24"/>
                <w:szCs w:val="24"/>
              </w:rPr>
              <w:t>。</w:t>
            </w:r>
          </w:p>
        </w:tc>
      </w:tr>
      <w:tr w14:paraId="34A67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E2EFDA"/>
          </w:tcPr>
          <w:p w14:paraId="74C86D1A">
            <w:pPr>
              <w:spacing w:line="400" w:lineRule="exact"/>
              <w:ind w:firstLine="0" w:firstLineChars="0"/>
              <w:jc w:val="center"/>
              <w:rPr>
                <w:rFonts w:eastAsia="宋体"/>
                <w:color w:val="333333"/>
                <w:szCs w:val="24"/>
                <w:shd w:val="clear" w:color="auto" w:fill="FFFFFF"/>
              </w:rPr>
            </w:pPr>
          </w:p>
          <w:p w14:paraId="480E7DC0">
            <w:pPr>
              <w:spacing w:line="400" w:lineRule="exact"/>
              <w:ind w:firstLine="0" w:firstLineChars="0"/>
              <w:jc w:val="center"/>
              <w:rPr>
                <w:rFonts w:eastAsia="宋体"/>
                <w:color w:val="333333"/>
                <w:szCs w:val="24"/>
                <w:shd w:val="clear" w:color="auto" w:fill="FFFFFF"/>
              </w:rPr>
            </w:pPr>
            <w:r>
              <w:rPr>
                <w:rFonts w:hint="eastAsia" w:eastAsia="宋体"/>
                <w:color w:val="333333"/>
                <w:szCs w:val="24"/>
                <w:shd w:val="clear" w:color="auto" w:fill="FFFFFF"/>
              </w:rPr>
              <w:t>阶段Ⅱ</w:t>
            </w:r>
          </w:p>
          <w:p w14:paraId="6EFAF99A">
            <w:pPr>
              <w:spacing w:line="400" w:lineRule="exact"/>
              <w:ind w:firstLine="0" w:firstLineChars="0"/>
              <w:rPr>
                <w:rFonts w:eastAsia="宋体"/>
                <w:kern w:val="24"/>
                <w:szCs w:val="24"/>
              </w:rPr>
            </w:pPr>
            <w:r>
              <w:rPr>
                <w:rFonts w:hint="eastAsia" w:eastAsia="宋体"/>
                <w:color w:val="333333"/>
                <w:sz w:val="22"/>
                <w:shd w:val="clear" w:color="auto" w:fill="FFFFFF"/>
              </w:rPr>
              <w:t>（2045年-2060年）</w:t>
            </w:r>
          </w:p>
        </w:tc>
        <w:tc>
          <w:tcPr>
            <w:tcW w:w="3747" w:type="pct"/>
            <w:tcBorders>
              <w:top w:val="single" w:color="auto" w:sz="4" w:space="0"/>
              <w:left w:val="single" w:color="auto" w:sz="4" w:space="0"/>
              <w:bottom w:val="single" w:color="auto" w:sz="4" w:space="0"/>
              <w:right w:val="single" w:color="auto" w:sz="4" w:space="0"/>
            </w:tcBorders>
          </w:tcPr>
          <w:p w14:paraId="2D467465">
            <w:pPr>
              <w:spacing w:line="400" w:lineRule="exact"/>
              <w:ind w:left="241" w:hanging="241" w:hangingChars="100"/>
              <w:rPr>
                <w:rFonts w:eastAsia="宋体"/>
                <w:kern w:val="24"/>
                <w:szCs w:val="24"/>
              </w:rPr>
            </w:pPr>
            <w:r>
              <w:rPr>
                <w:rFonts w:hint="eastAsia" w:eastAsia="宋体"/>
                <w:b/>
                <w:bCs/>
                <w:kern w:val="24"/>
                <w:szCs w:val="24"/>
              </w:rPr>
              <w:t>主要目标为深度脱碳参与碳汇完成“碳中和”目标</w:t>
            </w:r>
            <w:r>
              <w:rPr>
                <w:rFonts w:hint="eastAsia" w:eastAsia="宋体"/>
                <w:kern w:val="24"/>
                <w:szCs w:val="24"/>
              </w:rPr>
              <w:t>。</w:t>
            </w:r>
          </w:p>
          <w:p w14:paraId="02EC0C74">
            <w:pPr>
              <w:spacing w:line="400" w:lineRule="exact"/>
              <w:ind w:firstLine="480"/>
              <w:rPr>
                <w:rFonts w:eastAsia="宋体"/>
                <w:kern w:val="24"/>
                <w:szCs w:val="24"/>
              </w:rPr>
            </w:pPr>
            <w:r>
              <w:rPr>
                <w:rFonts w:hint="eastAsia" w:eastAsia="宋体"/>
                <w:kern w:val="24"/>
                <w:szCs w:val="24"/>
              </w:rPr>
              <w:t>工业、发电端交通和居民侧的高效、清洁利用潜力基本开发完毕，此时应当考虑碳汇技术，以碳捕集、利用与封存（CCUS）、生物质能碳捕集与封存（BECCS）等</w:t>
            </w:r>
            <w:r>
              <w:rPr>
                <w:rFonts w:hint="eastAsia" w:eastAsia="宋体"/>
                <w:b/>
                <w:bCs/>
                <w:kern w:val="24"/>
                <w:szCs w:val="24"/>
              </w:rPr>
              <w:t>兼顾经济发展与环境问题的负排放技术为主。</w:t>
            </w:r>
            <w:r>
              <w:rPr>
                <w:rFonts w:hint="eastAsia" w:eastAsia="宋体"/>
                <w:kern w:val="24"/>
                <w:szCs w:val="24"/>
              </w:rPr>
              <w:t>实现碳达峰，区域峰值不超过</w:t>
            </w:r>
            <w:r>
              <w:rPr>
                <w:rFonts w:hint="eastAsia" w:eastAsia="宋体"/>
                <w:b/>
                <w:bCs/>
                <w:kern w:val="24"/>
                <w:szCs w:val="24"/>
              </w:rPr>
              <w:t>10亿吨CO2。</w:t>
            </w:r>
            <w:r>
              <w:rPr>
                <w:rFonts w:eastAsia="宋体"/>
                <w:b/>
                <w:bCs/>
                <w:color w:val="70AD47"/>
                <w:kern w:val="24"/>
                <w:szCs w:val="24"/>
              </w:rPr>
              <w:t>20</w:t>
            </w:r>
            <w:r>
              <w:rPr>
                <w:rFonts w:hint="eastAsia" w:eastAsia="宋体"/>
                <w:b/>
                <w:bCs/>
                <w:color w:val="70AD47"/>
                <w:kern w:val="24"/>
                <w:szCs w:val="24"/>
              </w:rPr>
              <w:t>55</w:t>
            </w:r>
            <w:r>
              <w:rPr>
                <w:rFonts w:eastAsia="宋体"/>
                <w:kern w:val="24"/>
                <w:szCs w:val="24"/>
              </w:rPr>
              <w:t>年的GDP比基期（2020年）</w:t>
            </w:r>
            <w:r>
              <w:rPr>
                <w:rFonts w:eastAsia="宋体"/>
                <w:b/>
                <w:bCs/>
                <w:color w:val="7030A0"/>
                <w:kern w:val="24"/>
                <w:szCs w:val="24"/>
              </w:rPr>
              <w:t>翻</w:t>
            </w:r>
            <w:r>
              <w:rPr>
                <w:rFonts w:hint="eastAsia" w:eastAsia="宋体"/>
                <w:b/>
                <w:bCs/>
                <w:color w:val="7030A0"/>
                <w:kern w:val="24"/>
                <w:szCs w:val="24"/>
              </w:rPr>
              <w:t>二</w:t>
            </w:r>
            <w:r>
              <w:rPr>
                <w:rFonts w:eastAsia="宋体"/>
                <w:b/>
                <w:bCs/>
                <w:color w:val="7030A0"/>
                <w:kern w:val="24"/>
                <w:szCs w:val="24"/>
              </w:rPr>
              <w:t>番</w:t>
            </w:r>
            <w:r>
              <w:rPr>
                <w:rFonts w:hint="eastAsia" w:eastAsia="宋体"/>
                <w:kern w:val="24"/>
                <w:szCs w:val="24"/>
              </w:rPr>
              <w:t>。</w:t>
            </w:r>
          </w:p>
        </w:tc>
      </w:tr>
    </w:tbl>
    <w:p w14:paraId="7E5C7A89">
      <w:pPr>
        <w:ind w:firstLine="0" w:firstLineChars="0"/>
        <w:rPr>
          <w:b/>
          <w:bCs/>
        </w:rPr>
      </w:pPr>
      <w:r>
        <w:rPr>
          <w:rFonts w:hint="eastAsia"/>
          <w:b/>
          <w:bCs/>
        </w:rPr>
        <w:t>5</w:t>
      </w:r>
      <w:r>
        <w:rPr>
          <w:b/>
          <w:bCs/>
        </w:rPr>
        <w:t xml:space="preserve">.3.2 </w:t>
      </w:r>
      <w:r>
        <w:rPr>
          <w:rFonts w:hint="eastAsia"/>
          <w:b/>
          <w:bCs/>
        </w:rPr>
        <w:t>多情景下碳排放量核算模型</w:t>
      </w:r>
    </w:p>
    <w:p w14:paraId="2390A1B9">
      <w:pPr>
        <w:ind w:firstLine="482"/>
        <w:rPr>
          <w:b/>
          <w:bCs/>
        </w:rPr>
      </w:pPr>
      <w:r>
        <w:rPr>
          <w:rFonts w:hint="eastAsia"/>
          <w:b/>
          <w:bCs/>
        </w:rPr>
        <w:t>模型假设：</w:t>
      </w:r>
    </w:p>
    <w:p w14:paraId="79584A9E">
      <w:pPr>
        <w:ind w:firstLine="480"/>
      </w:pPr>
      <w:bookmarkStart w:id="3" w:name="_Hlk146571746"/>
      <w:r>
        <w:rPr>
          <w:rFonts w:hint="eastAsia"/>
        </w:rPr>
        <w:t>假设1，2035年的GDP比基期（2020年）翻一番；2060年比基期翻两番；</w:t>
      </w:r>
    </w:p>
    <w:p w14:paraId="4B338077">
      <w:pPr>
        <w:ind w:firstLine="480"/>
      </w:pPr>
      <w:r>
        <w:rPr>
          <w:rFonts w:hint="eastAsia"/>
        </w:rPr>
        <w:t>假设2，2060年生态碳汇的碳消纳量为基期碳排放量的10%；</w:t>
      </w:r>
    </w:p>
    <w:p w14:paraId="6CF11FA7">
      <w:pPr>
        <w:ind w:firstLine="480"/>
      </w:pPr>
      <w:r>
        <w:rPr>
          <w:rFonts w:hint="eastAsia"/>
        </w:rPr>
        <w:t>假设3，2060年工程碳汇或碳交易的碳消纳量为基期碳排放量10%。</w:t>
      </w:r>
    </w:p>
    <w:bookmarkEnd w:id="3"/>
    <w:p w14:paraId="7DA3BDFF">
      <w:pPr>
        <w:ind w:firstLine="482"/>
      </w:pPr>
      <w:r>
        <w:rPr>
          <w:rFonts w:hint="eastAsia"/>
          <w:b/>
          <w:bCs/>
        </w:rPr>
        <w:t>情景1核算模型</w:t>
      </w:r>
      <w:r>
        <w:rPr>
          <w:rFonts w:hint="eastAsia"/>
        </w:rPr>
        <w:t>：</w:t>
      </w:r>
    </w:p>
    <w:p w14:paraId="274A0453">
      <w:pPr>
        <w:ind w:firstLine="480"/>
      </w:pPr>
      <w:r>
        <w:rPr>
          <w:rFonts w:hint="eastAsia"/>
        </w:rPr>
        <w:t>碳排放BAU（Business as Usual）模式下的预测模型是一种用于预测未来碳排放量的模型。它基于当前的经济和能源发展趋势，假设未来的发展将保持不变，即不采取额外的碳减排措施。这种模型通常使用历史数据和统计方法来建立，可以基于线性回归、时间序列分析或其他相关的方法。它考虑到各种因素，如人口增长、经济增长、能源消耗等，来估计未来的碳排放量。团队基于该模型对情景1碳排放量进行核算。</w:t>
      </w:r>
    </w:p>
    <w:p w14:paraId="74EBFCAE">
      <w:pPr>
        <w:ind w:firstLine="482"/>
        <w:rPr>
          <w:b/>
          <w:bCs/>
        </w:rPr>
      </w:pPr>
      <w:r>
        <w:rPr>
          <w:rFonts w:hint="eastAsia"/>
          <w:b/>
          <w:bCs/>
        </w:rPr>
        <w:t>情景</w:t>
      </w:r>
      <w:r>
        <w:rPr>
          <w:b/>
          <w:bCs/>
        </w:rPr>
        <w:t>2</w:t>
      </w:r>
      <w:r>
        <w:rPr>
          <w:rFonts w:hint="eastAsia"/>
          <w:b/>
          <w:bCs/>
        </w:rPr>
        <w:t>核算模型：</w:t>
      </w:r>
    </w:p>
    <w:p w14:paraId="1E974174">
      <w:pPr>
        <w:ind w:firstLine="480"/>
      </w:pPr>
      <w:r>
        <w:rPr>
          <w:rFonts w:hint="eastAsia"/>
        </w:rPr>
        <w:t>团队在问题二形成了诸多满足要求的碳排放量预测模型，但在不同情景下，需要对预测模型进行区分和筛选。针对按时完成碳达峰的情景，根据KAYA模型，</w:t>
      </w:r>
    </w:p>
    <w:p w14:paraId="70C1B4DC">
      <w:pPr>
        <w:ind w:firstLine="3559" w:firstLineChars="1483"/>
      </w:pPr>
      <m:oMath>
        <m:r>
          <m:rPr/>
          <w:rPr>
            <w:rFonts w:hint="eastAsia" w:ascii="Cambria Math" w:hAnsi="Cambria Math"/>
          </w:rPr>
          <m:t>CO2=P</m:t>
        </m:r>
        <m:r>
          <m:rPr/>
          <w:rPr>
            <w:rFonts w:hint="eastAsia" w:ascii="MS Gothic" w:hAnsi="MS Gothic" w:eastAsia="MS Gothic" w:cs="MS Gothic"/>
          </w:rPr>
          <m:t>∗</m:t>
        </m:r>
        <m:f>
          <m:fPr>
            <m:ctrlPr>
              <w:rPr>
                <w:rFonts w:ascii="Cambria Math" w:hAnsi="Cambria Math"/>
                <w:i/>
              </w:rPr>
            </m:ctrlPr>
          </m:fPr>
          <m:num>
            <m:r>
              <m:rPr/>
              <w:rPr>
                <w:rFonts w:hint="eastAsia" w:ascii="Cambria Math" w:hAnsi="Cambria Math"/>
              </w:rPr>
              <m:t>GDP</m:t>
            </m:r>
            <m:ctrlPr>
              <w:rPr>
                <w:rFonts w:ascii="Cambria Math" w:hAnsi="Cambria Math" w:eastAsia="MS Gothic" w:cs="MS Gothic"/>
                <w:i/>
              </w:rPr>
            </m:ctrlPr>
          </m:num>
          <m:den>
            <m:r>
              <m:rPr/>
              <w:rPr>
                <w:rFonts w:hint="eastAsia" w:ascii="Cambria Math" w:hAnsi="Cambria Math"/>
              </w:rPr>
              <m:t>P</m:t>
            </m:r>
            <m:ctrlPr>
              <w:rPr>
                <w:rFonts w:ascii="Cambria Math" w:hAnsi="Cambria Math"/>
                <w:i/>
              </w:rPr>
            </m:ctrlPr>
          </m:den>
        </m:f>
        <m:r>
          <m:rPr/>
          <w:rPr>
            <w:rFonts w:hint="eastAsia" w:ascii="MS Gothic" w:hAnsi="MS Gothic" w:eastAsia="MS Gothic" w:cs="MS Gothic"/>
          </w:rPr>
          <m:t>∗</m:t>
        </m:r>
        <m:f>
          <m:fPr>
            <m:ctrlPr>
              <w:rPr>
                <w:rFonts w:ascii="Cambria Math" w:hAnsi="Cambria Math"/>
                <w:i/>
              </w:rPr>
            </m:ctrlPr>
          </m:fPr>
          <m:num>
            <m:r>
              <m:rPr/>
              <w:rPr>
                <w:rFonts w:hint="eastAsia" w:ascii="Cambria Math" w:hAnsi="Cambria Math"/>
              </w:rPr>
              <m:t>E</m:t>
            </m:r>
            <m:ctrlPr>
              <w:rPr>
                <w:rFonts w:ascii="Cambria Math" w:hAnsi="Cambria Math"/>
                <w:i/>
              </w:rPr>
            </m:ctrlPr>
          </m:num>
          <m:den>
            <m:r>
              <m:rPr/>
              <w:rPr>
                <w:rFonts w:hint="eastAsia" w:ascii="Cambria Math" w:hAnsi="Cambria Math"/>
              </w:rPr>
              <m:t>GDP</m:t>
            </m:r>
            <m:ctrlPr>
              <w:rPr>
                <w:rFonts w:ascii="Cambria Math" w:hAnsi="Cambria Math"/>
                <w:i/>
              </w:rPr>
            </m:ctrlPr>
          </m:den>
        </m:f>
        <m:r>
          <m:rPr/>
          <w:rPr>
            <w:rFonts w:hint="eastAsia" w:ascii="MS Gothic" w:hAnsi="MS Gothic" w:eastAsia="MS Gothic" w:cs="MS Gothic"/>
          </w:rPr>
          <m:t>∗</m:t>
        </m:r>
        <m:f>
          <m:fPr>
            <m:ctrlPr>
              <w:rPr>
                <w:rFonts w:ascii="Cambria Math" w:hAnsi="Cambria Math"/>
                <w:i/>
              </w:rPr>
            </m:ctrlPr>
          </m:fPr>
          <m:num>
            <m:r>
              <m:rPr/>
              <w:rPr>
                <w:rFonts w:hint="eastAsia" w:ascii="Cambria Math" w:hAnsi="Cambria Math"/>
              </w:rPr>
              <m:t>CO2</m:t>
            </m:r>
            <m:ctrlPr>
              <w:rPr>
                <w:rFonts w:ascii="Cambria Math" w:hAnsi="Cambria Math" w:eastAsia="MS Gothic" w:cs="MS Gothic"/>
                <w:i/>
              </w:rPr>
            </m:ctrlPr>
          </m:num>
          <m:den>
            <m:r>
              <m:rPr/>
              <w:rPr>
                <w:rFonts w:hint="eastAsia" w:ascii="Cambria Math" w:hAnsi="Cambria Math"/>
              </w:rPr>
              <m:t>E</m:t>
            </m:r>
            <m:ctrlPr>
              <w:rPr>
                <w:rFonts w:ascii="Cambria Math" w:hAnsi="Cambria Math"/>
                <w:i/>
              </w:rPr>
            </m:ctrlPr>
          </m:den>
        </m:f>
      </m:oMath>
      <w:r>
        <w:rPr>
          <w:rFonts w:hint="eastAsia"/>
        </w:rPr>
        <w:t xml:space="preserve"> </w:t>
      </w:r>
      <w:r>
        <w:t xml:space="preserve">                     </w:t>
      </w:r>
      <w:r>
        <w:rPr>
          <w:rFonts w:hint="eastAsia"/>
        </w:rPr>
        <w:t>（1</w:t>
      </w:r>
      <w:r>
        <w:t>1</w:t>
      </w:r>
      <w:r>
        <w:rPr>
          <w:rFonts w:hint="eastAsia"/>
        </w:rPr>
        <w:t>）</w:t>
      </w:r>
    </w:p>
    <w:p w14:paraId="3072A4B6">
      <w:pPr>
        <w:spacing w:line="400" w:lineRule="exact"/>
        <w:ind w:firstLine="480"/>
      </w:pPr>
      <w:r>
        <w:rPr>
          <w:rFonts w:hint="eastAsia"/>
        </w:rPr>
        <w:t>将所需数据代入后，得出的数值与问题二要求一建立的模型相一致。因此选用该模型作为基准，利用问题二构建的关联模型，计算在基准情景（按时版）下人口、能源消费量的对应值，在公式（9）的基础上，</w:t>
      </w:r>
    </w:p>
    <w:p w14:paraId="5D64AFDF">
      <w:pPr>
        <w:spacing w:line="400" w:lineRule="exact"/>
        <w:ind w:firstLine="480"/>
        <w:rPr>
          <w:rFonts w:ascii="宋体" w:hAnsi="宋体"/>
          <w:color w:val="FF0000"/>
          <w:kern w:val="24"/>
          <w:szCs w:val="24"/>
        </w:rPr>
      </w:pPr>
      <w:r>
        <w:rPr>
          <w:rFonts w:hint="eastAsia"/>
        </w:rPr>
        <w:t>得出数值与kaya模型相一致。预测结果如下表所示，</w:t>
      </w:r>
    </w:p>
    <w:p w14:paraId="51D0B7AD">
      <w:pPr>
        <w:pStyle w:val="5"/>
        <w:keepNext/>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10</w:t>
      </w:r>
      <w:r>
        <w:fldChar w:fldCharType="end"/>
      </w:r>
      <w:r>
        <w:t xml:space="preserve"> </w:t>
      </w:r>
      <w:r>
        <w:rPr>
          <w:rFonts w:hint="eastAsia"/>
        </w:rPr>
        <w:t>预测结果</w:t>
      </w:r>
    </w:p>
    <w:tbl>
      <w:tblPr>
        <w:tblStyle w:val="19"/>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07"/>
        <w:gridCol w:w="919"/>
        <w:gridCol w:w="1135"/>
        <w:gridCol w:w="1080"/>
        <w:gridCol w:w="1296"/>
        <w:gridCol w:w="651"/>
        <w:gridCol w:w="2584"/>
      </w:tblGrid>
      <w:tr w14:paraId="25701F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96" w:type="pct"/>
            <w:tcBorders>
              <w:bottom w:val="single" w:color="auto" w:sz="12" w:space="0"/>
            </w:tcBorders>
            <w:shd w:val="clear" w:color="auto" w:fill="auto"/>
            <w:noWrap/>
            <w:vAlign w:val="center"/>
          </w:tcPr>
          <w:p w14:paraId="191758ED">
            <w:pPr>
              <w:widowControl/>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年份</w:t>
            </w:r>
          </w:p>
        </w:tc>
        <w:tc>
          <w:tcPr>
            <w:tcW w:w="480" w:type="pct"/>
            <w:tcBorders>
              <w:bottom w:val="single" w:color="auto" w:sz="12" w:space="0"/>
            </w:tcBorders>
            <w:shd w:val="clear" w:color="auto" w:fill="auto"/>
            <w:noWrap/>
            <w:vAlign w:val="center"/>
          </w:tcPr>
          <w:p w14:paraId="2FBB3006">
            <w:pPr>
              <w:widowControl/>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人口</w:t>
            </w:r>
          </w:p>
        </w:tc>
        <w:tc>
          <w:tcPr>
            <w:tcW w:w="593" w:type="pct"/>
            <w:tcBorders>
              <w:bottom w:val="single" w:color="auto" w:sz="12" w:space="0"/>
            </w:tcBorders>
            <w:shd w:val="clear" w:color="auto" w:fill="auto"/>
            <w:noWrap/>
            <w:vAlign w:val="center"/>
          </w:tcPr>
          <w:p w14:paraId="753FE9A2">
            <w:pPr>
              <w:widowControl/>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经济</w:t>
            </w:r>
          </w:p>
        </w:tc>
        <w:tc>
          <w:tcPr>
            <w:tcW w:w="564" w:type="pct"/>
            <w:tcBorders>
              <w:bottom w:val="single" w:color="auto" w:sz="12" w:space="0"/>
            </w:tcBorders>
            <w:shd w:val="clear" w:color="auto" w:fill="auto"/>
            <w:noWrap/>
            <w:vAlign w:val="center"/>
          </w:tcPr>
          <w:p w14:paraId="2FF2E2B0">
            <w:pPr>
              <w:widowControl/>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碳排放量</w:t>
            </w:r>
          </w:p>
        </w:tc>
        <w:tc>
          <w:tcPr>
            <w:tcW w:w="677" w:type="pct"/>
            <w:tcBorders>
              <w:bottom w:val="single" w:color="auto" w:sz="12" w:space="0"/>
            </w:tcBorders>
            <w:shd w:val="clear" w:color="auto" w:fill="auto"/>
            <w:noWrap/>
            <w:vAlign w:val="center"/>
          </w:tcPr>
          <w:p w14:paraId="5FEC4546">
            <w:pPr>
              <w:widowControl/>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能源消费量</w:t>
            </w:r>
          </w:p>
        </w:tc>
        <w:tc>
          <w:tcPr>
            <w:tcW w:w="340" w:type="pct"/>
            <w:tcBorders>
              <w:bottom w:val="single" w:color="auto" w:sz="12" w:space="0"/>
            </w:tcBorders>
            <w:shd w:val="clear" w:color="auto" w:fill="auto"/>
            <w:vAlign w:val="center"/>
          </w:tcPr>
          <w:p w14:paraId="68ACD48E">
            <w:pPr>
              <w:widowControl/>
              <w:ind w:firstLine="0" w:firstLineChars="0"/>
              <w:jc w:val="center"/>
              <w:rPr>
                <w:rFonts w:ascii="宋体" w:hAnsi="宋体" w:cs="宋体"/>
                <w:color w:val="000000"/>
                <w:kern w:val="0"/>
                <w:sz w:val="21"/>
                <w:szCs w:val="21"/>
              </w:rPr>
            </w:pPr>
            <w:r>
              <w:rPr>
                <w:rFonts w:hint="eastAsia"/>
                <w:color w:val="000000"/>
                <w:sz w:val="21"/>
                <w:szCs w:val="21"/>
              </w:rPr>
              <w:t>单位</w:t>
            </w:r>
            <w:r>
              <w:rPr>
                <w:color w:val="000000"/>
                <w:sz w:val="21"/>
                <w:szCs w:val="21"/>
              </w:rPr>
              <w:t>GDP</w:t>
            </w:r>
            <w:r>
              <w:rPr>
                <w:rFonts w:hint="eastAsia"/>
                <w:color w:val="000000"/>
                <w:sz w:val="21"/>
                <w:szCs w:val="21"/>
              </w:rPr>
              <w:t>能耗</w:t>
            </w:r>
          </w:p>
        </w:tc>
        <w:tc>
          <w:tcPr>
            <w:tcW w:w="1350" w:type="pct"/>
            <w:tcBorders>
              <w:bottom w:val="single" w:color="auto" w:sz="12" w:space="0"/>
            </w:tcBorders>
            <w:shd w:val="clear" w:color="auto" w:fill="auto"/>
            <w:noWrap/>
            <w:vAlign w:val="center"/>
          </w:tcPr>
          <w:p w14:paraId="062A7250">
            <w:pPr>
              <w:widowControl/>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单位能耗二氧化碳排放量</w:t>
            </w:r>
          </w:p>
        </w:tc>
      </w:tr>
      <w:tr w14:paraId="1655B1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996" w:type="pct"/>
            <w:tcBorders>
              <w:top w:val="single" w:color="auto" w:sz="12" w:space="0"/>
            </w:tcBorders>
            <w:shd w:val="clear" w:color="auto" w:fill="auto"/>
            <w:noWrap/>
            <w:vAlign w:val="center"/>
          </w:tcPr>
          <w:p w14:paraId="5971C966">
            <w:pPr>
              <w:widowControl/>
              <w:ind w:firstLine="0" w:firstLineChars="0"/>
              <w:jc w:val="center"/>
              <w:rPr>
                <w:rFonts w:eastAsia="等线"/>
                <w:color w:val="000000"/>
                <w:kern w:val="0"/>
                <w:sz w:val="21"/>
                <w:szCs w:val="21"/>
              </w:rPr>
            </w:pPr>
            <w:r>
              <w:rPr>
                <w:rFonts w:eastAsia="等线"/>
                <w:color w:val="000000"/>
                <w:kern w:val="0"/>
                <w:sz w:val="21"/>
                <w:szCs w:val="21"/>
              </w:rPr>
              <w:t xml:space="preserve">2021 </w:t>
            </w:r>
          </w:p>
        </w:tc>
        <w:tc>
          <w:tcPr>
            <w:tcW w:w="480" w:type="pct"/>
            <w:tcBorders>
              <w:top w:val="single" w:color="auto" w:sz="12" w:space="0"/>
            </w:tcBorders>
            <w:shd w:val="clear" w:color="auto" w:fill="auto"/>
            <w:noWrap/>
            <w:vAlign w:val="center"/>
          </w:tcPr>
          <w:p w14:paraId="7D48281D">
            <w:pPr>
              <w:widowControl/>
              <w:ind w:firstLine="0" w:firstLineChars="0"/>
              <w:jc w:val="center"/>
              <w:rPr>
                <w:rFonts w:eastAsia="等线"/>
                <w:color w:val="000000"/>
                <w:kern w:val="0"/>
                <w:sz w:val="21"/>
                <w:szCs w:val="21"/>
              </w:rPr>
            </w:pPr>
            <w:r>
              <w:rPr>
                <w:rFonts w:eastAsia="等线"/>
                <w:color w:val="000000"/>
                <w:kern w:val="0"/>
                <w:sz w:val="21"/>
                <w:szCs w:val="21"/>
              </w:rPr>
              <w:t xml:space="preserve">8591.62 </w:t>
            </w:r>
          </w:p>
        </w:tc>
        <w:tc>
          <w:tcPr>
            <w:tcW w:w="593" w:type="pct"/>
            <w:tcBorders>
              <w:top w:val="single" w:color="auto" w:sz="12" w:space="0"/>
            </w:tcBorders>
            <w:shd w:val="clear" w:color="auto" w:fill="auto"/>
            <w:noWrap/>
            <w:vAlign w:val="center"/>
          </w:tcPr>
          <w:p w14:paraId="009E2E6D">
            <w:pPr>
              <w:widowControl/>
              <w:ind w:firstLine="0" w:firstLineChars="0"/>
              <w:jc w:val="center"/>
              <w:rPr>
                <w:rFonts w:eastAsia="等线"/>
                <w:color w:val="000000"/>
                <w:kern w:val="0"/>
                <w:sz w:val="21"/>
                <w:szCs w:val="21"/>
              </w:rPr>
            </w:pPr>
            <w:r>
              <w:rPr>
                <w:rFonts w:eastAsia="等线"/>
                <w:color w:val="000000"/>
                <w:kern w:val="0"/>
                <w:sz w:val="21"/>
                <w:szCs w:val="21"/>
              </w:rPr>
              <w:t xml:space="preserve">94782.86 </w:t>
            </w:r>
          </w:p>
        </w:tc>
        <w:tc>
          <w:tcPr>
            <w:tcW w:w="564" w:type="pct"/>
            <w:tcBorders>
              <w:top w:val="single" w:color="auto" w:sz="12" w:space="0"/>
            </w:tcBorders>
            <w:shd w:val="clear" w:color="auto" w:fill="auto"/>
            <w:noWrap/>
            <w:vAlign w:val="center"/>
          </w:tcPr>
          <w:p w14:paraId="4F67BB8D">
            <w:pPr>
              <w:widowControl/>
              <w:ind w:firstLine="0" w:firstLineChars="0"/>
              <w:jc w:val="center"/>
              <w:rPr>
                <w:rFonts w:eastAsia="等线"/>
                <w:color w:val="000000"/>
                <w:kern w:val="0"/>
                <w:sz w:val="21"/>
                <w:szCs w:val="21"/>
              </w:rPr>
            </w:pPr>
            <w:r>
              <w:rPr>
                <w:rFonts w:eastAsia="等线"/>
                <w:color w:val="000000"/>
                <w:kern w:val="0"/>
                <w:sz w:val="21"/>
                <w:szCs w:val="21"/>
              </w:rPr>
              <w:t xml:space="preserve">78473.42 </w:t>
            </w:r>
          </w:p>
        </w:tc>
        <w:tc>
          <w:tcPr>
            <w:tcW w:w="677" w:type="pct"/>
            <w:tcBorders>
              <w:top w:val="single" w:color="auto" w:sz="12" w:space="0"/>
            </w:tcBorders>
            <w:shd w:val="clear" w:color="auto" w:fill="auto"/>
            <w:noWrap/>
            <w:vAlign w:val="center"/>
          </w:tcPr>
          <w:p w14:paraId="759A3464">
            <w:pPr>
              <w:widowControl/>
              <w:ind w:firstLine="0" w:firstLineChars="0"/>
              <w:jc w:val="center"/>
              <w:rPr>
                <w:rFonts w:eastAsia="等线"/>
                <w:color w:val="000000"/>
                <w:kern w:val="0"/>
                <w:sz w:val="21"/>
                <w:szCs w:val="21"/>
              </w:rPr>
            </w:pPr>
            <w:r>
              <w:rPr>
                <w:rFonts w:eastAsia="等线"/>
                <w:color w:val="000000"/>
                <w:kern w:val="0"/>
                <w:sz w:val="21"/>
                <w:szCs w:val="21"/>
              </w:rPr>
              <w:t xml:space="preserve">33073.34 </w:t>
            </w:r>
          </w:p>
        </w:tc>
        <w:tc>
          <w:tcPr>
            <w:tcW w:w="340" w:type="pct"/>
            <w:tcBorders>
              <w:top w:val="single" w:color="auto" w:sz="12" w:space="0"/>
            </w:tcBorders>
            <w:shd w:val="clear" w:color="auto" w:fill="auto"/>
            <w:vAlign w:val="center"/>
          </w:tcPr>
          <w:p w14:paraId="01765506">
            <w:pPr>
              <w:widowControl/>
              <w:ind w:firstLine="0" w:firstLineChars="0"/>
              <w:jc w:val="center"/>
              <w:rPr>
                <w:rFonts w:eastAsia="等线"/>
                <w:color w:val="000000"/>
                <w:kern w:val="0"/>
                <w:sz w:val="21"/>
                <w:szCs w:val="21"/>
              </w:rPr>
            </w:pPr>
            <w:r>
              <w:rPr>
                <w:rFonts w:eastAsia="等线"/>
                <w:color w:val="000000"/>
                <w:sz w:val="21"/>
                <w:szCs w:val="21"/>
              </w:rPr>
              <w:t xml:space="preserve">0.35 </w:t>
            </w:r>
          </w:p>
        </w:tc>
        <w:tc>
          <w:tcPr>
            <w:tcW w:w="1350" w:type="pct"/>
            <w:tcBorders>
              <w:top w:val="single" w:color="auto" w:sz="12" w:space="0"/>
            </w:tcBorders>
            <w:shd w:val="clear" w:color="auto" w:fill="auto"/>
            <w:noWrap/>
            <w:vAlign w:val="center"/>
          </w:tcPr>
          <w:p w14:paraId="37D8E1A8">
            <w:pPr>
              <w:widowControl/>
              <w:ind w:firstLine="0" w:firstLineChars="0"/>
              <w:jc w:val="center"/>
              <w:rPr>
                <w:rFonts w:eastAsia="等线"/>
                <w:color w:val="000000"/>
                <w:kern w:val="0"/>
                <w:sz w:val="21"/>
                <w:szCs w:val="21"/>
              </w:rPr>
            </w:pPr>
            <w:r>
              <w:rPr>
                <w:rFonts w:eastAsia="等线"/>
                <w:color w:val="000000"/>
                <w:kern w:val="0"/>
                <w:sz w:val="21"/>
                <w:szCs w:val="21"/>
              </w:rPr>
              <w:t xml:space="preserve">2.37 </w:t>
            </w:r>
          </w:p>
        </w:tc>
      </w:tr>
      <w:tr w14:paraId="39470A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996" w:type="pct"/>
            <w:shd w:val="clear" w:color="auto" w:fill="auto"/>
            <w:noWrap/>
            <w:vAlign w:val="center"/>
          </w:tcPr>
          <w:p w14:paraId="707F33C1">
            <w:pPr>
              <w:widowControl/>
              <w:ind w:firstLine="0" w:firstLineChars="0"/>
              <w:jc w:val="center"/>
              <w:rPr>
                <w:rFonts w:eastAsia="等线"/>
                <w:color w:val="000000"/>
                <w:kern w:val="0"/>
                <w:sz w:val="21"/>
                <w:szCs w:val="21"/>
              </w:rPr>
            </w:pPr>
            <w:r>
              <w:rPr>
                <w:rFonts w:eastAsia="等线"/>
                <w:color w:val="000000"/>
                <w:kern w:val="0"/>
                <w:sz w:val="21"/>
                <w:szCs w:val="21"/>
              </w:rPr>
              <w:t xml:space="preserve">2022 </w:t>
            </w:r>
          </w:p>
        </w:tc>
        <w:tc>
          <w:tcPr>
            <w:tcW w:w="480" w:type="pct"/>
            <w:shd w:val="clear" w:color="auto" w:fill="auto"/>
            <w:noWrap/>
            <w:vAlign w:val="center"/>
          </w:tcPr>
          <w:p w14:paraId="5AF16514">
            <w:pPr>
              <w:widowControl/>
              <w:ind w:firstLine="0" w:firstLineChars="0"/>
              <w:jc w:val="center"/>
              <w:rPr>
                <w:rFonts w:eastAsia="等线"/>
                <w:color w:val="000000"/>
                <w:kern w:val="0"/>
                <w:sz w:val="21"/>
                <w:szCs w:val="21"/>
              </w:rPr>
            </w:pPr>
            <w:r>
              <w:rPr>
                <w:rFonts w:eastAsia="等线"/>
                <w:color w:val="000000"/>
                <w:kern w:val="0"/>
                <w:sz w:val="21"/>
                <w:szCs w:val="21"/>
              </w:rPr>
              <w:t xml:space="preserve">8643.53 </w:t>
            </w:r>
          </w:p>
        </w:tc>
        <w:tc>
          <w:tcPr>
            <w:tcW w:w="593" w:type="pct"/>
            <w:shd w:val="clear" w:color="auto" w:fill="auto"/>
            <w:noWrap/>
            <w:vAlign w:val="center"/>
          </w:tcPr>
          <w:p w14:paraId="45BA2D1E">
            <w:pPr>
              <w:widowControl/>
              <w:ind w:firstLine="0" w:firstLineChars="0"/>
              <w:jc w:val="center"/>
              <w:rPr>
                <w:rFonts w:eastAsia="等线"/>
                <w:color w:val="000000"/>
                <w:kern w:val="0"/>
                <w:sz w:val="21"/>
                <w:szCs w:val="21"/>
              </w:rPr>
            </w:pPr>
            <w:r>
              <w:rPr>
                <w:rFonts w:eastAsia="等线"/>
                <w:color w:val="000000"/>
                <w:kern w:val="0"/>
                <w:sz w:val="21"/>
                <w:szCs w:val="21"/>
              </w:rPr>
              <w:t xml:space="preserve">99656.16 </w:t>
            </w:r>
          </w:p>
        </w:tc>
        <w:tc>
          <w:tcPr>
            <w:tcW w:w="564" w:type="pct"/>
            <w:shd w:val="clear" w:color="auto" w:fill="auto"/>
            <w:noWrap/>
            <w:vAlign w:val="center"/>
          </w:tcPr>
          <w:p w14:paraId="1261A78D">
            <w:pPr>
              <w:widowControl/>
              <w:ind w:firstLine="0" w:firstLineChars="0"/>
              <w:jc w:val="center"/>
              <w:rPr>
                <w:rFonts w:eastAsia="等线"/>
                <w:color w:val="000000"/>
                <w:kern w:val="0"/>
                <w:sz w:val="21"/>
                <w:szCs w:val="21"/>
              </w:rPr>
            </w:pPr>
            <w:r>
              <w:rPr>
                <w:rFonts w:eastAsia="等线"/>
                <w:color w:val="000000"/>
                <w:kern w:val="0"/>
                <w:sz w:val="21"/>
                <w:szCs w:val="21"/>
              </w:rPr>
              <w:t xml:space="preserve">76147.76 </w:t>
            </w:r>
          </w:p>
        </w:tc>
        <w:tc>
          <w:tcPr>
            <w:tcW w:w="677" w:type="pct"/>
            <w:shd w:val="clear" w:color="auto" w:fill="auto"/>
            <w:noWrap/>
            <w:vAlign w:val="center"/>
          </w:tcPr>
          <w:p w14:paraId="1C5C6224">
            <w:pPr>
              <w:widowControl/>
              <w:ind w:firstLine="0" w:firstLineChars="0"/>
              <w:jc w:val="center"/>
              <w:rPr>
                <w:rFonts w:eastAsia="等线"/>
                <w:color w:val="000000"/>
                <w:kern w:val="0"/>
                <w:sz w:val="21"/>
                <w:szCs w:val="21"/>
              </w:rPr>
            </w:pPr>
            <w:r>
              <w:rPr>
                <w:rFonts w:eastAsia="等线"/>
                <w:color w:val="000000"/>
                <w:kern w:val="0"/>
                <w:sz w:val="21"/>
                <w:szCs w:val="21"/>
              </w:rPr>
              <w:t xml:space="preserve">33739.79 </w:t>
            </w:r>
          </w:p>
        </w:tc>
        <w:tc>
          <w:tcPr>
            <w:tcW w:w="340" w:type="pct"/>
            <w:shd w:val="clear" w:color="auto" w:fill="auto"/>
            <w:vAlign w:val="center"/>
          </w:tcPr>
          <w:p w14:paraId="6234082B">
            <w:pPr>
              <w:widowControl/>
              <w:ind w:firstLine="0" w:firstLineChars="0"/>
              <w:jc w:val="center"/>
              <w:rPr>
                <w:rFonts w:eastAsia="等线"/>
                <w:color w:val="000000"/>
                <w:kern w:val="0"/>
                <w:sz w:val="21"/>
                <w:szCs w:val="21"/>
              </w:rPr>
            </w:pPr>
            <w:r>
              <w:rPr>
                <w:rFonts w:eastAsia="等线"/>
                <w:color w:val="000000"/>
                <w:sz w:val="21"/>
                <w:szCs w:val="21"/>
              </w:rPr>
              <w:t xml:space="preserve">0.34 </w:t>
            </w:r>
          </w:p>
        </w:tc>
        <w:tc>
          <w:tcPr>
            <w:tcW w:w="1350" w:type="pct"/>
            <w:shd w:val="clear" w:color="auto" w:fill="auto"/>
            <w:noWrap/>
            <w:vAlign w:val="center"/>
          </w:tcPr>
          <w:p w14:paraId="1F2DC0B8">
            <w:pPr>
              <w:widowControl/>
              <w:ind w:firstLine="0" w:firstLineChars="0"/>
              <w:jc w:val="center"/>
              <w:rPr>
                <w:rFonts w:eastAsia="等线"/>
                <w:color w:val="000000"/>
                <w:kern w:val="0"/>
                <w:sz w:val="21"/>
                <w:szCs w:val="21"/>
              </w:rPr>
            </w:pPr>
            <w:r>
              <w:rPr>
                <w:rFonts w:eastAsia="等线"/>
                <w:color w:val="000000"/>
                <w:kern w:val="0"/>
                <w:sz w:val="21"/>
                <w:szCs w:val="21"/>
              </w:rPr>
              <w:t xml:space="preserve">2.26 </w:t>
            </w:r>
          </w:p>
        </w:tc>
      </w:tr>
      <w:tr w14:paraId="792EA7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996" w:type="pct"/>
            <w:shd w:val="clear" w:color="auto" w:fill="auto"/>
            <w:noWrap/>
            <w:vAlign w:val="center"/>
          </w:tcPr>
          <w:p w14:paraId="7576C1B3">
            <w:pPr>
              <w:widowControl/>
              <w:ind w:firstLine="0" w:firstLineChars="0"/>
              <w:jc w:val="center"/>
              <w:rPr>
                <w:rFonts w:eastAsia="等线"/>
                <w:color w:val="000000"/>
                <w:kern w:val="0"/>
                <w:sz w:val="21"/>
                <w:szCs w:val="21"/>
              </w:rPr>
            </w:pPr>
            <w:r>
              <w:rPr>
                <w:rFonts w:eastAsia="等线"/>
                <w:color w:val="000000"/>
                <w:kern w:val="0"/>
                <w:sz w:val="21"/>
                <w:szCs w:val="21"/>
              </w:rPr>
              <w:t xml:space="preserve">2023 </w:t>
            </w:r>
          </w:p>
        </w:tc>
        <w:tc>
          <w:tcPr>
            <w:tcW w:w="480" w:type="pct"/>
            <w:shd w:val="clear" w:color="auto" w:fill="auto"/>
            <w:noWrap/>
            <w:vAlign w:val="center"/>
          </w:tcPr>
          <w:p w14:paraId="67F1DEB2">
            <w:pPr>
              <w:widowControl/>
              <w:ind w:firstLine="0" w:firstLineChars="0"/>
              <w:jc w:val="center"/>
              <w:rPr>
                <w:rFonts w:eastAsia="等线"/>
                <w:color w:val="000000"/>
                <w:kern w:val="0"/>
                <w:sz w:val="21"/>
                <w:szCs w:val="21"/>
              </w:rPr>
            </w:pPr>
            <w:r>
              <w:rPr>
                <w:rFonts w:eastAsia="等线"/>
                <w:color w:val="000000"/>
                <w:kern w:val="0"/>
                <w:sz w:val="21"/>
                <w:szCs w:val="21"/>
              </w:rPr>
              <w:t xml:space="preserve">8695.76 </w:t>
            </w:r>
          </w:p>
        </w:tc>
        <w:tc>
          <w:tcPr>
            <w:tcW w:w="593" w:type="pct"/>
            <w:shd w:val="clear" w:color="auto" w:fill="auto"/>
            <w:noWrap/>
            <w:vAlign w:val="center"/>
          </w:tcPr>
          <w:p w14:paraId="27D0CFA8">
            <w:pPr>
              <w:widowControl/>
              <w:ind w:firstLine="0" w:firstLineChars="0"/>
              <w:jc w:val="center"/>
              <w:rPr>
                <w:rFonts w:eastAsia="等线"/>
                <w:color w:val="000000"/>
                <w:kern w:val="0"/>
                <w:sz w:val="21"/>
                <w:szCs w:val="21"/>
              </w:rPr>
            </w:pPr>
            <w:r>
              <w:rPr>
                <w:rFonts w:eastAsia="等线"/>
                <w:color w:val="000000"/>
                <w:kern w:val="0"/>
                <w:sz w:val="21"/>
                <w:szCs w:val="21"/>
              </w:rPr>
              <w:t xml:space="preserve">104529.47 </w:t>
            </w:r>
          </w:p>
        </w:tc>
        <w:tc>
          <w:tcPr>
            <w:tcW w:w="564" w:type="pct"/>
            <w:shd w:val="clear" w:color="auto" w:fill="auto"/>
            <w:noWrap/>
            <w:vAlign w:val="center"/>
          </w:tcPr>
          <w:p w14:paraId="10BB1F33">
            <w:pPr>
              <w:widowControl/>
              <w:ind w:firstLine="0" w:firstLineChars="0"/>
              <w:jc w:val="center"/>
              <w:rPr>
                <w:rFonts w:eastAsia="等线"/>
                <w:color w:val="000000"/>
                <w:kern w:val="0"/>
                <w:sz w:val="21"/>
                <w:szCs w:val="21"/>
              </w:rPr>
            </w:pPr>
            <w:r>
              <w:rPr>
                <w:rFonts w:eastAsia="等线"/>
                <w:color w:val="000000"/>
                <w:kern w:val="0"/>
                <w:sz w:val="21"/>
                <w:szCs w:val="21"/>
              </w:rPr>
              <w:t xml:space="preserve">77751.05 </w:t>
            </w:r>
          </w:p>
        </w:tc>
        <w:tc>
          <w:tcPr>
            <w:tcW w:w="677" w:type="pct"/>
            <w:shd w:val="clear" w:color="auto" w:fill="auto"/>
            <w:noWrap/>
            <w:vAlign w:val="center"/>
          </w:tcPr>
          <w:p w14:paraId="61045EE3">
            <w:pPr>
              <w:widowControl/>
              <w:ind w:firstLine="0" w:firstLineChars="0"/>
              <w:jc w:val="center"/>
              <w:rPr>
                <w:rFonts w:eastAsia="等线"/>
                <w:color w:val="000000"/>
                <w:kern w:val="0"/>
                <w:sz w:val="21"/>
                <w:szCs w:val="21"/>
              </w:rPr>
            </w:pPr>
            <w:r>
              <w:rPr>
                <w:rFonts w:eastAsia="等线"/>
                <w:color w:val="000000"/>
                <w:kern w:val="0"/>
                <w:sz w:val="21"/>
                <w:szCs w:val="21"/>
              </w:rPr>
              <w:t xml:space="preserve">34408.12 </w:t>
            </w:r>
          </w:p>
        </w:tc>
        <w:tc>
          <w:tcPr>
            <w:tcW w:w="340" w:type="pct"/>
            <w:shd w:val="clear" w:color="auto" w:fill="auto"/>
            <w:vAlign w:val="center"/>
          </w:tcPr>
          <w:p w14:paraId="4C28CA73">
            <w:pPr>
              <w:widowControl/>
              <w:ind w:firstLine="0" w:firstLineChars="0"/>
              <w:jc w:val="center"/>
              <w:rPr>
                <w:rFonts w:eastAsia="等线"/>
                <w:color w:val="000000"/>
                <w:kern w:val="0"/>
                <w:sz w:val="21"/>
                <w:szCs w:val="21"/>
              </w:rPr>
            </w:pPr>
            <w:r>
              <w:rPr>
                <w:rFonts w:eastAsia="等线"/>
                <w:color w:val="000000"/>
                <w:sz w:val="21"/>
                <w:szCs w:val="21"/>
              </w:rPr>
              <w:t xml:space="preserve">0.33 </w:t>
            </w:r>
          </w:p>
        </w:tc>
        <w:tc>
          <w:tcPr>
            <w:tcW w:w="1350" w:type="pct"/>
            <w:shd w:val="clear" w:color="auto" w:fill="auto"/>
            <w:noWrap/>
            <w:vAlign w:val="center"/>
          </w:tcPr>
          <w:p w14:paraId="7FB90CD8">
            <w:pPr>
              <w:widowControl/>
              <w:ind w:firstLine="0" w:firstLineChars="0"/>
              <w:jc w:val="center"/>
              <w:rPr>
                <w:rFonts w:eastAsia="等线"/>
                <w:color w:val="000000"/>
                <w:kern w:val="0"/>
                <w:sz w:val="21"/>
                <w:szCs w:val="21"/>
              </w:rPr>
            </w:pPr>
            <w:r>
              <w:rPr>
                <w:rFonts w:eastAsia="等线"/>
                <w:color w:val="000000"/>
                <w:kern w:val="0"/>
                <w:sz w:val="21"/>
                <w:szCs w:val="21"/>
              </w:rPr>
              <w:t xml:space="preserve">2.26 </w:t>
            </w:r>
          </w:p>
        </w:tc>
      </w:tr>
      <w:tr w14:paraId="6ED968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996" w:type="pct"/>
            <w:shd w:val="clear" w:color="auto" w:fill="auto"/>
            <w:noWrap/>
            <w:vAlign w:val="center"/>
          </w:tcPr>
          <w:p w14:paraId="0DD3ABA8">
            <w:pPr>
              <w:widowControl/>
              <w:ind w:firstLine="0" w:firstLineChars="0"/>
              <w:jc w:val="center"/>
              <w:rPr>
                <w:rFonts w:eastAsia="等线"/>
                <w:color w:val="000000"/>
                <w:kern w:val="0"/>
                <w:sz w:val="21"/>
                <w:szCs w:val="21"/>
              </w:rPr>
            </w:pPr>
            <w:r>
              <w:rPr>
                <w:rFonts w:eastAsia="等线"/>
                <w:color w:val="000000"/>
                <w:kern w:val="0"/>
                <w:sz w:val="21"/>
                <w:szCs w:val="21"/>
              </w:rPr>
              <w:t xml:space="preserve">2024 </w:t>
            </w:r>
          </w:p>
        </w:tc>
        <w:tc>
          <w:tcPr>
            <w:tcW w:w="480" w:type="pct"/>
            <w:shd w:val="clear" w:color="auto" w:fill="auto"/>
            <w:noWrap/>
            <w:vAlign w:val="center"/>
          </w:tcPr>
          <w:p w14:paraId="0C6CF851">
            <w:pPr>
              <w:widowControl/>
              <w:ind w:firstLine="0" w:firstLineChars="0"/>
              <w:jc w:val="center"/>
              <w:rPr>
                <w:rFonts w:eastAsia="等线"/>
                <w:color w:val="000000"/>
                <w:kern w:val="0"/>
                <w:sz w:val="21"/>
                <w:szCs w:val="21"/>
              </w:rPr>
            </w:pPr>
            <w:r>
              <w:rPr>
                <w:rFonts w:eastAsia="等线"/>
                <w:color w:val="000000"/>
                <w:kern w:val="0"/>
                <w:sz w:val="21"/>
                <w:szCs w:val="21"/>
              </w:rPr>
              <w:t xml:space="preserve">8748.30 </w:t>
            </w:r>
          </w:p>
        </w:tc>
        <w:tc>
          <w:tcPr>
            <w:tcW w:w="593" w:type="pct"/>
            <w:shd w:val="clear" w:color="auto" w:fill="auto"/>
            <w:noWrap/>
            <w:vAlign w:val="center"/>
          </w:tcPr>
          <w:p w14:paraId="61A26E70">
            <w:pPr>
              <w:widowControl/>
              <w:ind w:firstLine="0" w:firstLineChars="0"/>
              <w:jc w:val="center"/>
              <w:rPr>
                <w:rFonts w:eastAsia="等线"/>
                <w:color w:val="000000"/>
                <w:kern w:val="0"/>
                <w:sz w:val="21"/>
                <w:szCs w:val="21"/>
              </w:rPr>
            </w:pPr>
            <w:r>
              <w:rPr>
                <w:rFonts w:eastAsia="等线"/>
                <w:color w:val="000000"/>
                <w:kern w:val="0"/>
                <w:sz w:val="21"/>
                <w:szCs w:val="21"/>
              </w:rPr>
              <w:t xml:space="preserve">109402.77 </w:t>
            </w:r>
          </w:p>
        </w:tc>
        <w:tc>
          <w:tcPr>
            <w:tcW w:w="564" w:type="pct"/>
            <w:shd w:val="clear" w:color="auto" w:fill="auto"/>
            <w:noWrap/>
            <w:vAlign w:val="center"/>
          </w:tcPr>
          <w:p w14:paraId="2F73B5AD">
            <w:pPr>
              <w:widowControl/>
              <w:ind w:firstLine="0" w:firstLineChars="0"/>
              <w:jc w:val="center"/>
              <w:rPr>
                <w:rFonts w:eastAsia="等线"/>
                <w:color w:val="000000"/>
                <w:kern w:val="0"/>
                <w:sz w:val="21"/>
                <w:szCs w:val="21"/>
              </w:rPr>
            </w:pPr>
            <w:r>
              <w:rPr>
                <w:rFonts w:eastAsia="等线"/>
                <w:color w:val="000000"/>
                <w:kern w:val="0"/>
                <w:sz w:val="21"/>
                <w:szCs w:val="21"/>
              </w:rPr>
              <w:t xml:space="preserve">74155.61 </w:t>
            </w:r>
          </w:p>
        </w:tc>
        <w:tc>
          <w:tcPr>
            <w:tcW w:w="677" w:type="pct"/>
            <w:shd w:val="clear" w:color="auto" w:fill="auto"/>
            <w:noWrap/>
            <w:vAlign w:val="center"/>
          </w:tcPr>
          <w:p w14:paraId="6FEAE156">
            <w:pPr>
              <w:widowControl/>
              <w:ind w:firstLine="0" w:firstLineChars="0"/>
              <w:jc w:val="center"/>
              <w:rPr>
                <w:rFonts w:eastAsia="等线"/>
                <w:color w:val="000000"/>
                <w:kern w:val="0"/>
                <w:sz w:val="21"/>
                <w:szCs w:val="21"/>
              </w:rPr>
            </w:pPr>
            <w:r>
              <w:rPr>
                <w:rFonts w:eastAsia="等线"/>
                <w:color w:val="000000"/>
                <w:kern w:val="0"/>
                <w:sz w:val="21"/>
                <w:szCs w:val="21"/>
              </w:rPr>
              <w:t xml:space="preserve">35078.35 </w:t>
            </w:r>
          </w:p>
        </w:tc>
        <w:tc>
          <w:tcPr>
            <w:tcW w:w="340" w:type="pct"/>
            <w:shd w:val="clear" w:color="auto" w:fill="auto"/>
            <w:vAlign w:val="center"/>
          </w:tcPr>
          <w:p w14:paraId="0C5B79E6">
            <w:pPr>
              <w:widowControl/>
              <w:ind w:firstLine="0" w:firstLineChars="0"/>
              <w:jc w:val="center"/>
              <w:rPr>
                <w:rFonts w:eastAsia="等线"/>
                <w:color w:val="000000"/>
                <w:kern w:val="0"/>
                <w:sz w:val="21"/>
                <w:szCs w:val="21"/>
              </w:rPr>
            </w:pPr>
            <w:r>
              <w:rPr>
                <w:rFonts w:eastAsia="等线"/>
                <w:color w:val="000000"/>
                <w:sz w:val="21"/>
                <w:szCs w:val="21"/>
              </w:rPr>
              <w:t xml:space="preserve">0.32 </w:t>
            </w:r>
          </w:p>
        </w:tc>
        <w:tc>
          <w:tcPr>
            <w:tcW w:w="1350" w:type="pct"/>
            <w:shd w:val="clear" w:color="auto" w:fill="auto"/>
            <w:noWrap/>
            <w:vAlign w:val="center"/>
          </w:tcPr>
          <w:p w14:paraId="20D38D1D">
            <w:pPr>
              <w:widowControl/>
              <w:ind w:firstLine="0" w:firstLineChars="0"/>
              <w:jc w:val="center"/>
              <w:rPr>
                <w:rFonts w:eastAsia="等线"/>
                <w:color w:val="000000"/>
                <w:kern w:val="0"/>
                <w:sz w:val="21"/>
                <w:szCs w:val="21"/>
              </w:rPr>
            </w:pPr>
            <w:r>
              <w:rPr>
                <w:rFonts w:eastAsia="等线"/>
                <w:color w:val="000000"/>
                <w:kern w:val="0"/>
                <w:sz w:val="21"/>
                <w:szCs w:val="21"/>
              </w:rPr>
              <w:t xml:space="preserve">2.11 </w:t>
            </w:r>
          </w:p>
        </w:tc>
      </w:tr>
      <w:tr w14:paraId="0EA91F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996" w:type="pct"/>
            <w:shd w:val="clear" w:color="auto" w:fill="auto"/>
            <w:noWrap/>
            <w:vAlign w:val="center"/>
          </w:tcPr>
          <w:p w14:paraId="258BD877">
            <w:pPr>
              <w:widowControl/>
              <w:ind w:firstLine="0" w:firstLineChars="0"/>
              <w:jc w:val="center"/>
              <w:rPr>
                <w:rFonts w:eastAsia="等线"/>
                <w:color w:val="000000"/>
                <w:kern w:val="0"/>
                <w:sz w:val="21"/>
                <w:szCs w:val="21"/>
              </w:rPr>
            </w:pPr>
            <w:r>
              <w:rPr>
                <w:rFonts w:eastAsia="等线"/>
                <w:color w:val="000000"/>
                <w:kern w:val="0"/>
                <w:sz w:val="21"/>
                <w:szCs w:val="21"/>
              </w:rPr>
              <w:t xml:space="preserve">2025 </w:t>
            </w:r>
          </w:p>
        </w:tc>
        <w:tc>
          <w:tcPr>
            <w:tcW w:w="480" w:type="pct"/>
            <w:shd w:val="clear" w:color="auto" w:fill="auto"/>
            <w:noWrap/>
            <w:vAlign w:val="center"/>
          </w:tcPr>
          <w:p w14:paraId="00FC0368">
            <w:pPr>
              <w:widowControl/>
              <w:ind w:firstLine="0" w:firstLineChars="0"/>
              <w:jc w:val="center"/>
              <w:rPr>
                <w:rFonts w:eastAsia="等线"/>
                <w:color w:val="000000"/>
                <w:kern w:val="0"/>
                <w:sz w:val="21"/>
                <w:szCs w:val="21"/>
              </w:rPr>
            </w:pPr>
            <w:r>
              <w:rPr>
                <w:rFonts w:eastAsia="等线"/>
                <w:color w:val="000000"/>
                <w:kern w:val="0"/>
                <w:sz w:val="21"/>
                <w:szCs w:val="21"/>
              </w:rPr>
              <w:t xml:space="preserve">8801.15 </w:t>
            </w:r>
          </w:p>
        </w:tc>
        <w:tc>
          <w:tcPr>
            <w:tcW w:w="593" w:type="pct"/>
            <w:shd w:val="clear" w:color="auto" w:fill="auto"/>
            <w:noWrap/>
            <w:vAlign w:val="center"/>
          </w:tcPr>
          <w:p w14:paraId="3A28A00E">
            <w:pPr>
              <w:widowControl/>
              <w:ind w:firstLine="0" w:firstLineChars="0"/>
              <w:jc w:val="center"/>
              <w:rPr>
                <w:rFonts w:eastAsia="等线"/>
                <w:color w:val="000000"/>
                <w:kern w:val="0"/>
                <w:sz w:val="21"/>
                <w:szCs w:val="21"/>
              </w:rPr>
            </w:pPr>
            <w:r>
              <w:rPr>
                <w:rFonts w:eastAsia="等线"/>
                <w:color w:val="000000"/>
                <w:kern w:val="0"/>
                <w:sz w:val="21"/>
                <w:szCs w:val="21"/>
              </w:rPr>
              <w:t xml:space="preserve">114276.08 </w:t>
            </w:r>
          </w:p>
        </w:tc>
        <w:tc>
          <w:tcPr>
            <w:tcW w:w="564" w:type="pct"/>
            <w:shd w:val="clear" w:color="auto" w:fill="auto"/>
            <w:noWrap/>
            <w:vAlign w:val="center"/>
          </w:tcPr>
          <w:p w14:paraId="4390F9E6">
            <w:pPr>
              <w:widowControl/>
              <w:ind w:firstLine="0" w:firstLineChars="0"/>
              <w:jc w:val="center"/>
              <w:rPr>
                <w:rFonts w:eastAsia="等线"/>
                <w:color w:val="000000"/>
                <w:kern w:val="0"/>
                <w:sz w:val="21"/>
                <w:szCs w:val="21"/>
              </w:rPr>
            </w:pPr>
            <w:r>
              <w:rPr>
                <w:rFonts w:eastAsia="等线"/>
                <w:color w:val="000000"/>
                <w:kern w:val="0"/>
                <w:sz w:val="21"/>
                <w:szCs w:val="21"/>
              </w:rPr>
              <w:t xml:space="preserve">75245.46 </w:t>
            </w:r>
          </w:p>
        </w:tc>
        <w:tc>
          <w:tcPr>
            <w:tcW w:w="677" w:type="pct"/>
            <w:shd w:val="clear" w:color="auto" w:fill="auto"/>
            <w:noWrap/>
            <w:vAlign w:val="center"/>
          </w:tcPr>
          <w:p w14:paraId="5DAA3A79">
            <w:pPr>
              <w:widowControl/>
              <w:ind w:firstLine="0" w:firstLineChars="0"/>
              <w:jc w:val="center"/>
              <w:rPr>
                <w:rFonts w:eastAsia="等线"/>
                <w:color w:val="000000"/>
                <w:kern w:val="0"/>
                <w:sz w:val="21"/>
                <w:szCs w:val="21"/>
              </w:rPr>
            </w:pPr>
            <w:r>
              <w:rPr>
                <w:rFonts w:eastAsia="等线"/>
                <w:color w:val="000000"/>
                <w:kern w:val="0"/>
                <w:sz w:val="21"/>
                <w:szCs w:val="21"/>
              </w:rPr>
              <w:t xml:space="preserve">35750.50 </w:t>
            </w:r>
          </w:p>
        </w:tc>
        <w:tc>
          <w:tcPr>
            <w:tcW w:w="340" w:type="pct"/>
            <w:shd w:val="clear" w:color="auto" w:fill="auto"/>
            <w:vAlign w:val="center"/>
          </w:tcPr>
          <w:p w14:paraId="7F5D7D34">
            <w:pPr>
              <w:widowControl/>
              <w:ind w:firstLine="0" w:firstLineChars="0"/>
              <w:jc w:val="center"/>
              <w:rPr>
                <w:rFonts w:eastAsia="等线"/>
                <w:color w:val="000000"/>
                <w:kern w:val="0"/>
                <w:sz w:val="21"/>
                <w:szCs w:val="21"/>
              </w:rPr>
            </w:pPr>
            <w:r>
              <w:rPr>
                <w:rFonts w:eastAsia="等线"/>
                <w:color w:val="000000"/>
                <w:sz w:val="21"/>
                <w:szCs w:val="21"/>
              </w:rPr>
              <w:t xml:space="preserve">0.31 </w:t>
            </w:r>
          </w:p>
        </w:tc>
        <w:tc>
          <w:tcPr>
            <w:tcW w:w="1350" w:type="pct"/>
            <w:shd w:val="clear" w:color="auto" w:fill="auto"/>
            <w:noWrap/>
            <w:vAlign w:val="center"/>
          </w:tcPr>
          <w:p w14:paraId="66921E81">
            <w:pPr>
              <w:widowControl/>
              <w:ind w:firstLine="0" w:firstLineChars="0"/>
              <w:jc w:val="center"/>
              <w:rPr>
                <w:rFonts w:eastAsia="等线"/>
                <w:color w:val="000000"/>
                <w:kern w:val="0"/>
                <w:sz w:val="21"/>
                <w:szCs w:val="21"/>
              </w:rPr>
            </w:pPr>
            <w:r>
              <w:rPr>
                <w:rFonts w:eastAsia="等线"/>
                <w:color w:val="000000"/>
                <w:kern w:val="0"/>
                <w:sz w:val="21"/>
                <w:szCs w:val="21"/>
              </w:rPr>
              <w:t xml:space="preserve">2.10 </w:t>
            </w:r>
          </w:p>
        </w:tc>
      </w:tr>
      <w:tr w14:paraId="3C7E1F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996" w:type="pct"/>
            <w:shd w:val="clear" w:color="auto" w:fill="auto"/>
            <w:noWrap/>
            <w:vAlign w:val="center"/>
          </w:tcPr>
          <w:p w14:paraId="093B3BAB">
            <w:pPr>
              <w:widowControl/>
              <w:ind w:firstLine="0" w:firstLineChars="0"/>
              <w:jc w:val="center"/>
              <w:rPr>
                <w:rFonts w:eastAsia="等线"/>
                <w:color w:val="000000"/>
                <w:kern w:val="0"/>
                <w:sz w:val="21"/>
                <w:szCs w:val="21"/>
              </w:rPr>
            </w:pPr>
            <w:r>
              <w:rPr>
                <w:rFonts w:eastAsia="等线"/>
                <w:color w:val="000000"/>
                <w:kern w:val="0"/>
                <w:sz w:val="21"/>
                <w:szCs w:val="21"/>
              </w:rPr>
              <w:t xml:space="preserve">2056 </w:t>
            </w:r>
          </w:p>
        </w:tc>
        <w:tc>
          <w:tcPr>
            <w:tcW w:w="480" w:type="pct"/>
            <w:shd w:val="clear" w:color="auto" w:fill="auto"/>
            <w:noWrap/>
            <w:vAlign w:val="center"/>
          </w:tcPr>
          <w:p w14:paraId="406CBDCD">
            <w:pPr>
              <w:widowControl/>
              <w:ind w:firstLine="0" w:firstLineChars="0"/>
              <w:jc w:val="center"/>
              <w:rPr>
                <w:rFonts w:eastAsia="等线"/>
                <w:color w:val="000000"/>
                <w:kern w:val="0"/>
                <w:sz w:val="21"/>
                <w:szCs w:val="21"/>
              </w:rPr>
            </w:pPr>
            <w:r>
              <w:rPr>
                <w:rFonts w:eastAsia="等线"/>
                <w:color w:val="000000"/>
                <w:kern w:val="0"/>
                <w:sz w:val="21"/>
                <w:szCs w:val="21"/>
              </w:rPr>
              <w:t xml:space="preserve">7951.23 </w:t>
            </w:r>
          </w:p>
        </w:tc>
        <w:tc>
          <w:tcPr>
            <w:tcW w:w="593" w:type="pct"/>
            <w:shd w:val="clear" w:color="auto" w:fill="auto"/>
            <w:noWrap/>
            <w:vAlign w:val="center"/>
          </w:tcPr>
          <w:p w14:paraId="5270D300">
            <w:pPr>
              <w:widowControl/>
              <w:ind w:firstLine="0" w:firstLineChars="0"/>
              <w:jc w:val="center"/>
              <w:rPr>
                <w:rFonts w:eastAsia="等线"/>
                <w:color w:val="000000"/>
                <w:kern w:val="0"/>
                <w:sz w:val="21"/>
                <w:szCs w:val="21"/>
              </w:rPr>
            </w:pPr>
            <w:r>
              <w:rPr>
                <w:rFonts w:eastAsia="等线"/>
                <w:color w:val="000000"/>
                <w:kern w:val="0"/>
                <w:sz w:val="21"/>
                <w:szCs w:val="21"/>
              </w:rPr>
              <w:t xml:space="preserve">265348.56 </w:t>
            </w:r>
          </w:p>
        </w:tc>
        <w:tc>
          <w:tcPr>
            <w:tcW w:w="564" w:type="pct"/>
            <w:shd w:val="clear" w:color="auto" w:fill="auto"/>
            <w:noWrap/>
            <w:vAlign w:val="center"/>
          </w:tcPr>
          <w:p w14:paraId="4D5B839C">
            <w:pPr>
              <w:widowControl/>
              <w:ind w:firstLine="0" w:firstLineChars="0"/>
              <w:jc w:val="center"/>
              <w:rPr>
                <w:rFonts w:eastAsia="等线"/>
                <w:color w:val="000000"/>
                <w:kern w:val="0"/>
                <w:sz w:val="21"/>
                <w:szCs w:val="21"/>
              </w:rPr>
            </w:pPr>
            <w:r>
              <w:rPr>
                <w:rFonts w:eastAsia="等线"/>
                <w:color w:val="000000"/>
                <w:kern w:val="0"/>
                <w:sz w:val="21"/>
                <w:szCs w:val="21"/>
              </w:rPr>
              <w:t xml:space="preserve">67078.84 </w:t>
            </w:r>
          </w:p>
        </w:tc>
        <w:tc>
          <w:tcPr>
            <w:tcW w:w="677" w:type="pct"/>
            <w:shd w:val="clear" w:color="auto" w:fill="auto"/>
            <w:noWrap/>
            <w:vAlign w:val="center"/>
          </w:tcPr>
          <w:p w14:paraId="6461BEA3">
            <w:pPr>
              <w:widowControl/>
              <w:ind w:firstLine="0" w:firstLineChars="0"/>
              <w:jc w:val="center"/>
              <w:rPr>
                <w:rFonts w:eastAsia="等线"/>
                <w:color w:val="000000"/>
                <w:kern w:val="0"/>
                <w:sz w:val="21"/>
                <w:szCs w:val="21"/>
              </w:rPr>
            </w:pPr>
            <w:r>
              <w:rPr>
                <w:rFonts w:eastAsia="等线"/>
                <w:color w:val="000000"/>
                <w:kern w:val="0"/>
                <w:sz w:val="21"/>
                <w:szCs w:val="21"/>
              </w:rPr>
              <w:t xml:space="preserve">41576.49 </w:t>
            </w:r>
          </w:p>
        </w:tc>
        <w:tc>
          <w:tcPr>
            <w:tcW w:w="340" w:type="pct"/>
            <w:shd w:val="clear" w:color="auto" w:fill="auto"/>
            <w:vAlign w:val="center"/>
          </w:tcPr>
          <w:p w14:paraId="4FA9F777">
            <w:pPr>
              <w:widowControl/>
              <w:ind w:firstLine="0" w:firstLineChars="0"/>
              <w:jc w:val="center"/>
              <w:rPr>
                <w:rFonts w:eastAsia="等线"/>
                <w:color w:val="000000"/>
                <w:kern w:val="0"/>
                <w:sz w:val="21"/>
                <w:szCs w:val="21"/>
              </w:rPr>
            </w:pPr>
            <w:r>
              <w:rPr>
                <w:rFonts w:eastAsia="等线"/>
                <w:color w:val="000000"/>
                <w:sz w:val="21"/>
                <w:szCs w:val="21"/>
              </w:rPr>
              <w:t xml:space="preserve">0.16 </w:t>
            </w:r>
          </w:p>
        </w:tc>
        <w:tc>
          <w:tcPr>
            <w:tcW w:w="1350" w:type="pct"/>
            <w:shd w:val="clear" w:color="auto" w:fill="auto"/>
            <w:noWrap/>
            <w:vAlign w:val="center"/>
          </w:tcPr>
          <w:p w14:paraId="14DB4F4E">
            <w:pPr>
              <w:widowControl/>
              <w:ind w:firstLine="0" w:firstLineChars="0"/>
              <w:jc w:val="center"/>
              <w:rPr>
                <w:rFonts w:eastAsia="等线"/>
                <w:color w:val="000000"/>
                <w:kern w:val="0"/>
                <w:sz w:val="21"/>
                <w:szCs w:val="21"/>
              </w:rPr>
            </w:pPr>
            <w:r>
              <w:rPr>
                <w:rFonts w:eastAsia="等线"/>
                <w:color w:val="000000"/>
                <w:kern w:val="0"/>
                <w:sz w:val="21"/>
                <w:szCs w:val="21"/>
              </w:rPr>
              <w:t xml:space="preserve">1.61 </w:t>
            </w:r>
          </w:p>
        </w:tc>
      </w:tr>
      <w:tr w14:paraId="70C66A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996" w:type="pct"/>
            <w:shd w:val="clear" w:color="auto" w:fill="auto"/>
            <w:noWrap/>
            <w:vAlign w:val="center"/>
          </w:tcPr>
          <w:p w14:paraId="4D99CB96">
            <w:pPr>
              <w:widowControl/>
              <w:ind w:firstLine="0" w:firstLineChars="0"/>
              <w:jc w:val="center"/>
              <w:rPr>
                <w:rFonts w:eastAsia="等线"/>
                <w:color w:val="000000"/>
                <w:kern w:val="0"/>
                <w:sz w:val="21"/>
                <w:szCs w:val="21"/>
              </w:rPr>
            </w:pPr>
            <w:r>
              <w:rPr>
                <w:rFonts w:eastAsia="等线"/>
                <w:color w:val="000000"/>
                <w:kern w:val="0"/>
                <w:sz w:val="21"/>
                <w:szCs w:val="21"/>
              </w:rPr>
              <w:t xml:space="preserve">2057 </w:t>
            </w:r>
          </w:p>
        </w:tc>
        <w:tc>
          <w:tcPr>
            <w:tcW w:w="480" w:type="pct"/>
            <w:shd w:val="clear" w:color="auto" w:fill="auto"/>
            <w:noWrap/>
            <w:vAlign w:val="center"/>
          </w:tcPr>
          <w:p w14:paraId="202412F5">
            <w:pPr>
              <w:widowControl/>
              <w:ind w:firstLine="0" w:firstLineChars="0"/>
              <w:jc w:val="center"/>
              <w:rPr>
                <w:rFonts w:eastAsia="等线"/>
                <w:color w:val="000000"/>
                <w:kern w:val="0"/>
                <w:sz w:val="21"/>
                <w:szCs w:val="21"/>
              </w:rPr>
            </w:pPr>
            <w:r>
              <w:rPr>
                <w:rFonts w:eastAsia="等线"/>
                <w:color w:val="000000"/>
                <w:kern w:val="0"/>
                <w:sz w:val="21"/>
                <w:szCs w:val="21"/>
              </w:rPr>
              <w:t xml:space="preserve">7830.25 </w:t>
            </w:r>
          </w:p>
        </w:tc>
        <w:tc>
          <w:tcPr>
            <w:tcW w:w="593" w:type="pct"/>
            <w:shd w:val="clear" w:color="auto" w:fill="auto"/>
            <w:noWrap/>
            <w:vAlign w:val="center"/>
          </w:tcPr>
          <w:p w14:paraId="22786A29">
            <w:pPr>
              <w:widowControl/>
              <w:ind w:firstLine="0" w:firstLineChars="0"/>
              <w:jc w:val="center"/>
              <w:rPr>
                <w:rFonts w:eastAsia="等线"/>
                <w:color w:val="000000"/>
                <w:kern w:val="0"/>
                <w:sz w:val="21"/>
                <w:szCs w:val="21"/>
              </w:rPr>
            </w:pPr>
            <w:r>
              <w:rPr>
                <w:rFonts w:eastAsia="等线"/>
                <w:color w:val="000000"/>
                <w:kern w:val="0"/>
                <w:sz w:val="21"/>
                <w:szCs w:val="21"/>
              </w:rPr>
              <w:t xml:space="preserve">270221.87 </w:t>
            </w:r>
          </w:p>
        </w:tc>
        <w:tc>
          <w:tcPr>
            <w:tcW w:w="564" w:type="pct"/>
            <w:shd w:val="clear" w:color="auto" w:fill="auto"/>
            <w:noWrap/>
            <w:vAlign w:val="center"/>
          </w:tcPr>
          <w:p w14:paraId="008D7340">
            <w:pPr>
              <w:widowControl/>
              <w:ind w:firstLine="0" w:firstLineChars="0"/>
              <w:jc w:val="center"/>
              <w:rPr>
                <w:rFonts w:eastAsia="等线"/>
                <w:color w:val="000000"/>
                <w:kern w:val="0"/>
                <w:sz w:val="21"/>
                <w:szCs w:val="21"/>
              </w:rPr>
            </w:pPr>
            <w:r>
              <w:rPr>
                <w:rFonts w:eastAsia="等线"/>
                <w:color w:val="000000"/>
                <w:kern w:val="0"/>
                <w:sz w:val="21"/>
                <w:szCs w:val="21"/>
              </w:rPr>
              <w:t xml:space="preserve">66974.95 </w:t>
            </w:r>
          </w:p>
        </w:tc>
        <w:tc>
          <w:tcPr>
            <w:tcW w:w="677" w:type="pct"/>
            <w:shd w:val="clear" w:color="auto" w:fill="auto"/>
            <w:noWrap/>
            <w:vAlign w:val="center"/>
          </w:tcPr>
          <w:p w14:paraId="6BBAF82A">
            <w:pPr>
              <w:widowControl/>
              <w:ind w:firstLine="0" w:firstLineChars="0"/>
              <w:jc w:val="center"/>
              <w:rPr>
                <w:rFonts w:eastAsia="等线"/>
                <w:color w:val="000000"/>
                <w:kern w:val="0"/>
                <w:sz w:val="21"/>
                <w:szCs w:val="21"/>
              </w:rPr>
            </w:pPr>
            <w:r>
              <w:rPr>
                <w:rFonts w:eastAsia="等线"/>
                <w:color w:val="000000"/>
                <w:kern w:val="0"/>
                <w:sz w:val="21"/>
                <w:szCs w:val="21"/>
              </w:rPr>
              <w:t xml:space="preserve">41200.06 </w:t>
            </w:r>
          </w:p>
        </w:tc>
        <w:tc>
          <w:tcPr>
            <w:tcW w:w="340" w:type="pct"/>
            <w:shd w:val="clear" w:color="auto" w:fill="auto"/>
            <w:vAlign w:val="center"/>
          </w:tcPr>
          <w:p w14:paraId="52A135DC">
            <w:pPr>
              <w:widowControl/>
              <w:ind w:firstLine="0" w:firstLineChars="0"/>
              <w:jc w:val="center"/>
              <w:rPr>
                <w:rFonts w:eastAsia="等线"/>
                <w:color w:val="000000"/>
                <w:kern w:val="0"/>
                <w:sz w:val="21"/>
                <w:szCs w:val="21"/>
              </w:rPr>
            </w:pPr>
            <w:r>
              <w:rPr>
                <w:rFonts w:eastAsia="等线"/>
                <w:color w:val="000000"/>
                <w:sz w:val="21"/>
                <w:szCs w:val="21"/>
              </w:rPr>
              <w:t xml:space="preserve">0.15 </w:t>
            </w:r>
          </w:p>
        </w:tc>
        <w:tc>
          <w:tcPr>
            <w:tcW w:w="1350" w:type="pct"/>
            <w:shd w:val="clear" w:color="auto" w:fill="auto"/>
            <w:noWrap/>
            <w:vAlign w:val="center"/>
          </w:tcPr>
          <w:p w14:paraId="7ECF463C">
            <w:pPr>
              <w:widowControl/>
              <w:ind w:firstLine="0" w:firstLineChars="0"/>
              <w:jc w:val="center"/>
              <w:rPr>
                <w:rFonts w:eastAsia="等线"/>
                <w:color w:val="000000"/>
                <w:kern w:val="0"/>
                <w:sz w:val="21"/>
                <w:szCs w:val="21"/>
              </w:rPr>
            </w:pPr>
            <w:r>
              <w:rPr>
                <w:rFonts w:eastAsia="等线"/>
                <w:color w:val="000000"/>
                <w:kern w:val="0"/>
                <w:sz w:val="21"/>
                <w:szCs w:val="21"/>
              </w:rPr>
              <w:t xml:space="preserve">1.63 </w:t>
            </w:r>
          </w:p>
        </w:tc>
      </w:tr>
      <w:tr w14:paraId="723ADF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996" w:type="pct"/>
            <w:shd w:val="clear" w:color="auto" w:fill="auto"/>
            <w:noWrap/>
            <w:vAlign w:val="center"/>
          </w:tcPr>
          <w:p w14:paraId="06DF511D">
            <w:pPr>
              <w:widowControl/>
              <w:ind w:firstLine="0" w:firstLineChars="0"/>
              <w:jc w:val="center"/>
              <w:rPr>
                <w:rFonts w:eastAsia="等线"/>
                <w:color w:val="000000"/>
                <w:kern w:val="0"/>
                <w:sz w:val="21"/>
                <w:szCs w:val="21"/>
              </w:rPr>
            </w:pPr>
            <w:r>
              <w:rPr>
                <w:rFonts w:eastAsia="等线"/>
                <w:color w:val="000000"/>
                <w:kern w:val="0"/>
                <w:sz w:val="21"/>
                <w:szCs w:val="21"/>
              </w:rPr>
              <w:t xml:space="preserve">2058 </w:t>
            </w:r>
          </w:p>
        </w:tc>
        <w:tc>
          <w:tcPr>
            <w:tcW w:w="480" w:type="pct"/>
            <w:shd w:val="clear" w:color="auto" w:fill="auto"/>
            <w:noWrap/>
            <w:vAlign w:val="center"/>
          </w:tcPr>
          <w:p w14:paraId="403777AA">
            <w:pPr>
              <w:widowControl/>
              <w:ind w:firstLine="0" w:firstLineChars="0"/>
              <w:jc w:val="center"/>
              <w:rPr>
                <w:rFonts w:eastAsia="等线"/>
                <w:color w:val="000000"/>
                <w:kern w:val="0"/>
                <w:sz w:val="21"/>
                <w:szCs w:val="21"/>
              </w:rPr>
            </w:pPr>
            <w:r>
              <w:rPr>
                <w:rFonts w:eastAsia="等线"/>
                <w:color w:val="000000"/>
                <w:kern w:val="0"/>
                <w:sz w:val="21"/>
                <w:szCs w:val="21"/>
              </w:rPr>
              <w:t xml:space="preserve">7694.47 </w:t>
            </w:r>
          </w:p>
        </w:tc>
        <w:tc>
          <w:tcPr>
            <w:tcW w:w="593" w:type="pct"/>
            <w:shd w:val="clear" w:color="auto" w:fill="auto"/>
            <w:noWrap/>
            <w:vAlign w:val="center"/>
          </w:tcPr>
          <w:p w14:paraId="4D035532">
            <w:pPr>
              <w:widowControl/>
              <w:ind w:firstLine="0" w:firstLineChars="0"/>
              <w:jc w:val="center"/>
              <w:rPr>
                <w:rFonts w:eastAsia="等线"/>
                <w:color w:val="000000"/>
                <w:kern w:val="0"/>
                <w:sz w:val="21"/>
                <w:szCs w:val="21"/>
              </w:rPr>
            </w:pPr>
            <w:r>
              <w:rPr>
                <w:rFonts w:eastAsia="等线"/>
                <w:color w:val="000000"/>
                <w:kern w:val="0"/>
                <w:sz w:val="21"/>
                <w:szCs w:val="21"/>
              </w:rPr>
              <w:t xml:space="preserve">275095.18 </w:t>
            </w:r>
          </w:p>
        </w:tc>
        <w:tc>
          <w:tcPr>
            <w:tcW w:w="564" w:type="pct"/>
            <w:shd w:val="clear" w:color="auto" w:fill="auto"/>
            <w:noWrap/>
            <w:vAlign w:val="center"/>
          </w:tcPr>
          <w:p w14:paraId="13E84D03">
            <w:pPr>
              <w:widowControl/>
              <w:ind w:firstLine="0" w:firstLineChars="0"/>
              <w:jc w:val="center"/>
              <w:rPr>
                <w:rFonts w:eastAsia="等线"/>
                <w:color w:val="000000"/>
                <w:kern w:val="0"/>
                <w:sz w:val="21"/>
                <w:szCs w:val="21"/>
              </w:rPr>
            </w:pPr>
            <w:r>
              <w:rPr>
                <w:rFonts w:eastAsia="等线"/>
                <w:color w:val="000000"/>
                <w:kern w:val="0"/>
                <w:sz w:val="21"/>
                <w:szCs w:val="21"/>
              </w:rPr>
              <w:t xml:space="preserve">66731.63 </w:t>
            </w:r>
          </w:p>
        </w:tc>
        <w:tc>
          <w:tcPr>
            <w:tcW w:w="677" w:type="pct"/>
            <w:shd w:val="clear" w:color="auto" w:fill="auto"/>
            <w:noWrap/>
            <w:vAlign w:val="center"/>
          </w:tcPr>
          <w:p w14:paraId="796E7C76">
            <w:pPr>
              <w:widowControl/>
              <w:ind w:firstLine="0" w:firstLineChars="0"/>
              <w:jc w:val="center"/>
              <w:rPr>
                <w:rFonts w:eastAsia="等线"/>
                <w:color w:val="000000"/>
                <w:kern w:val="0"/>
                <w:sz w:val="21"/>
                <w:szCs w:val="21"/>
              </w:rPr>
            </w:pPr>
            <w:r>
              <w:rPr>
                <w:rFonts w:eastAsia="等线"/>
                <w:color w:val="000000"/>
                <w:kern w:val="0"/>
                <w:sz w:val="21"/>
                <w:szCs w:val="21"/>
              </w:rPr>
              <w:t xml:space="preserve">40734.36 </w:t>
            </w:r>
          </w:p>
        </w:tc>
        <w:tc>
          <w:tcPr>
            <w:tcW w:w="340" w:type="pct"/>
            <w:shd w:val="clear" w:color="auto" w:fill="auto"/>
            <w:vAlign w:val="center"/>
          </w:tcPr>
          <w:p w14:paraId="3774756B">
            <w:pPr>
              <w:widowControl/>
              <w:ind w:firstLine="0" w:firstLineChars="0"/>
              <w:jc w:val="center"/>
              <w:rPr>
                <w:rFonts w:eastAsia="等线"/>
                <w:color w:val="000000"/>
                <w:kern w:val="0"/>
                <w:sz w:val="21"/>
                <w:szCs w:val="21"/>
              </w:rPr>
            </w:pPr>
            <w:r>
              <w:rPr>
                <w:rFonts w:eastAsia="等线"/>
                <w:color w:val="000000"/>
                <w:sz w:val="21"/>
                <w:szCs w:val="21"/>
              </w:rPr>
              <w:t xml:space="preserve">0.15 </w:t>
            </w:r>
          </w:p>
        </w:tc>
        <w:tc>
          <w:tcPr>
            <w:tcW w:w="1350" w:type="pct"/>
            <w:shd w:val="clear" w:color="auto" w:fill="auto"/>
            <w:noWrap/>
            <w:vAlign w:val="center"/>
          </w:tcPr>
          <w:p w14:paraId="1EA9C6C3">
            <w:pPr>
              <w:widowControl/>
              <w:ind w:firstLine="0" w:firstLineChars="0"/>
              <w:jc w:val="center"/>
              <w:rPr>
                <w:rFonts w:eastAsia="等线"/>
                <w:color w:val="000000"/>
                <w:kern w:val="0"/>
                <w:sz w:val="21"/>
                <w:szCs w:val="21"/>
              </w:rPr>
            </w:pPr>
            <w:r>
              <w:rPr>
                <w:rFonts w:eastAsia="等线"/>
                <w:color w:val="000000"/>
                <w:kern w:val="0"/>
                <w:sz w:val="21"/>
                <w:szCs w:val="21"/>
              </w:rPr>
              <w:t xml:space="preserve">1.64 </w:t>
            </w:r>
          </w:p>
        </w:tc>
      </w:tr>
      <w:tr w14:paraId="0DADA4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996" w:type="pct"/>
            <w:shd w:val="clear" w:color="auto" w:fill="auto"/>
            <w:noWrap/>
            <w:vAlign w:val="center"/>
          </w:tcPr>
          <w:p w14:paraId="578E1ED2">
            <w:pPr>
              <w:widowControl/>
              <w:ind w:firstLine="0" w:firstLineChars="0"/>
              <w:jc w:val="center"/>
              <w:rPr>
                <w:rFonts w:eastAsia="等线"/>
                <w:color w:val="000000"/>
                <w:kern w:val="0"/>
                <w:sz w:val="21"/>
                <w:szCs w:val="21"/>
              </w:rPr>
            </w:pPr>
            <w:r>
              <w:rPr>
                <w:rFonts w:eastAsia="等线"/>
                <w:color w:val="000000"/>
                <w:kern w:val="0"/>
                <w:sz w:val="21"/>
                <w:szCs w:val="21"/>
              </w:rPr>
              <w:t xml:space="preserve">2059 </w:t>
            </w:r>
          </w:p>
        </w:tc>
        <w:tc>
          <w:tcPr>
            <w:tcW w:w="480" w:type="pct"/>
            <w:shd w:val="clear" w:color="auto" w:fill="auto"/>
            <w:noWrap/>
            <w:vAlign w:val="center"/>
          </w:tcPr>
          <w:p w14:paraId="02413CA1">
            <w:pPr>
              <w:widowControl/>
              <w:ind w:firstLine="0" w:firstLineChars="0"/>
              <w:jc w:val="center"/>
              <w:rPr>
                <w:rFonts w:eastAsia="等线"/>
                <w:color w:val="000000"/>
                <w:kern w:val="0"/>
                <w:sz w:val="21"/>
                <w:szCs w:val="21"/>
              </w:rPr>
            </w:pPr>
            <w:r>
              <w:rPr>
                <w:rFonts w:eastAsia="等线"/>
                <w:color w:val="000000"/>
                <w:kern w:val="0"/>
                <w:sz w:val="21"/>
                <w:szCs w:val="21"/>
              </w:rPr>
              <w:t xml:space="preserve">7546.08 </w:t>
            </w:r>
          </w:p>
        </w:tc>
        <w:tc>
          <w:tcPr>
            <w:tcW w:w="593" w:type="pct"/>
            <w:shd w:val="clear" w:color="auto" w:fill="auto"/>
            <w:noWrap/>
            <w:vAlign w:val="center"/>
          </w:tcPr>
          <w:p w14:paraId="1F99CD3A">
            <w:pPr>
              <w:widowControl/>
              <w:ind w:firstLine="0" w:firstLineChars="0"/>
              <w:jc w:val="center"/>
              <w:rPr>
                <w:rFonts w:eastAsia="等线"/>
                <w:color w:val="000000"/>
                <w:kern w:val="0"/>
                <w:sz w:val="21"/>
                <w:szCs w:val="21"/>
              </w:rPr>
            </w:pPr>
            <w:r>
              <w:rPr>
                <w:rFonts w:eastAsia="等线"/>
                <w:color w:val="000000"/>
                <w:kern w:val="0"/>
                <w:sz w:val="21"/>
                <w:szCs w:val="21"/>
              </w:rPr>
              <w:t xml:space="preserve">279968.48 </w:t>
            </w:r>
          </w:p>
        </w:tc>
        <w:tc>
          <w:tcPr>
            <w:tcW w:w="564" w:type="pct"/>
            <w:shd w:val="clear" w:color="auto" w:fill="auto"/>
            <w:noWrap/>
            <w:vAlign w:val="center"/>
          </w:tcPr>
          <w:p w14:paraId="6A62FF69">
            <w:pPr>
              <w:widowControl/>
              <w:ind w:firstLine="0" w:firstLineChars="0"/>
              <w:jc w:val="center"/>
              <w:rPr>
                <w:rFonts w:eastAsia="等线"/>
                <w:color w:val="000000"/>
                <w:kern w:val="0"/>
                <w:sz w:val="21"/>
                <w:szCs w:val="21"/>
              </w:rPr>
            </w:pPr>
            <w:r>
              <w:rPr>
                <w:rFonts w:eastAsia="等线"/>
                <w:color w:val="000000"/>
                <w:kern w:val="0"/>
                <w:sz w:val="21"/>
                <w:szCs w:val="21"/>
              </w:rPr>
              <w:t xml:space="preserve">66415.67 </w:t>
            </w:r>
          </w:p>
        </w:tc>
        <w:tc>
          <w:tcPr>
            <w:tcW w:w="677" w:type="pct"/>
            <w:shd w:val="clear" w:color="auto" w:fill="auto"/>
            <w:noWrap/>
            <w:vAlign w:val="center"/>
          </w:tcPr>
          <w:p w14:paraId="16CBD261">
            <w:pPr>
              <w:widowControl/>
              <w:ind w:firstLine="0" w:firstLineChars="0"/>
              <w:jc w:val="center"/>
              <w:rPr>
                <w:rFonts w:eastAsia="等线"/>
                <w:color w:val="000000"/>
                <w:kern w:val="0"/>
                <w:sz w:val="21"/>
                <w:szCs w:val="21"/>
              </w:rPr>
            </w:pPr>
            <w:r>
              <w:rPr>
                <w:rFonts w:eastAsia="等线"/>
                <w:color w:val="000000"/>
                <w:kern w:val="0"/>
                <w:sz w:val="21"/>
                <w:szCs w:val="21"/>
              </w:rPr>
              <w:t xml:space="preserve">40192.59 </w:t>
            </w:r>
          </w:p>
        </w:tc>
        <w:tc>
          <w:tcPr>
            <w:tcW w:w="340" w:type="pct"/>
            <w:shd w:val="clear" w:color="auto" w:fill="auto"/>
            <w:vAlign w:val="center"/>
          </w:tcPr>
          <w:p w14:paraId="0C84BFFE">
            <w:pPr>
              <w:widowControl/>
              <w:ind w:firstLine="0" w:firstLineChars="0"/>
              <w:jc w:val="center"/>
              <w:rPr>
                <w:rFonts w:eastAsia="等线"/>
                <w:color w:val="000000"/>
                <w:kern w:val="0"/>
                <w:sz w:val="21"/>
                <w:szCs w:val="21"/>
              </w:rPr>
            </w:pPr>
            <w:r>
              <w:rPr>
                <w:rFonts w:eastAsia="等线"/>
                <w:color w:val="000000"/>
                <w:sz w:val="21"/>
                <w:szCs w:val="21"/>
              </w:rPr>
              <w:t xml:space="preserve">0.14 </w:t>
            </w:r>
          </w:p>
        </w:tc>
        <w:tc>
          <w:tcPr>
            <w:tcW w:w="1350" w:type="pct"/>
            <w:shd w:val="clear" w:color="auto" w:fill="auto"/>
            <w:noWrap/>
            <w:vAlign w:val="center"/>
          </w:tcPr>
          <w:p w14:paraId="24528B10">
            <w:pPr>
              <w:widowControl/>
              <w:ind w:firstLine="0" w:firstLineChars="0"/>
              <w:jc w:val="center"/>
              <w:rPr>
                <w:rFonts w:eastAsia="等线"/>
                <w:color w:val="000000"/>
                <w:kern w:val="0"/>
                <w:sz w:val="21"/>
                <w:szCs w:val="21"/>
              </w:rPr>
            </w:pPr>
            <w:r>
              <w:rPr>
                <w:rFonts w:eastAsia="等线"/>
                <w:color w:val="000000"/>
                <w:kern w:val="0"/>
                <w:sz w:val="21"/>
                <w:szCs w:val="21"/>
              </w:rPr>
              <w:t xml:space="preserve">1.65 </w:t>
            </w:r>
          </w:p>
        </w:tc>
      </w:tr>
      <w:tr w14:paraId="24361E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996" w:type="pct"/>
            <w:shd w:val="clear" w:color="auto" w:fill="auto"/>
            <w:noWrap/>
            <w:vAlign w:val="center"/>
          </w:tcPr>
          <w:p w14:paraId="59926B37">
            <w:pPr>
              <w:widowControl/>
              <w:ind w:firstLine="0" w:firstLineChars="0"/>
              <w:jc w:val="center"/>
              <w:rPr>
                <w:rFonts w:eastAsia="等线"/>
                <w:color w:val="000000"/>
                <w:kern w:val="0"/>
                <w:sz w:val="21"/>
                <w:szCs w:val="21"/>
              </w:rPr>
            </w:pPr>
            <w:r>
              <w:rPr>
                <w:rFonts w:eastAsia="等线"/>
                <w:color w:val="000000"/>
                <w:kern w:val="0"/>
                <w:sz w:val="21"/>
                <w:szCs w:val="21"/>
              </w:rPr>
              <w:t xml:space="preserve">2060 </w:t>
            </w:r>
          </w:p>
        </w:tc>
        <w:tc>
          <w:tcPr>
            <w:tcW w:w="480" w:type="pct"/>
            <w:shd w:val="clear" w:color="auto" w:fill="auto"/>
            <w:noWrap/>
            <w:vAlign w:val="center"/>
          </w:tcPr>
          <w:p w14:paraId="612800EF">
            <w:pPr>
              <w:widowControl/>
              <w:ind w:firstLine="0" w:firstLineChars="0"/>
              <w:jc w:val="center"/>
              <w:rPr>
                <w:rFonts w:eastAsia="等线"/>
                <w:color w:val="000000"/>
                <w:kern w:val="0"/>
                <w:sz w:val="21"/>
                <w:szCs w:val="21"/>
              </w:rPr>
            </w:pPr>
            <w:r>
              <w:rPr>
                <w:rFonts w:eastAsia="等线"/>
                <w:color w:val="000000"/>
                <w:kern w:val="0"/>
                <w:sz w:val="21"/>
                <w:szCs w:val="21"/>
              </w:rPr>
              <w:t xml:space="preserve">7385.97 </w:t>
            </w:r>
          </w:p>
        </w:tc>
        <w:tc>
          <w:tcPr>
            <w:tcW w:w="593" w:type="pct"/>
            <w:shd w:val="clear" w:color="auto" w:fill="auto"/>
            <w:noWrap/>
            <w:vAlign w:val="center"/>
          </w:tcPr>
          <w:p w14:paraId="073E3900">
            <w:pPr>
              <w:widowControl/>
              <w:ind w:firstLine="0" w:firstLineChars="0"/>
              <w:jc w:val="center"/>
              <w:rPr>
                <w:rFonts w:eastAsia="等线"/>
                <w:color w:val="000000"/>
                <w:kern w:val="0"/>
                <w:sz w:val="21"/>
                <w:szCs w:val="21"/>
              </w:rPr>
            </w:pPr>
            <w:r>
              <w:rPr>
                <w:rFonts w:eastAsia="等线"/>
                <w:color w:val="000000"/>
                <w:kern w:val="0"/>
                <w:sz w:val="21"/>
                <w:szCs w:val="21"/>
              </w:rPr>
              <w:t xml:space="preserve">284841.79 </w:t>
            </w:r>
          </w:p>
        </w:tc>
        <w:tc>
          <w:tcPr>
            <w:tcW w:w="564" w:type="pct"/>
            <w:shd w:val="clear" w:color="auto" w:fill="auto"/>
            <w:noWrap/>
            <w:vAlign w:val="center"/>
          </w:tcPr>
          <w:p w14:paraId="791D6912">
            <w:pPr>
              <w:widowControl/>
              <w:ind w:firstLine="0" w:firstLineChars="0"/>
              <w:jc w:val="center"/>
              <w:rPr>
                <w:rFonts w:eastAsia="等线"/>
                <w:color w:val="000000"/>
                <w:kern w:val="0"/>
                <w:sz w:val="21"/>
                <w:szCs w:val="21"/>
              </w:rPr>
            </w:pPr>
            <w:r>
              <w:rPr>
                <w:rFonts w:eastAsia="等线"/>
                <w:color w:val="000000"/>
                <w:kern w:val="0"/>
                <w:sz w:val="21"/>
                <w:szCs w:val="21"/>
              </w:rPr>
              <w:t xml:space="preserve">65589.38 </w:t>
            </w:r>
          </w:p>
        </w:tc>
        <w:tc>
          <w:tcPr>
            <w:tcW w:w="677" w:type="pct"/>
            <w:shd w:val="clear" w:color="auto" w:fill="auto"/>
            <w:noWrap/>
            <w:vAlign w:val="center"/>
          </w:tcPr>
          <w:p w14:paraId="6B46F5F0">
            <w:pPr>
              <w:widowControl/>
              <w:ind w:firstLine="0" w:firstLineChars="0"/>
              <w:jc w:val="center"/>
              <w:rPr>
                <w:rFonts w:eastAsia="等线"/>
                <w:color w:val="000000"/>
                <w:kern w:val="0"/>
                <w:sz w:val="21"/>
                <w:szCs w:val="21"/>
              </w:rPr>
            </w:pPr>
            <w:r>
              <w:rPr>
                <w:rFonts w:eastAsia="等线"/>
                <w:color w:val="000000"/>
                <w:kern w:val="0"/>
                <w:sz w:val="21"/>
                <w:szCs w:val="21"/>
              </w:rPr>
              <w:t xml:space="preserve">39580.11 </w:t>
            </w:r>
          </w:p>
        </w:tc>
        <w:tc>
          <w:tcPr>
            <w:tcW w:w="340" w:type="pct"/>
            <w:shd w:val="clear" w:color="auto" w:fill="auto"/>
            <w:vAlign w:val="center"/>
          </w:tcPr>
          <w:p w14:paraId="5D5EB32F">
            <w:pPr>
              <w:widowControl/>
              <w:ind w:firstLine="0" w:firstLineChars="0"/>
              <w:jc w:val="center"/>
              <w:rPr>
                <w:rFonts w:eastAsia="等线"/>
                <w:color w:val="000000"/>
                <w:kern w:val="0"/>
                <w:sz w:val="21"/>
                <w:szCs w:val="21"/>
              </w:rPr>
            </w:pPr>
            <w:r>
              <w:rPr>
                <w:rFonts w:eastAsia="等线"/>
                <w:color w:val="000000"/>
                <w:sz w:val="21"/>
                <w:szCs w:val="21"/>
              </w:rPr>
              <w:t xml:space="preserve">0.14 </w:t>
            </w:r>
          </w:p>
        </w:tc>
        <w:tc>
          <w:tcPr>
            <w:tcW w:w="1350" w:type="pct"/>
            <w:shd w:val="clear" w:color="auto" w:fill="auto"/>
            <w:noWrap/>
            <w:vAlign w:val="center"/>
          </w:tcPr>
          <w:p w14:paraId="1C55D76D">
            <w:pPr>
              <w:widowControl/>
              <w:ind w:firstLine="0" w:firstLineChars="0"/>
              <w:jc w:val="center"/>
              <w:rPr>
                <w:rFonts w:eastAsia="等线"/>
                <w:color w:val="000000"/>
                <w:kern w:val="0"/>
                <w:sz w:val="21"/>
                <w:szCs w:val="21"/>
              </w:rPr>
            </w:pPr>
            <w:r>
              <w:rPr>
                <w:rFonts w:eastAsia="等线"/>
                <w:color w:val="000000"/>
                <w:kern w:val="0"/>
                <w:sz w:val="21"/>
                <w:szCs w:val="21"/>
              </w:rPr>
              <w:t xml:space="preserve">1.66 </w:t>
            </w:r>
          </w:p>
        </w:tc>
      </w:tr>
    </w:tbl>
    <w:p w14:paraId="06A0FAE8">
      <w:pPr>
        <w:ind w:firstLine="482"/>
        <w:rPr>
          <w:b/>
          <w:bCs/>
        </w:rPr>
      </w:pPr>
      <w:r>
        <w:rPr>
          <w:rFonts w:hint="eastAsia"/>
          <w:b/>
          <w:bCs/>
        </w:rPr>
        <w:t>情景3核算模型：</w:t>
      </w:r>
    </w:p>
    <w:p w14:paraId="0255A240">
      <w:pPr>
        <w:ind w:firstLine="480"/>
      </w:pPr>
      <w:r>
        <w:rPr>
          <w:rFonts w:hint="eastAsia"/>
        </w:rPr>
        <w:t>在前述假设的前提下，对于雄心情景，应该更加注重微观层面的预测，因此需要选取问题二中所建立的关联模型公式（1</w:t>
      </w:r>
      <w:r>
        <w:t>0</w:t>
      </w:r>
      <w:r>
        <w:rPr>
          <w:rFonts w:hint="eastAsia"/>
        </w:rPr>
        <w:t>），该模型更注重重点碳排放部门、一次石化能源以及二次能源的使用情况。通过该模型做碳排放量预测或核算时，需要不断采集相关部门数据。</w:t>
      </w:r>
    </w:p>
    <w:p w14:paraId="06A2C10D">
      <w:pPr>
        <w:ind w:firstLine="480"/>
      </w:pPr>
      <w:r>
        <w:rPr>
          <w:rFonts w:hint="eastAsia"/>
        </w:rPr>
        <w:t>为了防止后续不确定因素的影响，团队将公式（5）作为备选情景模型，因为该模型既涉及微观因素又涉及宏观因素，便于团队做拓展研究。</w:t>
      </w:r>
    </w:p>
    <w:p w14:paraId="3FD73B9C">
      <w:pPr>
        <w:ind w:firstLine="480"/>
      </w:pPr>
      <w:r>
        <w:rPr>
          <w:rFonts w:hint="eastAsia"/>
        </w:rPr>
        <w:t>即碳排放预测模型中的各指标（人口乘数、工业部门GDP占比、能源供应部门消费量、工业部门清洁能源占比、石化能源消费总量以及单位GDP能耗）对应的参数分别是-</w:t>
      </w:r>
      <w:r>
        <w:t>0.1</w:t>
      </w:r>
      <w:r>
        <w:rPr>
          <w:rFonts w:hint="eastAsia"/>
        </w:rPr>
        <w:t>、0</w:t>
      </w:r>
      <w:r>
        <w:t>.62</w:t>
      </w:r>
      <w:r>
        <w:rPr>
          <w:rFonts w:hint="eastAsia"/>
        </w:rPr>
        <w:t>、</w:t>
      </w:r>
      <w:r>
        <w:t>0.2</w:t>
      </w:r>
      <w:r>
        <w:rPr>
          <w:rFonts w:hint="eastAsia"/>
        </w:rPr>
        <w:t>、1</w:t>
      </w:r>
      <w:r>
        <w:t>.6</w:t>
      </w:r>
      <w:r>
        <w:rPr>
          <w:rFonts w:hint="eastAsia"/>
        </w:rPr>
        <w:t>、0</w:t>
      </w:r>
      <w:r>
        <w:t>.9</w:t>
      </w:r>
      <w:r>
        <w:rPr>
          <w:rFonts w:hint="eastAsia"/>
        </w:rPr>
        <w:t>、0</w:t>
      </w:r>
      <w:r>
        <w:t>.96</w:t>
      </w:r>
      <w:r>
        <w:rPr>
          <w:rFonts w:hint="eastAsia"/>
        </w:rPr>
        <w:t>。</w:t>
      </w:r>
    </w:p>
    <w:p w14:paraId="48796817">
      <w:pPr>
        <w:ind w:firstLine="0" w:firstLineChars="0"/>
        <w:rPr>
          <w:b/>
          <w:bCs/>
        </w:rPr>
      </w:pPr>
      <w:r>
        <w:rPr>
          <w:rFonts w:hint="eastAsia"/>
          <w:b/>
          <w:bCs/>
        </w:rPr>
        <w:t>5</w:t>
      </w:r>
      <w:r>
        <w:rPr>
          <w:b/>
          <w:bCs/>
        </w:rPr>
        <w:t xml:space="preserve">.3.3 </w:t>
      </w:r>
      <w:r>
        <w:rPr>
          <w:rFonts w:hint="eastAsia"/>
          <w:b/>
          <w:bCs/>
        </w:rPr>
        <w:t>确定双碳（碳达峰与碳中和）目标与路径</w:t>
      </w:r>
    </w:p>
    <w:p w14:paraId="198DB1FF">
      <w:pPr>
        <w:ind w:firstLine="482"/>
        <w:rPr>
          <w:b/>
          <w:bCs/>
        </w:rPr>
      </w:pPr>
      <w:r>
        <w:rPr>
          <w:rFonts w:hint="eastAsia"/>
          <w:b/>
          <w:bCs/>
        </w:rPr>
        <w:t>GDP、人口和能源消费量的目标值确定：</w:t>
      </w:r>
    </w:p>
    <w:p w14:paraId="749B1AC9">
      <w:pPr>
        <w:ind w:firstLine="480"/>
      </w:pPr>
      <w:r>
        <w:rPr>
          <w:rFonts w:hint="eastAsia"/>
        </w:rPr>
        <w:t>团队首先检验了碳排放量核算模型（</w:t>
      </w:r>
      <w:r>
        <w:t>STIRPAT</w:t>
      </w:r>
      <w:r>
        <w:rPr>
          <w:rFonts w:hint="eastAsia"/>
        </w:rPr>
        <w:t>）与问题二中预测模型误差的基础上确定三中不同情景下的特定年份GDP、人口和能源消费量的目标值。</w:t>
      </w:r>
    </w:p>
    <w:p w14:paraId="4311E242">
      <w:pPr>
        <w:ind w:firstLine="480"/>
      </w:pPr>
      <w:r>
        <w:rPr>
          <w:rFonts w:hint="eastAsia"/>
        </w:rPr>
        <w:t>其次结合我国碳排放目标总体趋势的基础上落实到本体区域高能源利用效率（单位GDP能耗）和提高非化石能源消费比重的2025年、2030年、2035年、2050年和2060年目标值。考虑到研究的复杂性，本文</w:t>
      </w:r>
      <w:r>
        <w:rPr>
          <w:rFonts w:hint="eastAsia"/>
          <w:b/>
          <w:bCs/>
          <w:color w:val="70AD47"/>
          <w:szCs w:val="24"/>
        </w:rPr>
        <w:t>聚焦雄心版情景</w:t>
      </w:r>
      <w:r>
        <w:rPr>
          <w:rFonts w:hint="eastAsia"/>
        </w:rPr>
        <w:t>下重点能源供应部门、工业消费部门、农林消费部门消费的能源使用情况、能源电气化程度做出路劲规划。考虑到我国目前人口增速下滑、老龄化突出、人口红利转向人才红利等特殊因素。因此在预测时将2045年作为区域人口增长率峰值，之后15年期间人口在10000~10150之间波动，保证整体目标和路径的合理性。其次雄心模式下考虑能源类企业转型的困难和就业问题，将2021-2030保证非石化能源占比不低的情况下允许煤炭品种的存在发展空间，在2030-2035期间大幅度实现能源依赖脱煤。</w:t>
      </w:r>
    </w:p>
    <w:p w14:paraId="2021D02D">
      <w:pPr>
        <w:ind w:firstLine="480"/>
        <w:rPr>
          <w:b/>
          <w:bCs/>
          <w:color w:val="7030A0"/>
          <w:kern w:val="24"/>
          <w:szCs w:val="24"/>
        </w:rPr>
      </w:pPr>
      <w:r>
        <w:rPr>
          <w:rFonts w:hint="eastAsia"/>
          <w:kern w:val="24"/>
          <w:szCs w:val="24"/>
        </w:rPr>
        <w:t>其中GDP在2035年达248313亿元，</w:t>
      </w:r>
      <w:r>
        <w:rPr>
          <w:rFonts w:hint="eastAsia"/>
          <w:b/>
          <w:bCs/>
          <w:color w:val="7030A0"/>
          <w:kern w:val="24"/>
          <w:szCs w:val="24"/>
        </w:rPr>
        <w:t>远远突破了GDP翻一番目标，2060年已达基期（2020）年GDP总量3.5倍，略微超过翻两番目标。</w:t>
      </w:r>
    </w:p>
    <w:p w14:paraId="7CAD6F37">
      <w:pPr>
        <w:pStyle w:val="5"/>
        <w:keepNext/>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11</w:t>
      </w:r>
      <w:r>
        <w:fldChar w:fldCharType="end"/>
      </w:r>
      <w:r>
        <w:t xml:space="preserve"> </w:t>
      </w:r>
      <w:r>
        <w:rPr>
          <w:rFonts w:hint="eastAsia"/>
        </w:rPr>
        <w:t>人口、GDP和能源消费量关键目标值</w:t>
      </w:r>
    </w:p>
    <w:tbl>
      <w:tblPr>
        <w:tblStyle w:val="19"/>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40"/>
        <w:gridCol w:w="1177"/>
        <w:gridCol w:w="1177"/>
        <w:gridCol w:w="1177"/>
        <w:gridCol w:w="1177"/>
        <w:gridCol w:w="1175"/>
        <w:gridCol w:w="1176"/>
        <w:gridCol w:w="1173"/>
      </w:tblGrid>
      <w:tr w14:paraId="4F37FD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700" w:type="pct"/>
            <w:tcBorders>
              <w:top w:val="single" w:color="auto" w:sz="12" w:space="0"/>
              <w:left w:val="nil"/>
              <w:bottom w:val="single" w:color="auto" w:sz="12" w:space="0"/>
              <w:right w:val="nil"/>
            </w:tcBorders>
            <w:noWrap/>
            <w:vAlign w:val="center"/>
          </w:tcPr>
          <w:p w14:paraId="4E6E4E63">
            <w:pPr>
              <w:ind w:firstLine="0" w:firstLineChars="0"/>
              <w:jc w:val="center"/>
              <w:rPr>
                <w:color w:val="000000"/>
                <w:sz w:val="20"/>
                <w:szCs w:val="20"/>
              </w:rPr>
            </w:pPr>
            <w:r>
              <w:rPr>
                <w:rFonts w:hint="eastAsia"/>
                <w:color w:val="000000"/>
                <w:sz w:val="20"/>
                <w:szCs w:val="20"/>
              </w:rPr>
              <w:t>年份</w:t>
            </w:r>
          </w:p>
        </w:tc>
        <w:tc>
          <w:tcPr>
            <w:tcW w:w="615" w:type="pct"/>
            <w:tcBorders>
              <w:top w:val="single" w:color="auto" w:sz="12" w:space="0"/>
              <w:left w:val="nil"/>
              <w:bottom w:val="single" w:color="auto" w:sz="12" w:space="0"/>
              <w:right w:val="nil"/>
            </w:tcBorders>
            <w:noWrap/>
            <w:vAlign w:val="center"/>
          </w:tcPr>
          <w:p w14:paraId="78C217A2">
            <w:pPr>
              <w:widowControl/>
              <w:ind w:firstLine="0" w:firstLineChars="0"/>
              <w:jc w:val="center"/>
              <w:textAlignment w:val="center"/>
              <w:rPr>
                <w:color w:val="000000"/>
                <w:sz w:val="20"/>
                <w:szCs w:val="20"/>
              </w:rPr>
            </w:pPr>
            <w:r>
              <w:rPr>
                <w:rFonts w:hint="eastAsia"/>
                <w:color w:val="000000"/>
                <w:kern w:val="0"/>
                <w:sz w:val="20"/>
                <w:szCs w:val="20"/>
              </w:rPr>
              <w:t>2025</w:t>
            </w:r>
          </w:p>
        </w:tc>
        <w:tc>
          <w:tcPr>
            <w:tcW w:w="615" w:type="pct"/>
            <w:tcBorders>
              <w:top w:val="single" w:color="auto" w:sz="12" w:space="0"/>
              <w:left w:val="nil"/>
              <w:bottom w:val="single" w:color="auto" w:sz="12" w:space="0"/>
              <w:right w:val="nil"/>
            </w:tcBorders>
            <w:noWrap/>
            <w:vAlign w:val="center"/>
          </w:tcPr>
          <w:p w14:paraId="4911A2BA">
            <w:pPr>
              <w:widowControl/>
              <w:ind w:firstLine="0" w:firstLineChars="0"/>
              <w:jc w:val="center"/>
              <w:textAlignment w:val="center"/>
              <w:rPr>
                <w:color w:val="000000"/>
                <w:sz w:val="20"/>
                <w:szCs w:val="20"/>
              </w:rPr>
            </w:pPr>
            <w:r>
              <w:rPr>
                <w:rFonts w:hint="eastAsia"/>
                <w:color w:val="000000"/>
                <w:kern w:val="0"/>
                <w:sz w:val="20"/>
                <w:szCs w:val="20"/>
              </w:rPr>
              <w:t>2030</w:t>
            </w:r>
          </w:p>
        </w:tc>
        <w:tc>
          <w:tcPr>
            <w:tcW w:w="615" w:type="pct"/>
            <w:tcBorders>
              <w:top w:val="single" w:color="auto" w:sz="12" w:space="0"/>
              <w:left w:val="nil"/>
              <w:bottom w:val="single" w:color="auto" w:sz="12" w:space="0"/>
              <w:right w:val="nil"/>
            </w:tcBorders>
            <w:noWrap/>
            <w:vAlign w:val="center"/>
          </w:tcPr>
          <w:p w14:paraId="449CA398">
            <w:pPr>
              <w:widowControl/>
              <w:ind w:firstLine="0" w:firstLineChars="0"/>
              <w:jc w:val="center"/>
              <w:textAlignment w:val="center"/>
              <w:rPr>
                <w:color w:val="000000"/>
                <w:sz w:val="20"/>
                <w:szCs w:val="20"/>
              </w:rPr>
            </w:pPr>
            <w:r>
              <w:rPr>
                <w:rFonts w:hint="eastAsia"/>
                <w:color w:val="000000"/>
                <w:kern w:val="0"/>
                <w:sz w:val="20"/>
                <w:szCs w:val="20"/>
              </w:rPr>
              <w:t>2035</w:t>
            </w:r>
          </w:p>
        </w:tc>
        <w:tc>
          <w:tcPr>
            <w:tcW w:w="615" w:type="pct"/>
            <w:tcBorders>
              <w:top w:val="single" w:color="auto" w:sz="12" w:space="0"/>
              <w:left w:val="nil"/>
              <w:bottom w:val="single" w:color="auto" w:sz="12" w:space="0"/>
              <w:right w:val="nil"/>
            </w:tcBorders>
            <w:noWrap/>
            <w:vAlign w:val="center"/>
          </w:tcPr>
          <w:p w14:paraId="483CD8E2">
            <w:pPr>
              <w:widowControl/>
              <w:ind w:firstLine="0" w:firstLineChars="0"/>
              <w:jc w:val="center"/>
              <w:textAlignment w:val="center"/>
              <w:rPr>
                <w:color w:val="000000"/>
                <w:sz w:val="20"/>
                <w:szCs w:val="20"/>
              </w:rPr>
            </w:pPr>
            <w:r>
              <w:rPr>
                <w:rFonts w:hint="eastAsia"/>
                <w:color w:val="000000"/>
                <w:kern w:val="0"/>
                <w:sz w:val="20"/>
                <w:szCs w:val="20"/>
              </w:rPr>
              <w:t>2040</w:t>
            </w:r>
          </w:p>
        </w:tc>
        <w:tc>
          <w:tcPr>
            <w:tcW w:w="614" w:type="pct"/>
            <w:tcBorders>
              <w:top w:val="single" w:color="auto" w:sz="12" w:space="0"/>
              <w:left w:val="nil"/>
              <w:bottom w:val="single" w:color="auto" w:sz="12" w:space="0"/>
              <w:right w:val="nil"/>
            </w:tcBorders>
            <w:noWrap/>
            <w:vAlign w:val="center"/>
          </w:tcPr>
          <w:p w14:paraId="615927B2">
            <w:pPr>
              <w:widowControl/>
              <w:ind w:firstLine="0" w:firstLineChars="0"/>
              <w:jc w:val="center"/>
              <w:textAlignment w:val="center"/>
              <w:rPr>
                <w:color w:val="000000"/>
                <w:sz w:val="20"/>
                <w:szCs w:val="20"/>
              </w:rPr>
            </w:pPr>
            <w:r>
              <w:rPr>
                <w:rFonts w:hint="eastAsia"/>
                <w:color w:val="000000"/>
                <w:kern w:val="0"/>
                <w:sz w:val="20"/>
                <w:szCs w:val="20"/>
              </w:rPr>
              <w:t>2045</w:t>
            </w:r>
          </w:p>
        </w:tc>
        <w:tc>
          <w:tcPr>
            <w:tcW w:w="614" w:type="pct"/>
            <w:tcBorders>
              <w:top w:val="single" w:color="auto" w:sz="12" w:space="0"/>
              <w:left w:val="nil"/>
              <w:bottom w:val="single" w:color="auto" w:sz="12" w:space="0"/>
              <w:right w:val="nil"/>
            </w:tcBorders>
            <w:noWrap/>
            <w:vAlign w:val="center"/>
          </w:tcPr>
          <w:p w14:paraId="3454D073">
            <w:pPr>
              <w:widowControl/>
              <w:ind w:firstLine="0" w:firstLineChars="0"/>
              <w:jc w:val="center"/>
              <w:textAlignment w:val="center"/>
              <w:rPr>
                <w:color w:val="000000"/>
                <w:sz w:val="20"/>
                <w:szCs w:val="20"/>
              </w:rPr>
            </w:pPr>
            <w:r>
              <w:rPr>
                <w:rFonts w:hint="eastAsia"/>
                <w:color w:val="000000"/>
                <w:kern w:val="0"/>
                <w:sz w:val="20"/>
                <w:szCs w:val="20"/>
              </w:rPr>
              <w:t>2050</w:t>
            </w:r>
          </w:p>
        </w:tc>
        <w:tc>
          <w:tcPr>
            <w:tcW w:w="614" w:type="pct"/>
            <w:tcBorders>
              <w:top w:val="single" w:color="auto" w:sz="12" w:space="0"/>
              <w:left w:val="nil"/>
              <w:bottom w:val="single" w:color="auto" w:sz="12" w:space="0"/>
              <w:right w:val="nil"/>
            </w:tcBorders>
            <w:noWrap/>
            <w:vAlign w:val="center"/>
          </w:tcPr>
          <w:p w14:paraId="34CD9E20">
            <w:pPr>
              <w:widowControl/>
              <w:ind w:firstLine="0" w:firstLineChars="0"/>
              <w:jc w:val="center"/>
              <w:textAlignment w:val="center"/>
              <w:rPr>
                <w:color w:val="000000"/>
                <w:sz w:val="20"/>
                <w:szCs w:val="20"/>
              </w:rPr>
            </w:pPr>
            <w:r>
              <w:rPr>
                <w:rFonts w:hint="eastAsia"/>
                <w:color w:val="000000"/>
                <w:kern w:val="0"/>
                <w:sz w:val="20"/>
                <w:szCs w:val="20"/>
              </w:rPr>
              <w:t>2060</w:t>
            </w:r>
          </w:p>
        </w:tc>
      </w:tr>
      <w:tr w14:paraId="30F54DE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700" w:type="pct"/>
            <w:tcBorders>
              <w:top w:val="single" w:color="auto" w:sz="12" w:space="0"/>
              <w:left w:val="nil"/>
              <w:bottom w:val="nil"/>
              <w:right w:val="nil"/>
            </w:tcBorders>
            <w:noWrap/>
            <w:vAlign w:val="center"/>
          </w:tcPr>
          <w:p w14:paraId="31F1DEDD">
            <w:pPr>
              <w:widowControl/>
              <w:ind w:firstLine="0" w:firstLineChars="0"/>
              <w:jc w:val="center"/>
              <w:textAlignment w:val="center"/>
              <w:rPr>
                <w:color w:val="000000"/>
                <w:sz w:val="18"/>
                <w:szCs w:val="18"/>
              </w:rPr>
            </w:pPr>
            <w:r>
              <w:rPr>
                <w:rFonts w:hint="eastAsia"/>
                <w:color w:val="000000"/>
                <w:kern w:val="0"/>
                <w:sz w:val="18"/>
                <w:szCs w:val="18"/>
              </w:rPr>
              <w:t>人口</w:t>
            </w:r>
          </w:p>
        </w:tc>
        <w:tc>
          <w:tcPr>
            <w:tcW w:w="615" w:type="pct"/>
            <w:tcBorders>
              <w:top w:val="single" w:color="auto" w:sz="12" w:space="0"/>
              <w:left w:val="nil"/>
              <w:bottom w:val="nil"/>
              <w:right w:val="nil"/>
            </w:tcBorders>
            <w:noWrap/>
            <w:vAlign w:val="center"/>
          </w:tcPr>
          <w:p w14:paraId="26FF9369">
            <w:pPr>
              <w:widowControl/>
              <w:ind w:firstLine="0" w:firstLineChars="0"/>
              <w:jc w:val="center"/>
              <w:textAlignment w:val="center"/>
              <w:rPr>
                <w:color w:val="000000"/>
                <w:sz w:val="18"/>
                <w:szCs w:val="18"/>
              </w:rPr>
            </w:pPr>
            <w:r>
              <w:rPr>
                <w:rFonts w:hint="eastAsia"/>
                <w:color w:val="000000"/>
                <w:kern w:val="0"/>
                <w:sz w:val="18"/>
                <w:szCs w:val="18"/>
              </w:rPr>
              <w:t xml:space="preserve">8904.14 </w:t>
            </w:r>
          </w:p>
        </w:tc>
        <w:tc>
          <w:tcPr>
            <w:tcW w:w="615" w:type="pct"/>
            <w:tcBorders>
              <w:top w:val="single" w:color="auto" w:sz="12" w:space="0"/>
              <w:left w:val="nil"/>
              <w:bottom w:val="nil"/>
              <w:right w:val="nil"/>
            </w:tcBorders>
            <w:noWrap/>
            <w:vAlign w:val="center"/>
          </w:tcPr>
          <w:p w14:paraId="35C6F5CB">
            <w:pPr>
              <w:widowControl/>
              <w:ind w:firstLine="0" w:firstLineChars="0"/>
              <w:jc w:val="center"/>
              <w:textAlignment w:val="center"/>
              <w:rPr>
                <w:color w:val="000000"/>
                <w:sz w:val="18"/>
                <w:szCs w:val="18"/>
              </w:rPr>
            </w:pPr>
            <w:r>
              <w:rPr>
                <w:rFonts w:hint="eastAsia"/>
                <w:color w:val="000000"/>
                <w:kern w:val="0"/>
                <w:sz w:val="18"/>
                <w:szCs w:val="18"/>
              </w:rPr>
              <w:t xml:space="preserve">6603.47 </w:t>
            </w:r>
          </w:p>
        </w:tc>
        <w:tc>
          <w:tcPr>
            <w:tcW w:w="615" w:type="pct"/>
            <w:tcBorders>
              <w:top w:val="single" w:color="auto" w:sz="12" w:space="0"/>
              <w:left w:val="nil"/>
              <w:bottom w:val="nil"/>
              <w:right w:val="nil"/>
            </w:tcBorders>
            <w:noWrap/>
            <w:vAlign w:val="center"/>
          </w:tcPr>
          <w:p w14:paraId="2CD02DA3">
            <w:pPr>
              <w:widowControl/>
              <w:ind w:firstLine="0" w:firstLineChars="0"/>
              <w:jc w:val="center"/>
              <w:textAlignment w:val="center"/>
              <w:rPr>
                <w:color w:val="000000"/>
                <w:sz w:val="18"/>
                <w:szCs w:val="18"/>
              </w:rPr>
            </w:pPr>
            <w:r>
              <w:rPr>
                <w:rFonts w:hint="eastAsia"/>
                <w:color w:val="000000"/>
                <w:kern w:val="0"/>
                <w:sz w:val="18"/>
                <w:szCs w:val="18"/>
              </w:rPr>
              <w:t xml:space="preserve">9462.20 </w:t>
            </w:r>
          </w:p>
        </w:tc>
        <w:tc>
          <w:tcPr>
            <w:tcW w:w="615" w:type="pct"/>
            <w:tcBorders>
              <w:top w:val="single" w:color="auto" w:sz="12" w:space="0"/>
              <w:left w:val="nil"/>
              <w:bottom w:val="nil"/>
              <w:right w:val="nil"/>
            </w:tcBorders>
            <w:noWrap/>
            <w:vAlign w:val="center"/>
          </w:tcPr>
          <w:p w14:paraId="4973853B">
            <w:pPr>
              <w:widowControl/>
              <w:ind w:firstLine="0" w:firstLineChars="0"/>
              <w:jc w:val="right"/>
              <w:textAlignment w:val="center"/>
              <w:rPr>
                <w:color w:val="000000"/>
                <w:sz w:val="18"/>
                <w:szCs w:val="18"/>
              </w:rPr>
            </w:pPr>
            <w:r>
              <w:rPr>
                <w:rFonts w:hint="eastAsia"/>
                <w:color w:val="000000"/>
                <w:kern w:val="0"/>
                <w:sz w:val="18"/>
                <w:szCs w:val="18"/>
              </w:rPr>
              <w:t xml:space="preserve">9713.80 </w:t>
            </w:r>
          </w:p>
        </w:tc>
        <w:tc>
          <w:tcPr>
            <w:tcW w:w="614" w:type="pct"/>
            <w:tcBorders>
              <w:top w:val="single" w:color="auto" w:sz="12" w:space="0"/>
              <w:left w:val="nil"/>
              <w:bottom w:val="nil"/>
              <w:right w:val="nil"/>
            </w:tcBorders>
            <w:noWrap/>
            <w:vAlign w:val="center"/>
          </w:tcPr>
          <w:p w14:paraId="6FCAF90E">
            <w:pPr>
              <w:widowControl/>
              <w:ind w:firstLine="0" w:firstLineChars="0"/>
              <w:jc w:val="center"/>
              <w:textAlignment w:val="center"/>
              <w:rPr>
                <w:color w:val="000000"/>
                <w:sz w:val="18"/>
                <w:szCs w:val="18"/>
              </w:rPr>
            </w:pPr>
            <w:r>
              <w:rPr>
                <w:rFonts w:hint="eastAsia"/>
                <w:color w:val="000000"/>
                <w:kern w:val="0"/>
                <w:sz w:val="18"/>
                <w:szCs w:val="18"/>
              </w:rPr>
              <w:t xml:space="preserve">10467.47 </w:t>
            </w:r>
          </w:p>
        </w:tc>
        <w:tc>
          <w:tcPr>
            <w:tcW w:w="614" w:type="pct"/>
            <w:tcBorders>
              <w:top w:val="single" w:color="auto" w:sz="12" w:space="0"/>
              <w:left w:val="nil"/>
              <w:bottom w:val="nil"/>
              <w:right w:val="nil"/>
            </w:tcBorders>
            <w:noWrap/>
            <w:vAlign w:val="center"/>
          </w:tcPr>
          <w:p w14:paraId="58C17902">
            <w:pPr>
              <w:widowControl/>
              <w:ind w:firstLine="0" w:firstLineChars="0"/>
              <w:jc w:val="center"/>
              <w:textAlignment w:val="center"/>
              <w:rPr>
                <w:color w:val="000000"/>
                <w:sz w:val="18"/>
                <w:szCs w:val="18"/>
              </w:rPr>
            </w:pPr>
            <w:r>
              <w:rPr>
                <w:rFonts w:hint="eastAsia"/>
                <w:color w:val="000000"/>
                <w:kern w:val="0"/>
                <w:sz w:val="18"/>
                <w:szCs w:val="18"/>
              </w:rPr>
              <w:t xml:space="preserve">10055.00 </w:t>
            </w:r>
          </w:p>
        </w:tc>
        <w:tc>
          <w:tcPr>
            <w:tcW w:w="614" w:type="pct"/>
            <w:tcBorders>
              <w:top w:val="single" w:color="auto" w:sz="12" w:space="0"/>
              <w:left w:val="nil"/>
              <w:bottom w:val="nil"/>
              <w:right w:val="nil"/>
            </w:tcBorders>
            <w:noWrap/>
            <w:vAlign w:val="center"/>
          </w:tcPr>
          <w:p w14:paraId="114C235C">
            <w:pPr>
              <w:widowControl/>
              <w:ind w:firstLine="0" w:firstLineChars="0"/>
              <w:jc w:val="center"/>
              <w:textAlignment w:val="center"/>
              <w:rPr>
                <w:color w:val="000000"/>
                <w:sz w:val="18"/>
                <w:szCs w:val="18"/>
              </w:rPr>
            </w:pPr>
            <w:r>
              <w:rPr>
                <w:rFonts w:hint="eastAsia"/>
                <w:color w:val="000000"/>
                <w:kern w:val="0"/>
                <w:sz w:val="18"/>
                <w:szCs w:val="18"/>
              </w:rPr>
              <w:t xml:space="preserve">10135.53 </w:t>
            </w:r>
          </w:p>
        </w:tc>
      </w:tr>
      <w:tr w14:paraId="6D5FA7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700" w:type="pct"/>
            <w:tcBorders>
              <w:top w:val="nil"/>
              <w:left w:val="nil"/>
              <w:bottom w:val="nil"/>
              <w:right w:val="nil"/>
            </w:tcBorders>
            <w:noWrap/>
            <w:vAlign w:val="center"/>
          </w:tcPr>
          <w:p w14:paraId="4DBA435A">
            <w:pPr>
              <w:widowControl/>
              <w:ind w:firstLine="0" w:firstLineChars="0"/>
              <w:jc w:val="center"/>
              <w:textAlignment w:val="center"/>
              <w:rPr>
                <w:color w:val="000000"/>
                <w:sz w:val="18"/>
                <w:szCs w:val="18"/>
              </w:rPr>
            </w:pPr>
            <w:r>
              <w:rPr>
                <w:rFonts w:hint="eastAsia"/>
                <w:color w:val="000000"/>
                <w:kern w:val="0"/>
                <w:sz w:val="18"/>
                <w:szCs w:val="18"/>
              </w:rPr>
              <w:t>GDP</w:t>
            </w:r>
          </w:p>
        </w:tc>
        <w:tc>
          <w:tcPr>
            <w:tcW w:w="615" w:type="pct"/>
            <w:tcBorders>
              <w:top w:val="nil"/>
              <w:left w:val="nil"/>
              <w:bottom w:val="nil"/>
              <w:right w:val="nil"/>
            </w:tcBorders>
            <w:noWrap/>
            <w:vAlign w:val="center"/>
          </w:tcPr>
          <w:p w14:paraId="7DB6A284">
            <w:pPr>
              <w:widowControl/>
              <w:ind w:firstLine="0" w:firstLineChars="0"/>
              <w:jc w:val="center"/>
              <w:textAlignment w:val="center"/>
              <w:rPr>
                <w:color w:val="000000"/>
                <w:sz w:val="18"/>
                <w:szCs w:val="18"/>
              </w:rPr>
            </w:pPr>
            <w:r>
              <w:rPr>
                <w:rFonts w:hint="eastAsia"/>
                <w:color w:val="000000"/>
                <w:kern w:val="0"/>
                <w:sz w:val="18"/>
                <w:szCs w:val="18"/>
              </w:rPr>
              <w:t xml:space="preserve">118244.29 </w:t>
            </w:r>
          </w:p>
        </w:tc>
        <w:tc>
          <w:tcPr>
            <w:tcW w:w="615" w:type="pct"/>
            <w:tcBorders>
              <w:top w:val="nil"/>
              <w:left w:val="nil"/>
              <w:bottom w:val="nil"/>
              <w:right w:val="nil"/>
            </w:tcBorders>
            <w:noWrap/>
            <w:vAlign w:val="center"/>
          </w:tcPr>
          <w:p w14:paraId="6285A573">
            <w:pPr>
              <w:widowControl/>
              <w:ind w:firstLine="0" w:firstLineChars="0"/>
              <w:jc w:val="center"/>
              <w:textAlignment w:val="center"/>
              <w:rPr>
                <w:color w:val="000000"/>
                <w:sz w:val="18"/>
                <w:szCs w:val="18"/>
              </w:rPr>
            </w:pPr>
            <w:r>
              <w:rPr>
                <w:rFonts w:hint="eastAsia"/>
                <w:color w:val="000000"/>
                <w:kern w:val="0"/>
                <w:sz w:val="18"/>
                <w:szCs w:val="18"/>
              </w:rPr>
              <w:t xml:space="preserve">147805.36 </w:t>
            </w:r>
          </w:p>
        </w:tc>
        <w:tc>
          <w:tcPr>
            <w:tcW w:w="615" w:type="pct"/>
            <w:tcBorders>
              <w:top w:val="nil"/>
              <w:left w:val="nil"/>
              <w:bottom w:val="nil"/>
              <w:right w:val="nil"/>
            </w:tcBorders>
            <w:noWrap/>
            <w:vAlign w:val="center"/>
          </w:tcPr>
          <w:p w14:paraId="3C292497">
            <w:pPr>
              <w:widowControl/>
              <w:ind w:firstLine="0" w:firstLineChars="0"/>
              <w:jc w:val="center"/>
              <w:textAlignment w:val="center"/>
              <w:rPr>
                <w:color w:val="000000"/>
                <w:sz w:val="18"/>
                <w:szCs w:val="18"/>
              </w:rPr>
            </w:pPr>
            <w:r>
              <w:rPr>
                <w:rFonts w:hint="eastAsia"/>
                <w:color w:val="000000"/>
                <w:kern w:val="0"/>
                <w:sz w:val="18"/>
                <w:szCs w:val="18"/>
              </w:rPr>
              <w:t xml:space="preserve">177366.43 </w:t>
            </w:r>
          </w:p>
        </w:tc>
        <w:tc>
          <w:tcPr>
            <w:tcW w:w="615" w:type="pct"/>
            <w:tcBorders>
              <w:top w:val="nil"/>
              <w:left w:val="nil"/>
              <w:bottom w:val="nil"/>
              <w:right w:val="nil"/>
            </w:tcBorders>
            <w:noWrap/>
            <w:vAlign w:val="center"/>
          </w:tcPr>
          <w:p w14:paraId="116D7958">
            <w:pPr>
              <w:widowControl/>
              <w:ind w:firstLine="0" w:firstLineChars="0"/>
              <w:jc w:val="right"/>
              <w:textAlignment w:val="center"/>
              <w:rPr>
                <w:color w:val="000000"/>
                <w:sz w:val="18"/>
                <w:szCs w:val="18"/>
              </w:rPr>
            </w:pPr>
            <w:r>
              <w:rPr>
                <w:rFonts w:hint="eastAsia"/>
                <w:color w:val="000000"/>
                <w:kern w:val="0"/>
                <w:sz w:val="18"/>
                <w:szCs w:val="18"/>
              </w:rPr>
              <w:t xml:space="preserve">212839.72 </w:t>
            </w:r>
          </w:p>
        </w:tc>
        <w:tc>
          <w:tcPr>
            <w:tcW w:w="614" w:type="pct"/>
            <w:tcBorders>
              <w:top w:val="nil"/>
              <w:left w:val="nil"/>
              <w:bottom w:val="nil"/>
              <w:right w:val="nil"/>
            </w:tcBorders>
            <w:noWrap/>
            <w:vAlign w:val="center"/>
          </w:tcPr>
          <w:p w14:paraId="2FD4D932">
            <w:pPr>
              <w:widowControl/>
              <w:ind w:firstLine="0" w:firstLineChars="0"/>
              <w:jc w:val="center"/>
              <w:textAlignment w:val="center"/>
              <w:rPr>
                <w:color w:val="000000"/>
                <w:sz w:val="18"/>
                <w:szCs w:val="18"/>
              </w:rPr>
            </w:pPr>
            <w:r>
              <w:rPr>
                <w:rFonts w:hint="eastAsia"/>
                <w:color w:val="000000"/>
                <w:kern w:val="0"/>
                <w:sz w:val="18"/>
                <w:szCs w:val="18"/>
              </w:rPr>
              <w:t xml:space="preserve">248313.00 </w:t>
            </w:r>
          </w:p>
        </w:tc>
        <w:tc>
          <w:tcPr>
            <w:tcW w:w="614" w:type="pct"/>
            <w:tcBorders>
              <w:top w:val="nil"/>
              <w:left w:val="nil"/>
              <w:bottom w:val="nil"/>
              <w:right w:val="nil"/>
            </w:tcBorders>
            <w:noWrap/>
            <w:vAlign w:val="center"/>
          </w:tcPr>
          <w:p w14:paraId="139D1DCC">
            <w:pPr>
              <w:widowControl/>
              <w:ind w:firstLine="0" w:firstLineChars="0"/>
              <w:jc w:val="center"/>
              <w:textAlignment w:val="center"/>
              <w:rPr>
                <w:color w:val="000000"/>
                <w:sz w:val="18"/>
                <w:szCs w:val="18"/>
              </w:rPr>
            </w:pPr>
            <w:r>
              <w:rPr>
                <w:rFonts w:hint="eastAsia"/>
                <w:color w:val="000000"/>
                <w:kern w:val="0"/>
                <w:sz w:val="18"/>
                <w:szCs w:val="18"/>
              </w:rPr>
              <w:t xml:space="preserve">283786.29 </w:t>
            </w:r>
          </w:p>
        </w:tc>
        <w:tc>
          <w:tcPr>
            <w:tcW w:w="614" w:type="pct"/>
            <w:tcBorders>
              <w:top w:val="nil"/>
              <w:left w:val="nil"/>
              <w:bottom w:val="nil"/>
              <w:right w:val="nil"/>
            </w:tcBorders>
            <w:noWrap/>
            <w:vAlign w:val="center"/>
          </w:tcPr>
          <w:p w14:paraId="0D8CCB4B">
            <w:pPr>
              <w:widowControl/>
              <w:ind w:firstLine="0" w:firstLineChars="0"/>
              <w:jc w:val="center"/>
              <w:textAlignment w:val="center"/>
              <w:rPr>
                <w:color w:val="000000"/>
                <w:sz w:val="18"/>
                <w:szCs w:val="18"/>
              </w:rPr>
            </w:pPr>
            <w:r>
              <w:rPr>
                <w:rFonts w:hint="eastAsia"/>
                <w:color w:val="000000"/>
                <w:kern w:val="0"/>
                <w:sz w:val="18"/>
                <w:szCs w:val="18"/>
              </w:rPr>
              <w:t xml:space="preserve">354732.86 </w:t>
            </w:r>
          </w:p>
        </w:tc>
      </w:tr>
      <w:tr w14:paraId="04C8C9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700" w:type="pct"/>
            <w:tcBorders>
              <w:top w:val="nil"/>
              <w:left w:val="nil"/>
              <w:bottom w:val="single" w:color="auto" w:sz="12" w:space="0"/>
              <w:right w:val="nil"/>
            </w:tcBorders>
            <w:noWrap/>
            <w:vAlign w:val="center"/>
          </w:tcPr>
          <w:p w14:paraId="09B74B76">
            <w:pPr>
              <w:widowControl/>
              <w:ind w:firstLine="0" w:firstLineChars="0"/>
              <w:jc w:val="center"/>
              <w:textAlignment w:val="center"/>
              <w:rPr>
                <w:color w:val="000000"/>
                <w:sz w:val="18"/>
                <w:szCs w:val="18"/>
              </w:rPr>
            </w:pPr>
            <w:r>
              <w:rPr>
                <w:rFonts w:hint="eastAsia"/>
                <w:color w:val="000000"/>
                <w:kern w:val="0"/>
                <w:sz w:val="18"/>
                <w:szCs w:val="18"/>
              </w:rPr>
              <w:t>能源消费量</w:t>
            </w:r>
          </w:p>
        </w:tc>
        <w:tc>
          <w:tcPr>
            <w:tcW w:w="615" w:type="pct"/>
            <w:tcBorders>
              <w:top w:val="nil"/>
              <w:left w:val="nil"/>
              <w:bottom w:val="single" w:color="auto" w:sz="12" w:space="0"/>
              <w:right w:val="nil"/>
            </w:tcBorders>
            <w:noWrap/>
            <w:vAlign w:val="center"/>
          </w:tcPr>
          <w:p w14:paraId="57D6ABAF">
            <w:pPr>
              <w:widowControl/>
              <w:ind w:firstLine="0" w:firstLineChars="0"/>
              <w:jc w:val="center"/>
              <w:textAlignment w:val="center"/>
              <w:rPr>
                <w:color w:val="000000"/>
                <w:sz w:val="18"/>
                <w:szCs w:val="18"/>
              </w:rPr>
            </w:pPr>
            <w:r>
              <w:rPr>
                <w:rFonts w:hint="eastAsia"/>
                <w:color w:val="000000"/>
                <w:kern w:val="0"/>
                <w:sz w:val="18"/>
                <w:szCs w:val="18"/>
              </w:rPr>
              <w:t xml:space="preserve">36659.41 </w:t>
            </w:r>
          </w:p>
        </w:tc>
        <w:tc>
          <w:tcPr>
            <w:tcW w:w="615" w:type="pct"/>
            <w:tcBorders>
              <w:top w:val="nil"/>
              <w:left w:val="nil"/>
              <w:bottom w:val="single" w:color="auto" w:sz="12" w:space="0"/>
              <w:right w:val="nil"/>
            </w:tcBorders>
            <w:noWrap/>
            <w:vAlign w:val="center"/>
          </w:tcPr>
          <w:p w14:paraId="61852CCB">
            <w:pPr>
              <w:widowControl/>
              <w:ind w:firstLine="0" w:firstLineChars="0"/>
              <w:jc w:val="center"/>
              <w:textAlignment w:val="center"/>
              <w:rPr>
                <w:color w:val="000000"/>
                <w:sz w:val="18"/>
                <w:szCs w:val="18"/>
              </w:rPr>
            </w:pPr>
            <w:r>
              <w:rPr>
                <w:rFonts w:hint="eastAsia"/>
                <w:color w:val="000000"/>
                <w:kern w:val="0"/>
                <w:sz w:val="18"/>
                <w:szCs w:val="18"/>
              </w:rPr>
              <w:t xml:space="preserve">40638.84 </w:t>
            </w:r>
          </w:p>
        </w:tc>
        <w:tc>
          <w:tcPr>
            <w:tcW w:w="615" w:type="pct"/>
            <w:tcBorders>
              <w:top w:val="nil"/>
              <w:left w:val="nil"/>
              <w:bottom w:val="single" w:color="auto" w:sz="12" w:space="0"/>
              <w:right w:val="nil"/>
            </w:tcBorders>
            <w:noWrap/>
            <w:vAlign w:val="center"/>
          </w:tcPr>
          <w:p w14:paraId="4D1447E1">
            <w:pPr>
              <w:widowControl/>
              <w:ind w:firstLine="0" w:firstLineChars="0"/>
              <w:jc w:val="center"/>
              <w:textAlignment w:val="center"/>
              <w:rPr>
                <w:color w:val="000000"/>
                <w:sz w:val="18"/>
                <w:szCs w:val="18"/>
              </w:rPr>
            </w:pPr>
            <w:r>
              <w:rPr>
                <w:rFonts w:hint="eastAsia"/>
                <w:color w:val="000000"/>
                <w:kern w:val="0"/>
                <w:sz w:val="18"/>
                <w:szCs w:val="18"/>
              </w:rPr>
              <w:t xml:space="preserve">43391.85 </w:t>
            </w:r>
          </w:p>
        </w:tc>
        <w:tc>
          <w:tcPr>
            <w:tcW w:w="615" w:type="pct"/>
            <w:tcBorders>
              <w:top w:val="nil"/>
              <w:left w:val="nil"/>
              <w:bottom w:val="single" w:color="auto" w:sz="12" w:space="0"/>
              <w:right w:val="nil"/>
            </w:tcBorders>
            <w:noWrap/>
            <w:vAlign w:val="center"/>
          </w:tcPr>
          <w:p w14:paraId="1E165E4E">
            <w:pPr>
              <w:widowControl/>
              <w:ind w:firstLine="0" w:firstLineChars="0"/>
              <w:jc w:val="center"/>
              <w:textAlignment w:val="center"/>
              <w:rPr>
                <w:color w:val="000000"/>
                <w:sz w:val="18"/>
                <w:szCs w:val="18"/>
              </w:rPr>
            </w:pPr>
            <w:r>
              <w:rPr>
                <w:rFonts w:hint="eastAsia"/>
                <w:color w:val="000000"/>
                <w:kern w:val="0"/>
                <w:sz w:val="18"/>
                <w:szCs w:val="18"/>
              </w:rPr>
              <w:t xml:space="preserve">46427.15 </w:t>
            </w:r>
          </w:p>
        </w:tc>
        <w:tc>
          <w:tcPr>
            <w:tcW w:w="614" w:type="pct"/>
            <w:tcBorders>
              <w:top w:val="nil"/>
              <w:left w:val="nil"/>
              <w:bottom w:val="single" w:color="auto" w:sz="12" w:space="0"/>
              <w:right w:val="nil"/>
            </w:tcBorders>
            <w:noWrap/>
            <w:vAlign w:val="center"/>
          </w:tcPr>
          <w:p w14:paraId="5B2C8876">
            <w:pPr>
              <w:widowControl/>
              <w:ind w:firstLine="0" w:firstLineChars="0"/>
              <w:jc w:val="center"/>
              <w:textAlignment w:val="center"/>
              <w:rPr>
                <w:color w:val="000000"/>
                <w:sz w:val="18"/>
                <w:szCs w:val="18"/>
              </w:rPr>
            </w:pPr>
            <w:r>
              <w:rPr>
                <w:rFonts w:hint="eastAsia"/>
                <w:color w:val="000000"/>
                <w:kern w:val="0"/>
                <w:sz w:val="18"/>
                <w:szCs w:val="18"/>
              </w:rPr>
              <w:t xml:space="preserve">55519.38 </w:t>
            </w:r>
          </w:p>
        </w:tc>
        <w:tc>
          <w:tcPr>
            <w:tcW w:w="614" w:type="pct"/>
            <w:tcBorders>
              <w:top w:val="nil"/>
              <w:left w:val="nil"/>
              <w:bottom w:val="single" w:color="auto" w:sz="12" w:space="0"/>
              <w:right w:val="nil"/>
            </w:tcBorders>
            <w:noWrap/>
            <w:vAlign w:val="center"/>
          </w:tcPr>
          <w:p w14:paraId="567C0490">
            <w:pPr>
              <w:widowControl/>
              <w:ind w:firstLine="0" w:firstLineChars="0"/>
              <w:jc w:val="center"/>
              <w:textAlignment w:val="center"/>
              <w:rPr>
                <w:color w:val="000000"/>
                <w:sz w:val="18"/>
                <w:szCs w:val="18"/>
              </w:rPr>
            </w:pPr>
            <w:r>
              <w:rPr>
                <w:rFonts w:hint="eastAsia"/>
                <w:color w:val="000000"/>
                <w:kern w:val="0"/>
                <w:sz w:val="18"/>
                <w:szCs w:val="18"/>
              </w:rPr>
              <w:t xml:space="preserve">50543.39 </w:t>
            </w:r>
          </w:p>
        </w:tc>
        <w:tc>
          <w:tcPr>
            <w:tcW w:w="614" w:type="pct"/>
            <w:tcBorders>
              <w:top w:val="nil"/>
              <w:left w:val="nil"/>
              <w:bottom w:val="single" w:color="auto" w:sz="12" w:space="0"/>
              <w:right w:val="nil"/>
            </w:tcBorders>
            <w:noWrap/>
            <w:vAlign w:val="center"/>
          </w:tcPr>
          <w:p w14:paraId="6EC7DF27">
            <w:pPr>
              <w:widowControl/>
              <w:ind w:firstLine="0" w:firstLineChars="0"/>
              <w:jc w:val="center"/>
              <w:textAlignment w:val="center"/>
              <w:rPr>
                <w:color w:val="000000"/>
                <w:sz w:val="18"/>
                <w:szCs w:val="18"/>
              </w:rPr>
            </w:pPr>
            <w:r>
              <w:rPr>
                <w:rFonts w:hint="eastAsia"/>
                <w:color w:val="000000"/>
                <w:kern w:val="0"/>
                <w:sz w:val="18"/>
                <w:szCs w:val="18"/>
              </w:rPr>
              <w:t xml:space="preserve">51514.84 </w:t>
            </w:r>
          </w:p>
        </w:tc>
      </w:tr>
    </w:tbl>
    <w:p w14:paraId="65F72D87">
      <w:pPr>
        <w:ind w:firstLine="480" w:firstLineChars="0"/>
        <w:rPr>
          <w:rFonts w:ascii="等线" w:hAnsi="等线" w:eastAsia="等线"/>
          <w:b/>
          <w:bCs/>
          <w:sz w:val="21"/>
          <w:szCs w:val="21"/>
        </w:rPr>
      </w:pPr>
      <w:r>
        <w:rPr>
          <w:rFonts w:hint="eastAsia" w:ascii="宋体" w:hAnsi="宋体"/>
          <w:b/>
          <w:bCs/>
          <w:kern w:val="24"/>
          <w:szCs w:val="24"/>
        </w:rPr>
        <w:t>能源利用效率和非化石能源消费比重的目标值确定</w:t>
      </w:r>
    </w:p>
    <w:p w14:paraId="5B51613E">
      <w:pPr>
        <w:ind w:firstLine="480"/>
      </w:pPr>
      <w:r>
        <w:rPr>
          <w:rFonts w:hint="eastAsia"/>
        </w:rPr>
        <w:t>根据不同情景下对能源利用效率和非化石能源消费比重的规划，在此对其关键目标值进行设定，</w:t>
      </w:r>
    </w:p>
    <w:p w14:paraId="0813F51A">
      <w:pPr>
        <w:pStyle w:val="5"/>
        <w:keepNext/>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12</w:t>
      </w:r>
      <w:r>
        <w:fldChar w:fldCharType="end"/>
      </w:r>
      <w:r>
        <w:t xml:space="preserve"> </w:t>
      </w:r>
      <w:r>
        <w:rPr>
          <w:rFonts w:hint="eastAsia"/>
        </w:rPr>
        <w:t>区域不同情景下可行的关键目标值</w:t>
      </w:r>
    </w:p>
    <w:tbl>
      <w:tblPr>
        <w:tblStyle w:val="54"/>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93"/>
        <w:gridCol w:w="2393"/>
        <w:gridCol w:w="2393"/>
        <w:gridCol w:w="2393"/>
      </w:tblGrid>
      <w:tr w14:paraId="6BD693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50" w:type="pct"/>
          </w:tcPr>
          <w:p w14:paraId="43EB3A72">
            <w:pPr>
              <w:spacing w:line="400" w:lineRule="exact"/>
              <w:ind w:firstLine="0" w:firstLineChars="0"/>
              <w:jc w:val="center"/>
              <w:rPr>
                <w:rFonts w:eastAsia="Times New Roman"/>
                <w:kern w:val="24"/>
                <w:szCs w:val="24"/>
              </w:rPr>
            </w:pPr>
            <w:r>
              <w:rPr>
                <w:rFonts w:hint="eastAsia" w:eastAsia="宋体"/>
                <w:b/>
                <w:bCs/>
                <w:szCs w:val="24"/>
              </w:rPr>
              <w:t>BAU</w:t>
            </w:r>
          </w:p>
        </w:tc>
        <w:tc>
          <w:tcPr>
            <w:tcW w:w="1250" w:type="pct"/>
          </w:tcPr>
          <w:p w14:paraId="322DF903">
            <w:pPr>
              <w:spacing w:line="400" w:lineRule="exact"/>
              <w:ind w:firstLine="0" w:firstLineChars="0"/>
              <w:jc w:val="center"/>
              <w:rPr>
                <w:rFonts w:eastAsia="宋体"/>
                <w:kern w:val="24"/>
                <w:szCs w:val="24"/>
              </w:rPr>
            </w:pPr>
            <w:r>
              <w:rPr>
                <w:rFonts w:eastAsia="宋体"/>
                <w:szCs w:val="24"/>
              </w:rPr>
              <w:t>2021—2030年</w:t>
            </w:r>
          </w:p>
        </w:tc>
        <w:tc>
          <w:tcPr>
            <w:tcW w:w="1250" w:type="pct"/>
          </w:tcPr>
          <w:p w14:paraId="28B6BA83">
            <w:pPr>
              <w:spacing w:line="400" w:lineRule="exact"/>
              <w:ind w:firstLine="0" w:firstLineChars="0"/>
              <w:jc w:val="center"/>
              <w:rPr>
                <w:rFonts w:eastAsia="宋体"/>
                <w:kern w:val="24"/>
                <w:szCs w:val="24"/>
              </w:rPr>
            </w:pPr>
            <w:r>
              <w:rPr>
                <w:rFonts w:eastAsia="宋体"/>
                <w:szCs w:val="24"/>
              </w:rPr>
              <w:t>2030—2045年</w:t>
            </w:r>
          </w:p>
        </w:tc>
        <w:tc>
          <w:tcPr>
            <w:tcW w:w="1250" w:type="pct"/>
          </w:tcPr>
          <w:p w14:paraId="051E05F1">
            <w:pPr>
              <w:spacing w:line="400" w:lineRule="exact"/>
              <w:ind w:firstLine="0" w:firstLineChars="0"/>
              <w:jc w:val="center"/>
              <w:rPr>
                <w:rFonts w:eastAsia="宋体"/>
                <w:kern w:val="24"/>
                <w:szCs w:val="24"/>
              </w:rPr>
            </w:pPr>
            <w:r>
              <w:rPr>
                <w:rFonts w:eastAsia="宋体"/>
                <w:szCs w:val="24"/>
              </w:rPr>
              <w:t>2045—2060年</w:t>
            </w:r>
          </w:p>
        </w:tc>
      </w:tr>
      <w:tr w14:paraId="2802F8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50" w:type="pct"/>
          </w:tcPr>
          <w:p w14:paraId="21E7F12D">
            <w:pPr>
              <w:spacing w:line="400" w:lineRule="exact"/>
              <w:ind w:firstLine="0" w:firstLineChars="0"/>
              <w:jc w:val="center"/>
              <w:rPr>
                <w:rFonts w:eastAsia="宋体"/>
                <w:kern w:val="24"/>
                <w:sz w:val="21"/>
                <w:szCs w:val="21"/>
              </w:rPr>
            </w:pPr>
            <w:r>
              <w:rPr>
                <w:rFonts w:hint="eastAsia" w:eastAsia="宋体"/>
                <w:b/>
                <w:bCs/>
                <w:kern w:val="24"/>
                <w:sz w:val="21"/>
                <w:szCs w:val="21"/>
              </w:rPr>
              <w:t>单位GDP能耗</w:t>
            </w:r>
          </w:p>
        </w:tc>
        <w:tc>
          <w:tcPr>
            <w:tcW w:w="1250" w:type="pct"/>
          </w:tcPr>
          <w:p w14:paraId="5A1C1A8C">
            <w:pPr>
              <w:spacing w:line="400" w:lineRule="exact"/>
              <w:ind w:firstLine="0" w:firstLineChars="0"/>
              <w:jc w:val="center"/>
              <w:rPr>
                <w:rFonts w:eastAsia="宋体"/>
                <w:kern w:val="24"/>
                <w:szCs w:val="24"/>
              </w:rPr>
            </w:pPr>
            <w:r>
              <w:rPr>
                <w:rFonts w:eastAsia="宋体"/>
                <w:kern w:val="24"/>
                <w:szCs w:val="24"/>
              </w:rPr>
              <w:t>55%</w:t>
            </w:r>
          </w:p>
        </w:tc>
        <w:tc>
          <w:tcPr>
            <w:tcW w:w="1250" w:type="pct"/>
          </w:tcPr>
          <w:p w14:paraId="0333467A">
            <w:pPr>
              <w:spacing w:line="400" w:lineRule="exact"/>
              <w:ind w:firstLine="0" w:firstLineChars="0"/>
              <w:jc w:val="center"/>
              <w:rPr>
                <w:rFonts w:eastAsia="宋体"/>
                <w:kern w:val="24"/>
                <w:szCs w:val="24"/>
              </w:rPr>
            </w:pPr>
            <w:r>
              <w:rPr>
                <w:rFonts w:eastAsia="宋体"/>
                <w:kern w:val="24"/>
                <w:szCs w:val="24"/>
              </w:rPr>
              <w:t>57%</w:t>
            </w:r>
          </w:p>
        </w:tc>
        <w:tc>
          <w:tcPr>
            <w:tcW w:w="1250" w:type="pct"/>
          </w:tcPr>
          <w:p w14:paraId="61237316">
            <w:pPr>
              <w:spacing w:line="400" w:lineRule="exact"/>
              <w:ind w:firstLine="0" w:firstLineChars="0"/>
              <w:jc w:val="center"/>
              <w:rPr>
                <w:rFonts w:eastAsia="宋体"/>
                <w:kern w:val="24"/>
                <w:szCs w:val="24"/>
              </w:rPr>
            </w:pPr>
            <w:r>
              <w:rPr>
                <w:rFonts w:eastAsia="宋体"/>
                <w:kern w:val="24"/>
                <w:szCs w:val="24"/>
              </w:rPr>
              <w:t>56%</w:t>
            </w:r>
          </w:p>
        </w:tc>
      </w:tr>
      <w:tr w14:paraId="062976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50" w:type="pct"/>
            <w:tcBorders>
              <w:bottom w:val="single" w:color="auto" w:sz="12" w:space="0"/>
            </w:tcBorders>
          </w:tcPr>
          <w:p w14:paraId="150D9B7E">
            <w:pPr>
              <w:spacing w:line="400" w:lineRule="exact"/>
              <w:ind w:firstLine="0" w:firstLineChars="0"/>
              <w:rPr>
                <w:rFonts w:eastAsia="宋体"/>
                <w:b/>
                <w:bCs/>
                <w:kern w:val="24"/>
                <w:sz w:val="21"/>
                <w:szCs w:val="21"/>
              </w:rPr>
            </w:pPr>
            <w:r>
              <w:rPr>
                <w:rFonts w:hint="eastAsia" w:eastAsia="宋体"/>
                <w:b/>
                <w:bCs/>
                <w:kern w:val="24"/>
                <w:sz w:val="21"/>
                <w:szCs w:val="21"/>
              </w:rPr>
              <w:t>非化石能源消费比重</w:t>
            </w:r>
          </w:p>
        </w:tc>
        <w:tc>
          <w:tcPr>
            <w:tcW w:w="1250" w:type="pct"/>
            <w:tcBorders>
              <w:bottom w:val="single" w:color="auto" w:sz="12" w:space="0"/>
            </w:tcBorders>
          </w:tcPr>
          <w:p w14:paraId="4612FE06">
            <w:pPr>
              <w:spacing w:line="400" w:lineRule="exact"/>
              <w:ind w:firstLine="0" w:firstLineChars="0"/>
              <w:jc w:val="center"/>
              <w:rPr>
                <w:rFonts w:eastAsia="宋体"/>
                <w:kern w:val="24"/>
                <w:szCs w:val="24"/>
              </w:rPr>
            </w:pPr>
            <w:r>
              <w:rPr>
                <w:rFonts w:hint="eastAsia" w:eastAsia="宋体"/>
                <w:kern w:val="24"/>
                <w:szCs w:val="24"/>
              </w:rPr>
              <w:t>3.6</w:t>
            </w:r>
            <w:r>
              <w:rPr>
                <w:rFonts w:eastAsia="宋体"/>
                <w:kern w:val="24"/>
                <w:szCs w:val="24"/>
              </w:rPr>
              <w:t>%</w:t>
            </w:r>
          </w:p>
        </w:tc>
        <w:tc>
          <w:tcPr>
            <w:tcW w:w="1250" w:type="pct"/>
            <w:tcBorders>
              <w:bottom w:val="single" w:color="auto" w:sz="12" w:space="0"/>
            </w:tcBorders>
          </w:tcPr>
          <w:p w14:paraId="61A8106F">
            <w:pPr>
              <w:spacing w:line="400" w:lineRule="exact"/>
              <w:ind w:firstLine="0" w:firstLineChars="0"/>
              <w:jc w:val="center"/>
              <w:rPr>
                <w:rFonts w:eastAsia="宋体"/>
                <w:kern w:val="24"/>
                <w:szCs w:val="24"/>
              </w:rPr>
            </w:pPr>
            <w:r>
              <w:rPr>
                <w:rFonts w:hint="eastAsia" w:eastAsia="宋体"/>
                <w:kern w:val="24"/>
                <w:szCs w:val="24"/>
              </w:rPr>
              <w:t>3.5</w:t>
            </w:r>
            <w:r>
              <w:rPr>
                <w:rFonts w:eastAsia="宋体"/>
                <w:kern w:val="24"/>
                <w:szCs w:val="24"/>
              </w:rPr>
              <w:t>%</w:t>
            </w:r>
          </w:p>
        </w:tc>
        <w:tc>
          <w:tcPr>
            <w:tcW w:w="1250" w:type="pct"/>
            <w:tcBorders>
              <w:bottom w:val="single" w:color="auto" w:sz="12" w:space="0"/>
            </w:tcBorders>
          </w:tcPr>
          <w:p w14:paraId="078B4D84">
            <w:pPr>
              <w:spacing w:line="400" w:lineRule="exact"/>
              <w:ind w:firstLine="0" w:firstLineChars="0"/>
              <w:jc w:val="center"/>
              <w:rPr>
                <w:rFonts w:eastAsia="宋体"/>
                <w:kern w:val="24"/>
                <w:szCs w:val="24"/>
              </w:rPr>
            </w:pPr>
            <w:r>
              <w:rPr>
                <w:rFonts w:hint="eastAsia" w:eastAsia="宋体"/>
                <w:kern w:val="24"/>
                <w:szCs w:val="24"/>
              </w:rPr>
              <w:t>3.6</w:t>
            </w:r>
            <w:r>
              <w:rPr>
                <w:rFonts w:eastAsia="宋体"/>
                <w:kern w:val="24"/>
                <w:szCs w:val="24"/>
              </w:rPr>
              <w:t>%</w:t>
            </w:r>
          </w:p>
        </w:tc>
      </w:tr>
      <w:tr w14:paraId="2423EE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50" w:type="pct"/>
            <w:tcBorders>
              <w:top w:val="single" w:color="auto" w:sz="12" w:space="0"/>
              <w:bottom w:val="single" w:color="auto" w:sz="12" w:space="0"/>
            </w:tcBorders>
          </w:tcPr>
          <w:p w14:paraId="7FB7CDE1">
            <w:pPr>
              <w:spacing w:line="400" w:lineRule="exact"/>
              <w:ind w:firstLine="0" w:firstLineChars="0"/>
              <w:jc w:val="center"/>
              <w:rPr>
                <w:rFonts w:eastAsia="宋体"/>
                <w:b/>
                <w:bCs/>
                <w:kern w:val="24"/>
                <w:sz w:val="21"/>
                <w:szCs w:val="21"/>
              </w:rPr>
            </w:pPr>
            <w:r>
              <w:rPr>
                <w:rFonts w:hint="eastAsia" w:eastAsia="宋体"/>
                <w:b/>
                <w:bCs/>
                <w:kern w:val="24"/>
                <w:sz w:val="21"/>
                <w:szCs w:val="21"/>
              </w:rPr>
              <w:t>按时版</w:t>
            </w:r>
          </w:p>
        </w:tc>
        <w:tc>
          <w:tcPr>
            <w:tcW w:w="1250" w:type="pct"/>
            <w:tcBorders>
              <w:top w:val="single" w:color="auto" w:sz="12" w:space="0"/>
              <w:bottom w:val="single" w:color="auto" w:sz="12" w:space="0"/>
            </w:tcBorders>
          </w:tcPr>
          <w:p w14:paraId="49622C12">
            <w:pPr>
              <w:spacing w:line="400" w:lineRule="exact"/>
              <w:ind w:firstLine="0" w:firstLineChars="0"/>
              <w:jc w:val="center"/>
              <w:rPr>
                <w:rFonts w:eastAsia="宋体"/>
                <w:kern w:val="24"/>
                <w:szCs w:val="24"/>
              </w:rPr>
            </w:pPr>
            <w:r>
              <w:rPr>
                <w:rFonts w:eastAsia="宋体"/>
                <w:szCs w:val="24"/>
              </w:rPr>
              <w:t>2021—2030年</w:t>
            </w:r>
          </w:p>
        </w:tc>
        <w:tc>
          <w:tcPr>
            <w:tcW w:w="1250" w:type="pct"/>
            <w:tcBorders>
              <w:top w:val="single" w:color="auto" w:sz="12" w:space="0"/>
              <w:bottom w:val="single" w:color="auto" w:sz="12" w:space="0"/>
            </w:tcBorders>
          </w:tcPr>
          <w:p w14:paraId="564187C7">
            <w:pPr>
              <w:spacing w:line="400" w:lineRule="exact"/>
              <w:ind w:firstLine="0" w:firstLineChars="0"/>
              <w:jc w:val="center"/>
              <w:rPr>
                <w:rFonts w:eastAsia="宋体"/>
                <w:kern w:val="24"/>
                <w:szCs w:val="24"/>
              </w:rPr>
            </w:pPr>
            <w:r>
              <w:rPr>
                <w:rFonts w:eastAsia="宋体"/>
                <w:szCs w:val="24"/>
              </w:rPr>
              <w:t>2030—2045年</w:t>
            </w:r>
          </w:p>
        </w:tc>
        <w:tc>
          <w:tcPr>
            <w:tcW w:w="1250" w:type="pct"/>
            <w:tcBorders>
              <w:top w:val="single" w:color="auto" w:sz="12" w:space="0"/>
              <w:bottom w:val="single" w:color="auto" w:sz="12" w:space="0"/>
            </w:tcBorders>
          </w:tcPr>
          <w:p w14:paraId="2B02C3F2">
            <w:pPr>
              <w:spacing w:line="400" w:lineRule="exact"/>
              <w:ind w:firstLine="0" w:firstLineChars="0"/>
              <w:jc w:val="center"/>
              <w:rPr>
                <w:rFonts w:eastAsia="宋体"/>
                <w:kern w:val="24"/>
                <w:szCs w:val="24"/>
              </w:rPr>
            </w:pPr>
            <w:r>
              <w:rPr>
                <w:rFonts w:eastAsia="宋体"/>
                <w:szCs w:val="24"/>
              </w:rPr>
              <w:t>2045—2060年</w:t>
            </w:r>
          </w:p>
        </w:tc>
      </w:tr>
      <w:tr w14:paraId="0768E4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50" w:type="pct"/>
            <w:tcBorders>
              <w:top w:val="single" w:color="auto" w:sz="12" w:space="0"/>
            </w:tcBorders>
          </w:tcPr>
          <w:p w14:paraId="11912BE0">
            <w:pPr>
              <w:spacing w:line="400" w:lineRule="exact"/>
              <w:ind w:firstLine="0" w:firstLineChars="0"/>
              <w:jc w:val="center"/>
              <w:rPr>
                <w:rFonts w:eastAsia="宋体"/>
                <w:kern w:val="24"/>
                <w:sz w:val="21"/>
                <w:szCs w:val="21"/>
              </w:rPr>
            </w:pPr>
            <w:r>
              <w:rPr>
                <w:rFonts w:hint="eastAsia" w:eastAsia="宋体"/>
                <w:b/>
                <w:bCs/>
                <w:kern w:val="24"/>
                <w:sz w:val="21"/>
                <w:szCs w:val="21"/>
              </w:rPr>
              <w:t>单位GDP能耗</w:t>
            </w:r>
          </w:p>
        </w:tc>
        <w:tc>
          <w:tcPr>
            <w:tcW w:w="1250" w:type="pct"/>
            <w:tcBorders>
              <w:top w:val="single" w:color="auto" w:sz="12" w:space="0"/>
            </w:tcBorders>
          </w:tcPr>
          <w:p w14:paraId="094CF1F1">
            <w:pPr>
              <w:spacing w:line="400" w:lineRule="exact"/>
              <w:ind w:firstLine="0" w:firstLineChars="0"/>
              <w:jc w:val="center"/>
              <w:rPr>
                <w:rFonts w:eastAsia="宋体"/>
                <w:kern w:val="24"/>
                <w:szCs w:val="24"/>
              </w:rPr>
            </w:pPr>
            <w:r>
              <w:rPr>
                <w:rFonts w:hint="eastAsia" w:eastAsia="宋体"/>
                <w:kern w:val="24"/>
                <w:szCs w:val="24"/>
              </w:rPr>
              <w:t>45%</w:t>
            </w:r>
          </w:p>
        </w:tc>
        <w:tc>
          <w:tcPr>
            <w:tcW w:w="1250" w:type="pct"/>
            <w:tcBorders>
              <w:top w:val="single" w:color="auto" w:sz="12" w:space="0"/>
            </w:tcBorders>
          </w:tcPr>
          <w:p w14:paraId="67EA5B8D">
            <w:pPr>
              <w:spacing w:line="400" w:lineRule="exact"/>
              <w:ind w:firstLine="0" w:firstLineChars="0"/>
              <w:jc w:val="center"/>
              <w:rPr>
                <w:rFonts w:eastAsia="宋体"/>
                <w:kern w:val="24"/>
                <w:szCs w:val="24"/>
              </w:rPr>
            </w:pPr>
            <w:r>
              <w:rPr>
                <w:rFonts w:hint="eastAsia" w:eastAsia="宋体"/>
                <w:kern w:val="24"/>
                <w:szCs w:val="24"/>
              </w:rPr>
              <w:t>37%</w:t>
            </w:r>
          </w:p>
        </w:tc>
        <w:tc>
          <w:tcPr>
            <w:tcW w:w="1250" w:type="pct"/>
            <w:tcBorders>
              <w:top w:val="single" w:color="auto" w:sz="12" w:space="0"/>
            </w:tcBorders>
          </w:tcPr>
          <w:p w14:paraId="24C7287C">
            <w:pPr>
              <w:spacing w:line="400" w:lineRule="exact"/>
              <w:ind w:firstLine="0" w:firstLineChars="0"/>
              <w:jc w:val="center"/>
              <w:rPr>
                <w:rFonts w:eastAsia="宋体"/>
                <w:kern w:val="24"/>
                <w:szCs w:val="24"/>
              </w:rPr>
            </w:pPr>
            <w:r>
              <w:rPr>
                <w:rFonts w:hint="eastAsia" w:eastAsia="宋体"/>
                <w:kern w:val="24"/>
                <w:szCs w:val="24"/>
              </w:rPr>
              <w:t>27%</w:t>
            </w:r>
          </w:p>
        </w:tc>
      </w:tr>
      <w:tr w14:paraId="28A8C2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50" w:type="pct"/>
            <w:tcBorders>
              <w:bottom w:val="single" w:color="auto" w:sz="12" w:space="0"/>
            </w:tcBorders>
          </w:tcPr>
          <w:p w14:paraId="5E25330B">
            <w:pPr>
              <w:spacing w:line="400" w:lineRule="exact"/>
              <w:ind w:firstLine="0" w:firstLineChars="0"/>
              <w:rPr>
                <w:rFonts w:eastAsia="宋体"/>
                <w:b/>
                <w:bCs/>
                <w:kern w:val="24"/>
                <w:sz w:val="21"/>
                <w:szCs w:val="21"/>
              </w:rPr>
            </w:pPr>
            <w:r>
              <w:rPr>
                <w:rFonts w:hint="eastAsia" w:eastAsia="宋体"/>
                <w:b/>
                <w:bCs/>
                <w:kern w:val="24"/>
                <w:sz w:val="21"/>
                <w:szCs w:val="21"/>
              </w:rPr>
              <w:t>非化石能源消费比重</w:t>
            </w:r>
          </w:p>
        </w:tc>
        <w:tc>
          <w:tcPr>
            <w:tcW w:w="1250" w:type="pct"/>
            <w:tcBorders>
              <w:bottom w:val="single" w:color="auto" w:sz="12" w:space="0"/>
            </w:tcBorders>
          </w:tcPr>
          <w:p w14:paraId="5424203C">
            <w:pPr>
              <w:spacing w:line="400" w:lineRule="exact"/>
              <w:ind w:firstLine="0" w:firstLineChars="0"/>
              <w:jc w:val="center"/>
              <w:rPr>
                <w:rFonts w:eastAsia="宋体"/>
                <w:kern w:val="24"/>
                <w:szCs w:val="24"/>
              </w:rPr>
            </w:pPr>
            <w:r>
              <w:rPr>
                <w:rFonts w:hint="eastAsia" w:eastAsia="宋体"/>
                <w:kern w:val="24"/>
                <w:szCs w:val="24"/>
              </w:rPr>
              <w:t>9%</w:t>
            </w:r>
          </w:p>
        </w:tc>
        <w:tc>
          <w:tcPr>
            <w:tcW w:w="1250" w:type="pct"/>
            <w:tcBorders>
              <w:bottom w:val="single" w:color="auto" w:sz="12" w:space="0"/>
            </w:tcBorders>
          </w:tcPr>
          <w:p w14:paraId="08F58594">
            <w:pPr>
              <w:spacing w:line="400" w:lineRule="exact"/>
              <w:ind w:firstLine="0" w:firstLineChars="0"/>
              <w:jc w:val="center"/>
              <w:rPr>
                <w:rFonts w:eastAsia="宋体"/>
                <w:kern w:val="24"/>
                <w:szCs w:val="24"/>
              </w:rPr>
            </w:pPr>
            <w:r>
              <w:rPr>
                <w:rFonts w:hint="eastAsia" w:eastAsia="宋体"/>
                <w:kern w:val="24"/>
                <w:szCs w:val="24"/>
              </w:rPr>
              <w:t>15%</w:t>
            </w:r>
          </w:p>
        </w:tc>
        <w:tc>
          <w:tcPr>
            <w:tcW w:w="1250" w:type="pct"/>
            <w:tcBorders>
              <w:bottom w:val="single" w:color="auto" w:sz="12" w:space="0"/>
            </w:tcBorders>
          </w:tcPr>
          <w:p w14:paraId="4E1221D5">
            <w:pPr>
              <w:spacing w:line="400" w:lineRule="exact"/>
              <w:ind w:firstLine="0" w:firstLineChars="0"/>
              <w:jc w:val="center"/>
              <w:rPr>
                <w:rFonts w:eastAsia="宋体"/>
                <w:kern w:val="24"/>
                <w:szCs w:val="24"/>
              </w:rPr>
            </w:pPr>
            <w:r>
              <w:rPr>
                <w:rFonts w:hint="eastAsia" w:eastAsia="宋体"/>
                <w:kern w:val="24"/>
                <w:szCs w:val="24"/>
              </w:rPr>
              <w:t>26%</w:t>
            </w:r>
          </w:p>
        </w:tc>
      </w:tr>
      <w:tr w14:paraId="3A2858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50" w:type="pct"/>
            <w:tcBorders>
              <w:top w:val="single" w:color="auto" w:sz="12" w:space="0"/>
              <w:bottom w:val="single" w:color="auto" w:sz="12" w:space="0"/>
            </w:tcBorders>
          </w:tcPr>
          <w:p w14:paraId="6D3B2F7F">
            <w:pPr>
              <w:spacing w:line="400" w:lineRule="exact"/>
              <w:ind w:firstLine="0" w:firstLineChars="0"/>
              <w:jc w:val="center"/>
              <w:rPr>
                <w:rFonts w:eastAsia="宋体"/>
                <w:b/>
                <w:bCs/>
                <w:kern w:val="24"/>
                <w:sz w:val="21"/>
                <w:szCs w:val="21"/>
              </w:rPr>
            </w:pPr>
            <w:r>
              <w:rPr>
                <w:rFonts w:hint="eastAsia" w:eastAsia="宋体"/>
                <w:b/>
                <w:bCs/>
                <w:kern w:val="24"/>
                <w:sz w:val="21"/>
                <w:szCs w:val="21"/>
              </w:rPr>
              <w:t>雄心版</w:t>
            </w:r>
          </w:p>
        </w:tc>
        <w:tc>
          <w:tcPr>
            <w:tcW w:w="1250" w:type="pct"/>
            <w:tcBorders>
              <w:top w:val="single" w:color="auto" w:sz="12" w:space="0"/>
              <w:bottom w:val="single" w:color="auto" w:sz="12" w:space="0"/>
            </w:tcBorders>
          </w:tcPr>
          <w:p w14:paraId="129A0A69">
            <w:pPr>
              <w:spacing w:line="400" w:lineRule="exact"/>
              <w:ind w:firstLine="0" w:firstLineChars="0"/>
              <w:jc w:val="center"/>
              <w:rPr>
                <w:rFonts w:eastAsia="宋体"/>
                <w:kern w:val="24"/>
                <w:szCs w:val="24"/>
              </w:rPr>
            </w:pPr>
            <w:r>
              <w:rPr>
                <w:rFonts w:eastAsia="宋体"/>
                <w:szCs w:val="24"/>
              </w:rPr>
              <w:t>2021—2030年</w:t>
            </w:r>
          </w:p>
        </w:tc>
        <w:tc>
          <w:tcPr>
            <w:tcW w:w="1250" w:type="pct"/>
            <w:tcBorders>
              <w:top w:val="single" w:color="auto" w:sz="12" w:space="0"/>
              <w:bottom w:val="single" w:color="auto" w:sz="12" w:space="0"/>
            </w:tcBorders>
          </w:tcPr>
          <w:p w14:paraId="3A8E0795">
            <w:pPr>
              <w:spacing w:line="400" w:lineRule="exact"/>
              <w:ind w:firstLine="0" w:firstLineChars="0"/>
              <w:jc w:val="center"/>
              <w:rPr>
                <w:rFonts w:eastAsia="宋体"/>
                <w:kern w:val="24"/>
                <w:szCs w:val="24"/>
              </w:rPr>
            </w:pPr>
            <w:r>
              <w:rPr>
                <w:rFonts w:eastAsia="宋体"/>
                <w:szCs w:val="24"/>
              </w:rPr>
              <w:t>2030—2045年</w:t>
            </w:r>
          </w:p>
        </w:tc>
        <w:tc>
          <w:tcPr>
            <w:tcW w:w="1250" w:type="pct"/>
            <w:tcBorders>
              <w:top w:val="single" w:color="auto" w:sz="12" w:space="0"/>
              <w:bottom w:val="single" w:color="auto" w:sz="12" w:space="0"/>
            </w:tcBorders>
          </w:tcPr>
          <w:p w14:paraId="75C5A3C3">
            <w:pPr>
              <w:spacing w:line="400" w:lineRule="exact"/>
              <w:ind w:firstLine="0" w:firstLineChars="0"/>
              <w:jc w:val="center"/>
              <w:rPr>
                <w:rFonts w:eastAsia="宋体"/>
                <w:kern w:val="24"/>
                <w:szCs w:val="24"/>
              </w:rPr>
            </w:pPr>
            <w:r>
              <w:rPr>
                <w:rFonts w:eastAsia="宋体"/>
                <w:szCs w:val="24"/>
              </w:rPr>
              <w:t>2045—2060年</w:t>
            </w:r>
          </w:p>
        </w:tc>
      </w:tr>
      <w:tr w14:paraId="01F404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50" w:type="pct"/>
            <w:tcBorders>
              <w:top w:val="single" w:color="auto" w:sz="12" w:space="0"/>
            </w:tcBorders>
          </w:tcPr>
          <w:p w14:paraId="38D2D09C">
            <w:pPr>
              <w:spacing w:line="400" w:lineRule="exact"/>
              <w:ind w:firstLine="0" w:firstLineChars="0"/>
              <w:jc w:val="center"/>
              <w:rPr>
                <w:rFonts w:eastAsia="宋体"/>
                <w:kern w:val="24"/>
                <w:sz w:val="21"/>
                <w:szCs w:val="21"/>
              </w:rPr>
            </w:pPr>
            <w:r>
              <w:rPr>
                <w:rFonts w:hint="eastAsia" w:eastAsia="宋体"/>
                <w:b/>
                <w:bCs/>
                <w:kern w:val="24"/>
                <w:sz w:val="21"/>
                <w:szCs w:val="21"/>
              </w:rPr>
              <w:t>单位GDP能耗</w:t>
            </w:r>
          </w:p>
        </w:tc>
        <w:tc>
          <w:tcPr>
            <w:tcW w:w="1250" w:type="pct"/>
            <w:tcBorders>
              <w:top w:val="single" w:color="auto" w:sz="12" w:space="0"/>
            </w:tcBorders>
          </w:tcPr>
          <w:p w14:paraId="0A99CEEF">
            <w:pPr>
              <w:spacing w:line="400" w:lineRule="exact"/>
              <w:ind w:firstLine="0" w:firstLineChars="0"/>
              <w:jc w:val="center"/>
              <w:rPr>
                <w:rFonts w:eastAsia="宋体"/>
                <w:kern w:val="24"/>
                <w:szCs w:val="24"/>
              </w:rPr>
            </w:pPr>
            <w:r>
              <w:rPr>
                <w:rFonts w:hint="eastAsia" w:eastAsia="宋体"/>
                <w:kern w:val="24"/>
                <w:szCs w:val="24"/>
              </w:rPr>
              <w:t>40%</w:t>
            </w:r>
          </w:p>
        </w:tc>
        <w:tc>
          <w:tcPr>
            <w:tcW w:w="1250" w:type="pct"/>
            <w:tcBorders>
              <w:top w:val="single" w:color="auto" w:sz="12" w:space="0"/>
            </w:tcBorders>
          </w:tcPr>
          <w:p w14:paraId="49A46DA2">
            <w:pPr>
              <w:spacing w:line="400" w:lineRule="exact"/>
              <w:ind w:firstLine="0" w:firstLineChars="0"/>
              <w:jc w:val="center"/>
              <w:rPr>
                <w:rFonts w:eastAsia="宋体"/>
                <w:kern w:val="24"/>
                <w:szCs w:val="24"/>
              </w:rPr>
            </w:pPr>
            <w:r>
              <w:rPr>
                <w:rFonts w:hint="eastAsia" w:eastAsia="宋体"/>
                <w:kern w:val="24"/>
                <w:szCs w:val="24"/>
              </w:rPr>
              <w:t>27%</w:t>
            </w:r>
          </w:p>
        </w:tc>
        <w:tc>
          <w:tcPr>
            <w:tcW w:w="1250" w:type="pct"/>
            <w:tcBorders>
              <w:top w:val="single" w:color="auto" w:sz="12" w:space="0"/>
            </w:tcBorders>
          </w:tcPr>
          <w:p w14:paraId="440EAC47">
            <w:pPr>
              <w:spacing w:line="400" w:lineRule="exact"/>
              <w:ind w:firstLine="0" w:firstLineChars="0"/>
              <w:jc w:val="center"/>
              <w:rPr>
                <w:rFonts w:eastAsia="宋体"/>
                <w:kern w:val="24"/>
                <w:szCs w:val="24"/>
              </w:rPr>
            </w:pPr>
            <w:r>
              <w:rPr>
                <w:rFonts w:hint="eastAsia" w:eastAsia="宋体"/>
                <w:kern w:val="24"/>
                <w:szCs w:val="24"/>
              </w:rPr>
              <w:t>20%</w:t>
            </w:r>
          </w:p>
        </w:tc>
      </w:tr>
      <w:tr w14:paraId="6E3CBA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50" w:type="pct"/>
          </w:tcPr>
          <w:p w14:paraId="094EFB6C">
            <w:pPr>
              <w:spacing w:line="400" w:lineRule="exact"/>
              <w:ind w:firstLine="0" w:firstLineChars="0"/>
              <w:rPr>
                <w:rFonts w:eastAsia="宋体"/>
                <w:b/>
                <w:bCs/>
                <w:kern w:val="24"/>
                <w:sz w:val="21"/>
                <w:szCs w:val="21"/>
              </w:rPr>
            </w:pPr>
            <w:r>
              <w:rPr>
                <w:rFonts w:hint="eastAsia" w:eastAsia="宋体"/>
                <w:b/>
                <w:bCs/>
                <w:kern w:val="24"/>
                <w:sz w:val="21"/>
                <w:szCs w:val="21"/>
              </w:rPr>
              <w:t>非化石能源消费比重</w:t>
            </w:r>
          </w:p>
        </w:tc>
        <w:tc>
          <w:tcPr>
            <w:tcW w:w="1250" w:type="pct"/>
          </w:tcPr>
          <w:p w14:paraId="36100FC4">
            <w:pPr>
              <w:spacing w:line="400" w:lineRule="exact"/>
              <w:ind w:firstLine="0" w:firstLineChars="0"/>
              <w:jc w:val="center"/>
              <w:rPr>
                <w:rFonts w:eastAsia="宋体"/>
                <w:kern w:val="24"/>
                <w:szCs w:val="24"/>
              </w:rPr>
            </w:pPr>
            <w:r>
              <w:rPr>
                <w:rFonts w:hint="eastAsia" w:eastAsia="宋体"/>
                <w:b/>
                <w:bCs/>
                <w:color w:val="7030A0"/>
                <w:kern w:val="24"/>
                <w:szCs w:val="24"/>
              </w:rPr>
              <w:t>8%</w:t>
            </w:r>
          </w:p>
        </w:tc>
        <w:tc>
          <w:tcPr>
            <w:tcW w:w="1250" w:type="pct"/>
          </w:tcPr>
          <w:p w14:paraId="21399F26">
            <w:pPr>
              <w:spacing w:line="400" w:lineRule="exact"/>
              <w:ind w:firstLine="0" w:firstLineChars="0"/>
              <w:jc w:val="center"/>
              <w:rPr>
                <w:rFonts w:eastAsia="宋体"/>
                <w:kern w:val="24"/>
                <w:szCs w:val="24"/>
              </w:rPr>
            </w:pPr>
            <w:r>
              <w:rPr>
                <w:rFonts w:hint="eastAsia" w:eastAsia="宋体"/>
                <w:kern w:val="24"/>
                <w:szCs w:val="24"/>
              </w:rPr>
              <w:t>20%</w:t>
            </w:r>
          </w:p>
        </w:tc>
        <w:tc>
          <w:tcPr>
            <w:tcW w:w="1250" w:type="pct"/>
          </w:tcPr>
          <w:p w14:paraId="3A9B2DE7">
            <w:pPr>
              <w:spacing w:line="400" w:lineRule="exact"/>
              <w:ind w:firstLine="0" w:firstLineChars="0"/>
              <w:jc w:val="center"/>
              <w:rPr>
                <w:rFonts w:eastAsia="宋体"/>
                <w:kern w:val="24"/>
                <w:szCs w:val="24"/>
              </w:rPr>
            </w:pPr>
            <w:r>
              <w:rPr>
                <w:rFonts w:hint="eastAsia" w:eastAsia="宋体"/>
                <w:kern w:val="24"/>
                <w:szCs w:val="24"/>
              </w:rPr>
              <w:t>33%</w:t>
            </w:r>
          </w:p>
        </w:tc>
      </w:tr>
    </w:tbl>
    <w:p w14:paraId="764A3ACB">
      <w:pPr>
        <w:ind w:firstLine="482"/>
        <w:rPr>
          <w:b/>
          <w:bCs/>
          <w:kern w:val="24"/>
          <w:szCs w:val="24"/>
        </w:rPr>
      </w:pPr>
      <w:r>
        <w:rPr>
          <w:rFonts w:hint="eastAsia"/>
          <w:b/>
          <w:bCs/>
          <w:kern w:val="24"/>
          <w:szCs w:val="24"/>
        </w:rPr>
        <w:t>聚焦雄心版情景的相关数据定性定量分析</w:t>
      </w:r>
    </w:p>
    <w:p w14:paraId="5CD4ABA1">
      <w:pPr>
        <w:ind w:firstLine="480"/>
        <w:rPr>
          <w:kern w:val="24"/>
          <w:szCs w:val="24"/>
        </w:rPr>
      </w:pPr>
      <w:r>
        <w:rPr>
          <w:rFonts w:hint="eastAsia"/>
          <w:kern w:val="24"/>
          <w:szCs w:val="24"/>
        </w:rPr>
        <w:t>区域能源供应部门运用化石能源发电的消费量2026年增速下滑，在2035年达到峰值17087.28</w:t>
      </w:r>
      <w:r>
        <w:t>万tce</w:t>
      </w:r>
      <w:r>
        <w:rPr>
          <w:rFonts w:hint="eastAsia"/>
        </w:rPr>
        <w:t>，2035年能之后化石能源消费量开始并保持高速下降，2060年比2051年石化能源发电消费量下降10.83%。</w:t>
      </w:r>
    </w:p>
    <w:p w14:paraId="65C92EC1">
      <w:pPr>
        <w:ind w:firstLine="480"/>
        <w:rPr>
          <w:kern w:val="24"/>
          <w:szCs w:val="24"/>
        </w:rPr>
      </w:pPr>
      <w:r>
        <w:rPr>
          <w:rFonts w:hint="eastAsia"/>
        </w:rPr>
        <w:t>居民消费部门二次能源消费量2021至2035期间由于石化能源发电的占比下降，热力供应的紧张和新能源技术的逐步发展，保持20%左右的增长率，到2036年加速度达到顶峰。</w:t>
      </w:r>
    </w:p>
    <w:p w14:paraId="72139833">
      <w:pPr>
        <w:ind w:firstLine="480"/>
        <w:rPr>
          <w:kern w:val="24"/>
          <w:szCs w:val="24"/>
        </w:rPr>
      </w:pPr>
      <w:r>
        <w:rPr>
          <w:rFonts w:hint="eastAsia"/>
        </w:rPr>
        <w:t>农业部门现阶段二次能源活动较小，一次石化能源较大，而后的碳中和阶段加速二次能源的使用，减少对石化能源的依赖，发展低碳农业。</w:t>
      </w:r>
    </w:p>
    <w:p w14:paraId="6877DCE6">
      <w:pPr>
        <w:ind w:firstLine="480"/>
      </w:pPr>
      <w:r>
        <w:rPr>
          <w:rFonts w:hint="eastAsia"/>
        </w:rPr>
        <w:t>碳中和阶段重点关注工业部门一次石化能源的消费量变化。在超前完成碳达峰目标驱动下，工业部门存在着用电转型困境，不能一棒子打死对石化能源的依赖，必竟石化能源的供应在碳达峰期间仍处于重要地位。但是能源供应部门在2033之前发展清洁能源的力度受限制。原因是政府和企业在替代能源使用的同时不能“大跃进”，要兼顾用电需求和区域经济实力。非石化能源的发展资金来自于石化能源供应的资本支出转增和利润分配，2033年在碳达峰之后，石化能源的设备、基建投资保持较低比例，逐步淘汰落后产能和产能替换，消费量达到峰值并快速减少。一次2036-2040年和2041至2050年，能源供应部门的一次非石化消费量将爆炸式增加以满足区域社会用电需求。能源电气化和数字化程度空前。</w:t>
      </w:r>
    </w:p>
    <w:p w14:paraId="46FF5415">
      <w:pPr>
        <w:pStyle w:val="5"/>
        <w:keepNext/>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13</w:t>
      </w:r>
      <w:r>
        <w:fldChar w:fldCharType="end"/>
      </w:r>
      <w:r>
        <w:t xml:space="preserve"> </w:t>
      </w:r>
      <w:r>
        <w:rPr>
          <w:rFonts w:hint="eastAsia"/>
        </w:rPr>
        <w:t>雄心版情景相关数据表</w:t>
      </w:r>
    </w:p>
    <w:tbl>
      <w:tblPr>
        <w:tblStyle w:val="19"/>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24"/>
        <w:gridCol w:w="1135"/>
        <w:gridCol w:w="1135"/>
        <w:gridCol w:w="1135"/>
        <w:gridCol w:w="1135"/>
        <w:gridCol w:w="1135"/>
        <w:gridCol w:w="1173"/>
      </w:tblGrid>
      <w:tr w14:paraId="70D546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419" w:type="pct"/>
            <w:tcBorders>
              <w:bottom w:val="single" w:color="auto" w:sz="12" w:space="0"/>
            </w:tcBorders>
            <w:noWrap/>
            <w:vAlign w:val="center"/>
          </w:tcPr>
          <w:p w14:paraId="14F97632">
            <w:pPr>
              <w:spacing w:line="400" w:lineRule="exact"/>
              <w:ind w:firstLine="0" w:firstLineChars="0"/>
              <w:jc w:val="center"/>
              <w:rPr>
                <w:b/>
                <w:bCs/>
                <w:kern w:val="24"/>
                <w:sz w:val="21"/>
                <w:szCs w:val="21"/>
              </w:rPr>
            </w:pPr>
            <w:r>
              <w:rPr>
                <w:b/>
                <w:bCs/>
                <w:kern w:val="24"/>
                <w:sz w:val="21"/>
                <w:szCs w:val="21"/>
              </w:rPr>
              <w:t>增长率</w:t>
            </w:r>
          </w:p>
        </w:tc>
        <w:tc>
          <w:tcPr>
            <w:tcW w:w="593" w:type="pct"/>
            <w:tcBorders>
              <w:bottom w:val="single" w:color="auto" w:sz="12" w:space="0"/>
            </w:tcBorders>
            <w:noWrap/>
            <w:vAlign w:val="center"/>
          </w:tcPr>
          <w:p w14:paraId="41380B98">
            <w:pPr>
              <w:spacing w:line="400" w:lineRule="exact"/>
              <w:ind w:firstLine="0" w:firstLineChars="0"/>
              <w:jc w:val="center"/>
              <w:rPr>
                <w:b/>
                <w:bCs/>
                <w:kern w:val="24"/>
                <w:sz w:val="21"/>
                <w:szCs w:val="21"/>
              </w:rPr>
            </w:pPr>
            <w:r>
              <w:rPr>
                <w:b/>
                <w:bCs/>
                <w:kern w:val="24"/>
                <w:sz w:val="21"/>
                <w:szCs w:val="21"/>
              </w:rPr>
              <w:t>2021—2025年</w:t>
            </w:r>
          </w:p>
        </w:tc>
        <w:tc>
          <w:tcPr>
            <w:tcW w:w="594" w:type="pct"/>
            <w:tcBorders>
              <w:bottom w:val="single" w:color="auto" w:sz="12" w:space="0"/>
            </w:tcBorders>
            <w:noWrap/>
            <w:vAlign w:val="center"/>
          </w:tcPr>
          <w:p w14:paraId="1E219F3C">
            <w:pPr>
              <w:spacing w:line="400" w:lineRule="exact"/>
              <w:ind w:firstLine="0" w:firstLineChars="0"/>
              <w:jc w:val="center"/>
              <w:rPr>
                <w:b/>
                <w:bCs/>
                <w:kern w:val="24"/>
                <w:sz w:val="21"/>
                <w:szCs w:val="21"/>
              </w:rPr>
            </w:pPr>
            <w:r>
              <w:rPr>
                <w:b/>
                <w:bCs/>
                <w:kern w:val="24"/>
                <w:sz w:val="21"/>
                <w:szCs w:val="21"/>
              </w:rPr>
              <w:t>2026—2030年</w:t>
            </w:r>
          </w:p>
        </w:tc>
        <w:tc>
          <w:tcPr>
            <w:tcW w:w="594" w:type="pct"/>
            <w:tcBorders>
              <w:bottom w:val="single" w:color="auto" w:sz="12" w:space="0"/>
            </w:tcBorders>
            <w:noWrap/>
            <w:vAlign w:val="center"/>
          </w:tcPr>
          <w:p w14:paraId="0AE6928C">
            <w:pPr>
              <w:spacing w:line="400" w:lineRule="exact"/>
              <w:ind w:firstLine="0" w:firstLineChars="0"/>
              <w:jc w:val="center"/>
              <w:rPr>
                <w:b/>
                <w:bCs/>
                <w:kern w:val="24"/>
                <w:sz w:val="21"/>
                <w:szCs w:val="21"/>
              </w:rPr>
            </w:pPr>
            <w:r>
              <w:rPr>
                <w:b/>
                <w:bCs/>
                <w:kern w:val="24"/>
                <w:sz w:val="21"/>
                <w:szCs w:val="21"/>
              </w:rPr>
              <w:t>2031—2035年</w:t>
            </w:r>
          </w:p>
        </w:tc>
        <w:tc>
          <w:tcPr>
            <w:tcW w:w="594" w:type="pct"/>
            <w:tcBorders>
              <w:bottom w:val="single" w:color="auto" w:sz="12" w:space="0"/>
            </w:tcBorders>
            <w:shd w:val="clear" w:color="auto" w:fill="92D050"/>
            <w:noWrap/>
            <w:vAlign w:val="center"/>
          </w:tcPr>
          <w:p w14:paraId="4A90BEDB">
            <w:pPr>
              <w:spacing w:line="400" w:lineRule="exact"/>
              <w:ind w:firstLine="0" w:firstLineChars="0"/>
              <w:jc w:val="center"/>
              <w:rPr>
                <w:b/>
                <w:bCs/>
                <w:kern w:val="24"/>
                <w:sz w:val="21"/>
                <w:szCs w:val="21"/>
              </w:rPr>
            </w:pPr>
            <w:r>
              <w:rPr>
                <w:b/>
                <w:bCs/>
                <w:kern w:val="24"/>
                <w:sz w:val="21"/>
                <w:szCs w:val="21"/>
              </w:rPr>
              <w:t>2036—</w:t>
            </w:r>
            <w:r>
              <w:rPr>
                <w:rFonts w:hint="eastAsia"/>
                <w:b/>
                <w:bCs/>
                <w:kern w:val="24"/>
                <w:sz w:val="21"/>
                <w:szCs w:val="21"/>
              </w:rPr>
              <w:t>2</w:t>
            </w:r>
            <w:r>
              <w:rPr>
                <w:b/>
                <w:bCs/>
                <w:kern w:val="24"/>
                <w:sz w:val="21"/>
                <w:szCs w:val="21"/>
              </w:rPr>
              <w:t>040年</w:t>
            </w:r>
          </w:p>
        </w:tc>
        <w:tc>
          <w:tcPr>
            <w:tcW w:w="594" w:type="pct"/>
            <w:tcBorders>
              <w:bottom w:val="single" w:color="auto" w:sz="12" w:space="0"/>
            </w:tcBorders>
            <w:noWrap/>
            <w:vAlign w:val="center"/>
          </w:tcPr>
          <w:p w14:paraId="2DF6A1AA">
            <w:pPr>
              <w:spacing w:line="400" w:lineRule="exact"/>
              <w:ind w:firstLine="0" w:firstLineChars="0"/>
              <w:jc w:val="center"/>
              <w:rPr>
                <w:b/>
                <w:bCs/>
                <w:kern w:val="24"/>
                <w:sz w:val="21"/>
                <w:szCs w:val="21"/>
              </w:rPr>
            </w:pPr>
            <w:r>
              <w:rPr>
                <w:b/>
                <w:bCs/>
                <w:kern w:val="24"/>
                <w:sz w:val="21"/>
                <w:szCs w:val="21"/>
              </w:rPr>
              <w:t>2041—2050年</w:t>
            </w:r>
          </w:p>
        </w:tc>
        <w:tc>
          <w:tcPr>
            <w:tcW w:w="613" w:type="pct"/>
            <w:tcBorders>
              <w:bottom w:val="single" w:color="auto" w:sz="12" w:space="0"/>
            </w:tcBorders>
            <w:noWrap/>
            <w:vAlign w:val="center"/>
          </w:tcPr>
          <w:p w14:paraId="69A4C2E2">
            <w:pPr>
              <w:spacing w:line="400" w:lineRule="exact"/>
              <w:ind w:firstLine="0" w:firstLineChars="0"/>
              <w:jc w:val="center"/>
              <w:rPr>
                <w:b/>
                <w:bCs/>
                <w:kern w:val="24"/>
                <w:sz w:val="21"/>
                <w:szCs w:val="21"/>
              </w:rPr>
            </w:pPr>
            <w:r>
              <w:rPr>
                <w:b/>
                <w:bCs/>
                <w:kern w:val="24"/>
                <w:sz w:val="21"/>
                <w:szCs w:val="21"/>
              </w:rPr>
              <w:t>2 051—2060年</w:t>
            </w:r>
          </w:p>
        </w:tc>
      </w:tr>
      <w:tr w14:paraId="6DD05C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0" w:hRule="atLeast"/>
        </w:trPr>
        <w:tc>
          <w:tcPr>
            <w:tcW w:w="1419" w:type="pct"/>
            <w:tcBorders>
              <w:top w:val="single" w:color="auto" w:sz="12" w:space="0"/>
            </w:tcBorders>
            <w:noWrap/>
            <w:vAlign w:val="center"/>
          </w:tcPr>
          <w:p w14:paraId="410E9803">
            <w:pPr>
              <w:spacing w:line="400" w:lineRule="exact"/>
              <w:ind w:firstLine="0" w:firstLineChars="0"/>
              <w:jc w:val="center"/>
              <w:rPr>
                <w:b/>
                <w:bCs/>
                <w:kern w:val="24"/>
                <w:sz w:val="21"/>
                <w:szCs w:val="21"/>
              </w:rPr>
            </w:pPr>
            <w:r>
              <w:rPr>
                <w:b/>
                <w:bCs/>
                <w:kern w:val="24"/>
                <w:sz w:val="21"/>
                <w:szCs w:val="21"/>
              </w:rPr>
              <w:t>石</w:t>
            </w:r>
            <w:r>
              <w:rPr>
                <w:rFonts w:hint="eastAsia"/>
                <w:b/>
                <w:bCs/>
                <w:kern w:val="24"/>
                <w:sz w:val="21"/>
                <w:szCs w:val="21"/>
              </w:rPr>
              <w:t>化</w:t>
            </w:r>
            <w:r>
              <w:rPr>
                <w:b/>
                <w:bCs/>
                <w:kern w:val="24"/>
                <w:sz w:val="21"/>
                <w:szCs w:val="21"/>
              </w:rPr>
              <w:t>能源发电消费量</w:t>
            </w:r>
          </w:p>
        </w:tc>
        <w:tc>
          <w:tcPr>
            <w:tcW w:w="593" w:type="pct"/>
            <w:tcBorders>
              <w:top w:val="single" w:color="auto" w:sz="12" w:space="0"/>
            </w:tcBorders>
            <w:noWrap/>
            <w:vAlign w:val="center"/>
          </w:tcPr>
          <w:p w14:paraId="67EA81A1">
            <w:pPr>
              <w:spacing w:line="400" w:lineRule="exact"/>
              <w:ind w:firstLine="0" w:firstLineChars="0"/>
              <w:jc w:val="center"/>
              <w:rPr>
                <w:b/>
                <w:bCs/>
                <w:kern w:val="24"/>
                <w:sz w:val="21"/>
                <w:szCs w:val="21"/>
              </w:rPr>
            </w:pPr>
            <w:r>
              <w:rPr>
                <w:b/>
                <w:bCs/>
                <w:kern w:val="24"/>
                <w:sz w:val="21"/>
                <w:szCs w:val="21"/>
              </w:rPr>
              <w:t>7.16%</w:t>
            </w:r>
          </w:p>
        </w:tc>
        <w:tc>
          <w:tcPr>
            <w:tcW w:w="594" w:type="pct"/>
            <w:tcBorders>
              <w:top w:val="single" w:color="auto" w:sz="12" w:space="0"/>
            </w:tcBorders>
            <w:noWrap/>
            <w:vAlign w:val="center"/>
          </w:tcPr>
          <w:p w14:paraId="2A7BF5D3">
            <w:pPr>
              <w:spacing w:line="400" w:lineRule="exact"/>
              <w:ind w:firstLine="0" w:firstLineChars="0"/>
              <w:jc w:val="center"/>
              <w:rPr>
                <w:b/>
                <w:bCs/>
                <w:kern w:val="24"/>
                <w:sz w:val="21"/>
                <w:szCs w:val="21"/>
              </w:rPr>
            </w:pPr>
            <w:r>
              <w:rPr>
                <w:b/>
                <w:bCs/>
                <w:kern w:val="24"/>
                <w:sz w:val="21"/>
                <w:szCs w:val="21"/>
              </w:rPr>
              <w:t>6.57%</w:t>
            </w:r>
          </w:p>
        </w:tc>
        <w:tc>
          <w:tcPr>
            <w:tcW w:w="594" w:type="pct"/>
            <w:tcBorders>
              <w:top w:val="single" w:color="auto" w:sz="12" w:space="0"/>
            </w:tcBorders>
            <w:noWrap/>
            <w:vAlign w:val="center"/>
          </w:tcPr>
          <w:p w14:paraId="70926E8D">
            <w:pPr>
              <w:spacing w:line="400" w:lineRule="exact"/>
              <w:ind w:firstLine="0" w:firstLineChars="0"/>
              <w:jc w:val="center"/>
              <w:rPr>
                <w:b/>
                <w:bCs/>
                <w:kern w:val="24"/>
                <w:sz w:val="21"/>
                <w:szCs w:val="21"/>
              </w:rPr>
            </w:pPr>
            <w:r>
              <w:rPr>
                <w:b/>
                <w:bCs/>
                <w:kern w:val="24"/>
                <w:sz w:val="21"/>
                <w:szCs w:val="21"/>
              </w:rPr>
              <w:t>6.07%</w:t>
            </w:r>
          </w:p>
        </w:tc>
        <w:tc>
          <w:tcPr>
            <w:tcW w:w="594" w:type="pct"/>
            <w:tcBorders>
              <w:top w:val="single" w:color="auto" w:sz="12" w:space="0"/>
            </w:tcBorders>
            <w:shd w:val="clear" w:color="auto" w:fill="C5E0B3"/>
            <w:noWrap/>
            <w:vAlign w:val="center"/>
          </w:tcPr>
          <w:p w14:paraId="3CA7FB54">
            <w:pPr>
              <w:spacing w:line="400" w:lineRule="exact"/>
              <w:ind w:firstLine="0" w:firstLineChars="0"/>
              <w:jc w:val="center"/>
              <w:rPr>
                <w:b/>
                <w:bCs/>
                <w:kern w:val="24"/>
                <w:sz w:val="21"/>
                <w:szCs w:val="21"/>
              </w:rPr>
            </w:pPr>
            <w:r>
              <w:rPr>
                <w:b/>
                <w:bCs/>
                <w:kern w:val="24"/>
                <w:sz w:val="21"/>
                <w:szCs w:val="21"/>
              </w:rPr>
              <w:t>-1.99%</w:t>
            </w:r>
          </w:p>
        </w:tc>
        <w:tc>
          <w:tcPr>
            <w:tcW w:w="594" w:type="pct"/>
            <w:tcBorders>
              <w:top w:val="single" w:color="auto" w:sz="12" w:space="0"/>
            </w:tcBorders>
            <w:noWrap/>
            <w:vAlign w:val="center"/>
          </w:tcPr>
          <w:p w14:paraId="136192C5">
            <w:pPr>
              <w:spacing w:line="400" w:lineRule="exact"/>
              <w:ind w:firstLine="0" w:firstLineChars="0"/>
              <w:jc w:val="center"/>
              <w:rPr>
                <w:b/>
                <w:bCs/>
                <w:kern w:val="24"/>
                <w:sz w:val="21"/>
                <w:szCs w:val="21"/>
              </w:rPr>
            </w:pPr>
            <w:r>
              <w:rPr>
                <w:b/>
                <w:bCs/>
                <w:kern w:val="24"/>
                <w:sz w:val="21"/>
                <w:szCs w:val="21"/>
              </w:rPr>
              <w:t>-11.21%</w:t>
            </w:r>
          </w:p>
        </w:tc>
        <w:tc>
          <w:tcPr>
            <w:tcW w:w="613" w:type="pct"/>
            <w:tcBorders>
              <w:top w:val="single" w:color="auto" w:sz="12" w:space="0"/>
            </w:tcBorders>
            <w:noWrap/>
            <w:vAlign w:val="center"/>
          </w:tcPr>
          <w:p w14:paraId="21484D76">
            <w:pPr>
              <w:spacing w:line="400" w:lineRule="exact"/>
              <w:ind w:firstLine="0" w:firstLineChars="0"/>
              <w:jc w:val="center"/>
              <w:rPr>
                <w:b/>
                <w:bCs/>
                <w:kern w:val="24"/>
                <w:sz w:val="21"/>
                <w:szCs w:val="21"/>
              </w:rPr>
            </w:pPr>
            <w:r>
              <w:rPr>
                <w:b/>
                <w:bCs/>
                <w:kern w:val="24"/>
                <w:sz w:val="21"/>
                <w:szCs w:val="21"/>
              </w:rPr>
              <w:t>-10.83%</w:t>
            </w:r>
          </w:p>
        </w:tc>
      </w:tr>
      <w:tr w14:paraId="2C4BB1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0" w:hRule="atLeast"/>
        </w:trPr>
        <w:tc>
          <w:tcPr>
            <w:tcW w:w="1419" w:type="pct"/>
            <w:noWrap/>
            <w:vAlign w:val="center"/>
          </w:tcPr>
          <w:p w14:paraId="6D80CE4F">
            <w:pPr>
              <w:spacing w:line="400" w:lineRule="exact"/>
              <w:ind w:firstLine="0" w:firstLineChars="0"/>
              <w:jc w:val="center"/>
              <w:rPr>
                <w:b/>
                <w:bCs/>
                <w:kern w:val="24"/>
                <w:sz w:val="21"/>
                <w:szCs w:val="21"/>
              </w:rPr>
            </w:pPr>
            <w:r>
              <w:rPr>
                <w:b/>
                <w:bCs/>
                <w:kern w:val="24"/>
                <w:sz w:val="21"/>
                <w:szCs w:val="21"/>
              </w:rPr>
              <w:t>居民部门二次能源消费量</w:t>
            </w:r>
          </w:p>
        </w:tc>
        <w:tc>
          <w:tcPr>
            <w:tcW w:w="593" w:type="pct"/>
            <w:noWrap/>
            <w:vAlign w:val="center"/>
          </w:tcPr>
          <w:p w14:paraId="0177AF01">
            <w:pPr>
              <w:spacing w:line="400" w:lineRule="exact"/>
              <w:ind w:firstLine="0" w:firstLineChars="0"/>
              <w:jc w:val="center"/>
              <w:rPr>
                <w:b/>
                <w:bCs/>
                <w:kern w:val="24"/>
                <w:sz w:val="21"/>
                <w:szCs w:val="21"/>
              </w:rPr>
            </w:pPr>
            <w:r>
              <w:rPr>
                <w:b/>
                <w:bCs/>
                <w:kern w:val="24"/>
                <w:sz w:val="21"/>
                <w:szCs w:val="21"/>
              </w:rPr>
              <w:t>19.74%</w:t>
            </w:r>
          </w:p>
        </w:tc>
        <w:tc>
          <w:tcPr>
            <w:tcW w:w="594" w:type="pct"/>
            <w:noWrap/>
            <w:vAlign w:val="center"/>
          </w:tcPr>
          <w:p w14:paraId="6781680B">
            <w:pPr>
              <w:spacing w:line="400" w:lineRule="exact"/>
              <w:ind w:firstLine="0" w:firstLineChars="0"/>
              <w:jc w:val="center"/>
              <w:rPr>
                <w:b/>
                <w:bCs/>
                <w:kern w:val="24"/>
                <w:sz w:val="21"/>
                <w:szCs w:val="21"/>
              </w:rPr>
            </w:pPr>
            <w:r>
              <w:rPr>
                <w:b/>
                <w:bCs/>
                <w:kern w:val="24"/>
                <w:sz w:val="21"/>
                <w:szCs w:val="21"/>
              </w:rPr>
              <w:t>15.83%</w:t>
            </w:r>
          </w:p>
        </w:tc>
        <w:tc>
          <w:tcPr>
            <w:tcW w:w="594" w:type="pct"/>
            <w:noWrap/>
            <w:vAlign w:val="center"/>
          </w:tcPr>
          <w:p w14:paraId="6A814E0E">
            <w:pPr>
              <w:spacing w:line="400" w:lineRule="exact"/>
              <w:ind w:firstLine="0" w:firstLineChars="0"/>
              <w:jc w:val="center"/>
              <w:rPr>
                <w:b/>
                <w:bCs/>
                <w:kern w:val="24"/>
                <w:sz w:val="21"/>
                <w:szCs w:val="21"/>
              </w:rPr>
            </w:pPr>
            <w:r>
              <w:rPr>
                <w:b/>
                <w:bCs/>
                <w:kern w:val="24"/>
                <w:sz w:val="21"/>
                <w:szCs w:val="21"/>
              </w:rPr>
              <w:t>26.04%</w:t>
            </w:r>
          </w:p>
        </w:tc>
        <w:tc>
          <w:tcPr>
            <w:tcW w:w="594" w:type="pct"/>
            <w:shd w:val="clear" w:color="auto" w:fill="FFE599"/>
            <w:noWrap/>
            <w:vAlign w:val="center"/>
          </w:tcPr>
          <w:p w14:paraId="7D9C4F24">
            <w:pPr>
              <w:spacing w:line="400" w:lineRule="exact"/>
              <w:ind w:firstLine="0" w:firstLineChars="0"/>
              <w:jc w:val="center"/>
              <w:rPr>
                <w:b/>
                <w:bCs/>
                <w:kern w:val="24"/>
                <w:sz w:val="21"/>
                <w:szCs w:val="21"/>
              </w:rPr>
            </w:pPr>
            <w:r>
              <w:rPr>
                <w:b/>
                <w:bCs/>
                <w:kern w:val="24"/>
                <w:sz w:val="21"/>
                <w:szCs w:val="21"/>
              </w:rPr>
              <w:t>84.09%</w:t>
            </w:r>
          </w:p>
        </w:tc>
        <w:tc>
          <w:tcPr>
            <w:tcW w:w="594" w:type="pct"/>
            <w:noWrap/>
            <w:vAlign w:val="center"/>
          </w:tcPr>
          <w:p w14:paraId="70951308">
            <w:pPr>
              <w:spacing w:line="400" w:lineRule="exact"/>
              <w:ind w:firstLine="0" w:firstLineChars="0"/>
              <w:jc w:val="center"/>
              <w:rPr>
                <w:b/>
                <w:bCs/>
                <w:kern w:val="24"/>
                <w:sz w:val="21"/>
                <w:szCs w:val="21"/>
              </w:rPr>
            </w:pPr>
            <w:r>
              <w:rPr>
                <w:b/>
                <w:bCs/>
                <w:kern w:val="24"/>
                <w:sz w:val="21"/>
                <w:szCs w:val="21"/>
              </w:rPr>
              <w:t>47.74%</w:t>
            </w:r>
          </w:p>
        </w:tc>
        <w:tc>
          <w:tcPr>
            <w:tcW w:w="613" w:type="pct"/>
            <w:noWrap/>
            <w:vAlign w:val="center"/>
          </w:tcPr>
          <w:p w14:paraId="22081CF5">
            <w:pPr>
              <w:spacing w:line="400" w:lineRule="exact"/>
              <w:ind w:firstLine="0" w:firstLineChars="0"/>
              <w:jc w:val="center"/>
              <w:rPr>
                <w:b/>
                <w:bCs/>
                <w:kern w:val="24"/>
                <w:sz w:val="21"/>
                <w:szCs w:val="21"/>
              </w:rPr>
            </w:pPr>
            <w:r>
              <w:rPr>
                <w:b/>
                <w:bCs/>
                <w:kern w:val="24"/>
                <w:sz w:val="21"/>
                <w:szCs w:val="21"/>
              </w:rPr>
              <w:t>20.81%</w:t>
            </w:r>
          </w:p>
        </w:tc>
      </w:tr>
      <w:tr w14:paraId="2D7480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0" w:hRule="atLeast"/>
        </w:trPr>
        <w:tc>
          <w:tcPr>
            <w:tcW w:w="1419" w:type="pct"/>
            <w:noWrap/>
            <w:vAlign w:val="center"/>
          </w:tcPr>
          <w:p w14:paraId="6ED25092">
            <w:pPr>
              <w:spacing w:line="400" w:lineRule="exact"/>
              <w:ind w:firstLine="0" w:firstLineChars="0"/>
              <w:jc w:val="center"/>
              <w:rPr>
                <w:b/>
                <w:bCs/>
                <w:kern w:val="24"/>
                <w:sz w:val="21"/>
                <w:szCs w:val="21"/>
              </w:rPr>
            </w:pPr>
            <w:r>
              <w:rPr>
                <w:b/>
                <w:bCs/>
                <w:kern w:val="24"/>
                <w:sz w:val="21"/>
                <w:szCs w:val="21"/>
              </w:rPr>
              <w:t>农林部门二次能源消费量</w:t>
            </w:r>
          </w:p>
        </w:tc>
        <w:tc>
          <w:tcPr>
            <w:tcW w:w="593" w:type="pct"/>
            <w:noWrap/>
            <w:vAlign w:val="center"/>
          </w:tcPr>
          <w:p w14:paraId="1569EFBF">
            <w:pPr>
              <w:spacing w:line="400" w:lineRule="exact"/>
              <w:ind w:firstLine="0" w:firstLineChars="0"/>
              <w:jc w:val="center"/>
              <w:rPr>
                <w:b/>
                <w:bCs/>
                <w:kern w:val="24"/>
                <w:sz w:val="21"/>
                <w:szCs w:val="21"/>
              </w:rPr>
            </w:pPr>
            <w:r>
              <w:rPr>
                <w:b/>
                <w:bCs/>
                <w:kern w:val="24"/>
                <w:sz w:val="21"/>
                <w:szCs w:val="21"/>
              </w:rPr>
              <w:t>24.97%</w:t>
            </w:r>
          </w:p>
        </w:tc>
        <w:tc>
          <w:tcPr>
            <w:tcW w:w="594" w:type="pct"/>
            <w:noWrap/>
            <w:vAlign w:val="center"/>
          </w:tcPr>
          <w:p w14:paraId="1C1F2BDC">
            <w:pPr>
              <w:spacing w:line="400" w:lineRule="exact"/>
              <w:ind w:firstLine="0" w:firstLineChars="0"/>
              <w:jc w:val="center"/>
              <w:rPr>
                <w:b/>
                <w:bCs/>
                <w:kern w:val="24"/>
                <w:sz w:val="21"/>
                <w:szCs w:val="21"/>
              </w:rPr>
            </w:pPr>
            <w:r>
              <w:rPr>
                <w:b/>
                <w:bCs/>
                <w:kern w:val="24"/>
                <w:sz w:val="21"/>
                <w:szCs w:val="21"/>
              </w:rPr>
              <w:t>19.03%</w:t>
            </w:r>
          </w:p>
        </w:tc>
        <w:tc>
          <w:tcPr>
            <w:tcW w:w="594" w:type="pct"/>
            <w:noWrap/>
            <w:vAlign w:val="center"/>
          </w:tcPr>
          <w:p w14:paraId="72E2569C">
            <w:pPr>
              <w:spacing w:line="400" w:lineRule="exact"/>
              <w:ind w:firstLine="0" w:firstLineChars="0"/>
              <w:jc w:val="center"/>
              <w:rPr>
                <w:b/>
                <w:bCs/>
                <w:kern w:val="24"/>
                <w:sz w:val="21"/>
                <w:szCs w:val="21"/>
              </w:rPr>
            </w:pPr>
            <w:r>
              <w:rPr>
                <w:b/>
                <w:bCs/>
                <w:kern w:val="24"/>
                <w:sz w:val="21"/>
                <w:szCs w:val="21"/>
              </w:rPr>
              <w:t>54.98%</w:t>
            </w:r>
          </w:p>
        </w:tc>
        <w:tc>
          <w:tcPr>
            <w:tcW w:w="594" w:type="pct"/>
            <w:shd w:val="clear" w:color="auto" w:fill="FFE599"/>
            <w:noWrap/>
            <w:vAlign w:val="center"/>
          </w:tcPr>
          <w:p w14:paraId="702187A5">
            <w:pPr>
              <w:spacing w:line="400" w:lineRule="exact"/>
              <w:ind w:firstLine="0" w:firstLineChars="0"/>
              <w:jc w:val="center"/>
              <w:rPr>
                <w:b/>
                <w:bCs/>
                <w:kern w:val="24"/>
                <w:sz w:val="21"/>
                <w:szCs w:val="21"/>
              </w:rPr>
            </w:pPr>
            <w:r>
              <w:rPr>
                <w:b/>
                <w:bCs/>
                <w:kern w:val="24"/>
                <w:sz w:val="21"/>
                <w:szCs w:val="21"/>
              </w:rPr>
              <w:t>63.95%</w:t>
            </w:r>
          </w:p>
        </w:tc>
        <w:tc>
          <w:tcPr>
            <w:tcW w:w="594" w:type="pct"/>
            <w:noWrap/>
            <w:vAlign w:val="center"/>
          </w:tcPr>
          <w:p w14:paraId="515DB136">
            <w:pPr>
              <w:spacing w:line="400" w:lineRule="exact"/>
              <w:ind w:firstLine="0" w:firstLineChars="0"/>
              <w:jc w:val="center"/>
              <w:rPr>
                <w:b/>
                <w:bCs/>
                <w:kern w:val="24"/>
                <w:sz w:val="21"/>
                <w:szCs w:val="21"/>
              </w:rPr>
            </w:pPr>
            <w:r>
              <w:rPr>
                <w:b/>
                <w:bCs/>
                <w:kern w:val="24"/>
                <w:sz w:val="21"/>
                <w:szCs w:val="21"/>
              </w:rPr>
              <w:t>21.76%</w:t>
            </w:r>
          </w:p>
        </w:tc>
        <w:tc>
          <w:tcPr>
            <w:tcW w:w="613" w:type="pct"/>
            <w:noWrap/>
            <w:vAlign w:val="center"/>
          </w:tcPr>
          <w:p w14:paraId="12645098">
            <w:pPr>
              <w:spacing w:line="400" w:lineRule="exact"/>
              <w:ind w:firstLine="0" w:firstLineChars="0"/>
              <w:jc w:val="center"/>
              <w:rPr>
                <w:b/>
                <w:bCs/>
                <w:kern w:val="24"/>
                <w:sz w:val="21"/>
                <w:szCs w:val="21"/>
              </w:rPr>
            </w:pPr>
            <w:r>
              <w:rPr>
                <w:b/>
                <w:bCs/>
                <w:kern w:val="24"/>
                <w:sz w:val="21"/>
                <w:szCs w:val="21"/>
              </w:rPr>
              <w:t>6.51%</w:t>
            </w:r>
          </w:p>
        </w:tc>
      </w:tr>
      <w:tr w14:paraId="27BA56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0" w:hRule="atLeast"/>
        </w:trPr>
        <w:tc>
          <w:tcPr>
            <w:tcW w:w="1419" w:type="pct"/>
            <w:noWrap/>
            <w:vAlign w:val="center"/>
          </w:tcPr>
          <w:p w14:paraId="69811146">
            <w:pPr>
              <w:spacing w:line="400" w:lineRule="exact"/>
              <w:ind w:firstLine="0" w:firstLineChars="0"/>
              <w:jc w:val="center"/>
              <w:rPr>
                <w:b/>
                <w:bCs/>
                <w:kern w:val="24"/>
                <w:sz w:val="21"/>
                <w:szCs w:val="21"/>
              </w:rPr>
            </w:pPr>
            <w:r>
              <w:rPr>
                <w:b/>
                <w:bCs/>
                <w:kern w:val="24"/>
                <w:sz w:val="21"/>
                <w:szCs w:val="21"/>
              </w:rPr>
              <w:t>能源供应部门二次能源消费量</w:t>
            </w:r>
          </w:p>
        </w:tc>
        <w:tc>
          <w:tcPr>
            <w:tcW w:w="593" w:type="pct"/>
            <w:noWrap/>
            <w:vAlign w:val="center"/>
          </w:tcPr>
          <w:p w14:paraId="1780ACF5">
            <w:pPr>
              <w:spacing w:line="400" w:lineRule="exact"/>
              <w:ind w:firstLine="0" w:firstLineChars="0"/>
              <w:jc w:val="center"/>
              <w:rPr>
                <w:b/>
                <w:bCs/>
                <w:kern w:val="24"/>
                <w:sz w:val="21"/>
                <w:szCs w:val="21"/>
              </w:rPr>
            </w:pPr>
            <w:r>
              <w:rPr>
                <w:b/>
                <w:bCs/>
                <w:kern w:val="24"/>
                <w:sz w:val="21"/>
                <w:szCs w:val="21"/>
              </w:rPr>
              <w:t>23.42%</w:t>
            </w:r>
          </w:p>
        </w:tc>
        <w:tc>
          <w:tcPr>
            <w:tcW w:w="594" w:type="pct"/>
            <w:shd w:val="clear" w:color="auto" w:fill="FFE599"/>
            <w:noWrap/>
            <w:vAlign w:val="center"/>
          </w:tcPr>
          <w:p w14:paraId="3E77F684">
            <w:pPr>
              <w:spacing w:line="400" w:lineRule="exact"/>
              <w:ind w:firstLine="0" w:firstLineChars="0"/>
              <w:jc w:val="center"/>
              <w:rPr>
                <w:b/>
                <w:bCs/>
                <w:kern w:val="24"/>
                <w:sz w:val="21"/>
                <w:szCs w:val="21"/>
              </w:rPr>
            </w:pPr>
            <w:r>
              <w:rPr>
                <w:b/>
                <w:bCs/>
                <w:kern w:val="24"/>
                <w:sz w:val="21"/>
                <w:szCs w:val="21"/>
              </w:rPr>
              <w:t>46.98%</w:t>
            </w:r>
          </w:p>
        </w:tc>
        <w:tc>
          <w:tcPr>
            <w:tcW w:w="594" w:type="pct"/>
            <w:noWrap/>
            <w:vAlign w:val="center"/>
          </w:tcPr>
          <w:p w14:paraId="1B38F2AF">
            <w:pPr>
              <w:spacing w:line="400" w:lineRule="exact"/>
              <w:ind w:firstLine="0" w:firstLineChars="0"/>
              <w:jc w:val="center"/>
              <w:rPr>
                <w:b/>
                <w:bCs/>
                <w:kern w:val="24"/>
                <w:sz w:val="21"/>
                <w:szCs w:val="21"/>
              </w:rPr>
            </w:pPr>
            <w:r>
              <w:rPr>
                <w:b/>
                <w:bCs/>
                <w:kern w:val="24"/>
                <w:sz w:val="21"/>
                <w:szCs w:val="21"/>
              </w:rPr>
              <w:t>18.42%</w:t>
            </w:r>
          </w:p>
        </w:tc>
        <w:tc>
          <w:tcPr>
            <w:tcW w:w="594" w:type="pct"/>
            <w:noWrap/>
            <w:vAlign w:val="center"/>
          </w:tcPr>
          <w:p w14:paraId="72C2D70C">
            <w:pPr>
              <w:spacing w:line="400" w:lineRule="exact"/>
              <w:ind w:firstLine="0" w:firstLineChars="0"/>
              <w:jc w:val="center"/>
              <w:rPr>
                <w:b/>
                <w:bCs/>
                <w:kern w:val="24"/>
                <w:sz w:val="21"/>
                <w:szCs w:val="21"/>
              </w:rPr>
            </w:pPr>
            <w:r>
              <w:rPr>
                <w:b/>
                <w:bCs/>
                <w:kern w:val="24"/>
                <w:sz w:val="21"/>
                <w:szCs w:val="21"/>
              </w:rPr>
              <w:t>23.11%</w:t>
            </w:r>
          </w:p>
        </w:tc>
        <w:tc>
          <w:tcPr>
            <w:tcW w:w="594" w:type="pct"/>
            <w:noWrap/>
            <w:vAlign w:val="center"/>
          </w:tcPr>
          <w:p w14:paraId="37C0DF65">
            <w:pPr>
              <w:spacing w:line="400" w:lineRule="exact"/>
              <w:ind w:firstLine="0" w:firstLineChars="0"/>
              <w:jc w:val="center"/>
              <w:rPr>
                <w:b/>
                <w:bCs/>
                <w:kern w:val="24"/>
                <w:sz w:val="21"/>
                <w:szCs w:val="21"/>
              </w:rPr>
            </w:pPr>
            <w:r>
              <w:rPr>
                <w:b/>
                <w:bCs/>
                <w:kern w:val="24"/>
                <w:sz w:val="21"/>
                <w:szCs w:val="21"/>
              </w:rPr>
              <w:t>23.06%</w:t>
            </w:r>
          </w:p>
        </w:tc>
        <w:tc>
          <w:tcPr>
            <w:tcW w:w="613" w:type="pct"/>
            <w:noWrap/>
            <w:vAlign w:val="center"/>
          </w:tcPr>
          <w:p w14:paraId="7D46FF3A">
            <w:pPr>
              <w:spacing w:line="400" w:lineRule="exact"/>
              <w:ind w:firstLine="0" w:firstLineChars="0"/>
              <w:jc w:val="center"/>
              <w:rPr>
                <w:b/>
                <w:bCs/>
                <w:kern w:val="24"/>
                <w:sz w:val="21"/>
                <w:szCs w:val="21"/>
              </w:rPr>
            </w:pPr>
            <w:r>
              <w:rPr>
                <w:b/>
                <w:bCs/>
                <w:kern w:val="24"/>
                <w:sz w:val="21"/>
                <w:szCs w:val="21"/>
              </w:rPr>
              <w:t>14.90%</w:t>
            </w:r>
          </w:p>
        </w:tc>
      </w:tr>
      <w:tr w14:paraId="710A02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0" w:hRule="atLeast"/>
        </w:trPr>
        <w:tc>
          <w:tcPr>
            <w:tcW w:w="1419" w:type="pct"/>
            <w:noWrap/>
            <w:vAlign w:val="center"/>
          </w:tcPr>
          <w:p w14:paraId="3298EF3E">
            <w:pPr>
              <w:spacing w:line="400" w:lineRule="exact"/>
              <w:ind w:firstLine="0" w:firstLineChars="0"/>
              <w:jc w:val="center"/>
              <w:rPr>
                <w:b/>
                <w:bCs/>
                <w:kern w:val="24"/>
                <w:sz w:val="21"/>
                <w:szCs w:val="21"/>
              </w:rPr>
            </w:pPr>
            <w:r>
              <w:rPr>
                <w:b/>
                <w:bCs/>
                <w:kern w:val="24"/>
                <w:sz w:val="21"/>
                <w:szCs w:val="21"/>
              </w:rPr>
              <w:t>工业部门部门一次石化能源消费量</w:t>
            </w:r>
          </w:p>
        </w:tc>
        <w:tc>
          <w:tcPr>
            <w:tcW w:w="593" w:type="pct"/>
            <w:noWrap/>
            <w:vAlign w:val="center"/>
          </w:tcPr>
          <w:p w14:paraId="301EF830">
            <w:pPr>
              <w:spacing w:line="400" w:lineRule="exact"/>
              <w:ind w:firstLine="0" w:firstLineChars="0"/>
              <w:jc w:val="center"/>
              <w:rPr>
                <w:b/>
                <w:bCs/>
                <w:kern w:val="24"/>
                <w:sz w:val="21"/>
                <w:szCs w:val="21"/>
              </w:rPr>
            </w:pPr>
            <w:r>
              <w:rPr>
                <w:b/>
                <w:bCs/>
                <w:kern w:val="24"/>
                <w:sz w:val="21"/>
                <w:szCs w:val="21"/>
              </w:rPr>
              <w:t>6.86%</w:t>
            </w:r>
          </w:p>
        </w:tc>
        <w:tc>
          <w:tcPr>
            <w:tcW w:w="594" w:type="pct"/>
            <w:noWrap/>
            <w:vAlign w:val="center"/>
          </w:tcPr>
          <w:p w14:paraId="2F241B09">
            <w:pPr>
              <w:spacing w:line="400" w:lineRule="exact"/>
              <w:ind w:firstLine="0" w:firstLineChars="0"/>
              <w:jc w:val="center"/>
              <w:rPr>
                <w:b/>
                <w:bCs/>
                <w:kern w:val="24"/>
                <w:sz w:val="21"/>
                <w:szCs w:val="21"/>
              </w:rPr>
            </w:pPr>
            <w:r>
              <w:rPr>
                <w:b/>
                <w:bCs/>
                <w:kern w:val="24"/>
                <w:sz w:val="21"/>
                <w:szCs w:val="21"/>
              </w:rPr>
              <w:t>6.32%</w:t>
            </w:r>
          </w:p>
        </w:tc>
        <w:tc>
          <w:tcPr>
            <w:tcW w:w="594" w:type="pct"/>
            <w:noWrap/>
            <w:vAlign w:val="center"/>
          </w:tcPr>
          <w:p w14:paraId="172DFAB2">
            <w:pPr>
              <w:spacing w:line="400" w:lineRule="exact"/>
              <w:ind w:firstLine="0" w:firstLineChars="0"/>
              <w:jc w:val="center"/>
              <w:rPr>
                <w:b/>
                <w:bCs/>
                <w:kern w:val="24"/>
                <w:sz w:val="21"/>
                <w:szCs w:val="21"/>
              </w:rPr>
            </w:pPr>
            <w:r>
              <w:rPr>
                <w:b/>
                <w:bCs/>
                <w:kern w:val="24"/>
                <w:sz w:val="21"/>
                <w:szCs w:val="21"/>
              </w:rPr>
              <w:t>5.86%</w:t>
            </w:r>
          </w:p>
        </w:tc>
        <w:tc>
          <w:tcPr>
            <w:tcW w:w="594" w:type="pct"/>
            <w:noWrap/>
            <w:vAlign w:val="center"/>
          </w:tcPr>
          <w:p w14:paraId="59F72AA5">
            <w:pPr>
              <w:spacing w:line="400" w:lineRule="exact"/>
              <w:ind w:firstLine="0" w:firstLineChars="0"/>
              <w:jc w:val="center"/>
              <w:rPr>
                <w:b/>
                <w:bCs/>
                <w:kern w:val="24"/>
                <w:sz w:val="21"/>
                <w:szCs w:val="21"/>
              </w:rPr>
            </w:pPr>
            <w:r>
              <w:rPr>
                <w:b/>
                <w:bCs/>
                <w:kern w:val="24"/>
                <w:sz w:val="21"/>
                <w:szCs w:val="21"/>
              </w:rPr>
              <w:t>6.92%</w:t>
            </w:r>
          </w:p>
        </w:tc>
        <w:tc>
          <w:tcPr>
            <w:tcW w:w="594" w:type="pct"/>
            <w:shd w:val="clear" w:color="auto" w:fill="C5E0B3"/>
            <w:noWrap/>
            <w:vAlign w:val="center"/>
          </w:tcPr>
          <w:p w14:paraId="7A2BEDAE">
            <w:pPr>
              <w:spacing w:line="400" w:lineRule="exact"/>
              <w:ind w:firstLine="0" w:firstLineChars="0"/>
              <w:jc w:val="center"/>
              <w:rPr>
                <w:b/>
                <w:bCs/>
                <w:kern w:val="24"/>
                <w:sz w:val="21"/>
                <w:szCs w:val="21"/>
              </w:rPr>
            </w:pPr>
            <w:r>
              <w:rPr>
                <w:b/>
                <w:bCs/>
                <w:kern w:val="24"/>
                <w:sz w:val="21"/>
                <w:szCs w:val="21"/>
              </w:rPr>
              <w:t>-11.56%</w:t>
            </w:r>
          </w:p>
        </w:tc>
        <w:tc>
          <w:tcPr>
            <w:tcW w:w="613" w:type="pct"/>
            <w:noWrap/>
            <w:vAlign w:val="center"/>
          </w:tcPr>
          <w:p w14:paraId="024A2214">
            <w:pPr>
              <w:spacing w:line="400" w:lineRule="exact"/>
              <w:ind w:firstLine="0" w:firstLineChars="0"/>
              <w:jc w:val="center"/>
              <w:rPr>
                <w:b/>
                <w:bCs/>
                <w:kern w:val="24"/>
                <w:sz w:val="21"/>
                <w:szCs w:val="21"/>
              </w:rPr>
            </w:pPr>
            <w:r>
              <w:rPr>
                <w:b/>
                <w:bCs/>
                <w:kern w:val="24"/>
                <w:sz w:val="21"/>
                <w:szCs w:val="21"/>
              </w:rPr>
              <w:t>-13.78%</w:t>
            </w:r>
          </w:p>
        </w:tc>
      </w:tr>
      <w:tr w14:paraId="04E720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0" w:hRule="atLeast"/>
        </w:trPr>
        <w:tc>
          <w:tcPr>
            <w:tcW w:w="1419" w:type="pct"/>
            <w:noWrap/>
            <w:vAlign w:val="center"/>
          </w:tcPr>
          <w:p w14:paraId="27FF7910">
            <w:pPr>
              <w:spacing w:line="400" w:lineRule="exact"/>
              <w:ind w:firstLine="0" w:firstLineChars="0"/>
              <w:jc w:val="center"/>
              <w:rPr>
                <w:b/>
                <w:bCs/>
                <w:kern w:val="24"/>
                <w:sz w:val="21"/>
                <w:szCs w:val="21"/>
              </w:rPr>
            </w:pPr>
            <w:r>
              <w:rPr>
                <w:b/>
                <w:bCs/>
                <w:kern w:val="24"/>
                <w:sz w:val="21"/>
                <w:szCs w:val="21"/>
              </w:rPr>
              <w:t>能源供应部门一次石化能源消费量</w:t>
            </w:r>
          </w:p>
        </w:tc>
        <w:tc>
          <w:tcPr>
            <w:tcW w:w="593" w:type="pct"/>
            <w:noWrap/>
            <w:vAlign w:val="center"/>
          </w:tcPr>
          <w:p w14:paraId="0ED42EA9">
            <w:pPr>
              <w:spacing w:line="400" w:lineRule="exact"/>
              <w:ind w:firstLine="0" w:firstLineChars="0"/>
              <w:jc w:val="center"/>
              <w:rPr>
                <w:b/>
                <w:bCs/>
                <w:kern w:val="24"/>
                <w:sz w:val="21"/>
                <w:szCs w:val="21"/>
              </w:rPr>
            </w:pPr>
            <w:r>
              <w:rPr>
                <w:b/>
                <w:bCs/>
                <w:kern w:val="24"/>
                <w:sz w:val="21"/>
                <w:szCs w:val="21"/>
              </w:rPr>
              <w:t>4.42%</w:t>
            </w:r>
          </w:p>
        </w:tc>
        <w:tc>
          <w:tcPr>
            <w:tcW w:w="594" w:type="pct"/>
            <w:noWrap/>
            <w:vAlign w:val="center"/>
          </w:tcPr>
          <w:p w14:paraId="7D0EC6AF">
            <w:pPr>
              <w:spacing w:line="400" w:lineRule="exact"/>
              <w:ind w:firstLine="0" w:firstLineChars="0"/>
              <w:jc w:val="center"/>
              <w:rPr>
                <w:b/>
                <w:bCs/>
                <w:kern w:val="24"/>
                <w:sz w:val="21"/>
                <w:szCs w:val="21"/>
              </w:rPr>
            </w:pPr>
            <w:r>
              <w:rPr>
                <w:b/>
                <w:bCs/>
                <w:kern w:val="24"/>
                <w:sz w:val="21"/>
                <w:szCs w:val="21"/>
              </w:rPr>
              <w:t>4.19%</w:t>
            </w:r>
          </w:p>
        </w:tc>
        <w:tc>
          <w:tcPr>
            <w:tcW w:w="594" w:type="pct"/>
            <w:noWrap/>
            <w:vAlign w:val="center"/>
          </w:tcPr>
          <w:p w14:paraId="3AE917BE">
            <w:pPr>
              <w:spacing w:line="400" w:lineRule="exact"/>
              <w:ind w:firstLine="0" w:firstLineChars="0"/>
              <w:jc w:val="center"/>
              <w:rPr>
                <w:b/>
                <w:bCs/>
                <w:kern w:val="24"/>
                <w:sz w:val="21"/>
                <w:szCs w:val="21"/>
              </w:rPr>
            </w:pPr>
            <w:r>
              <w:rPr>
                <w:b/>
                <w:bCs/>
                <w:kern w:val="24"/>
                <w:sz w:val="21"/>
                <w:szCs w:val="21"/>
              </w:rPr>
              <w:t>3.98%</w:t>
            </w:r>
          </w:p>
        </w:tc>
        <w:tc>
          <w:tcPr>
            <w:tcW w:w="594" w:type="pct"/>
            <w:noWrap/>
            <w:vAlign w:val="center"/>
          </w:tcPr>
          <w:p w14:paraId="1B40AAB8">
            <w:pPr>
              <w:spacing w:line="400" w:lineRule="exact"/>
              <w:ind w:firstLine="0" w:firstLineChars="0"/>
              <w:jc w:val="center"/>
              <w:rPr>
                <w:b/>
                <w:bCs/>
                <w:kern w:val="24"/>
                <w:sz w:val="21"/>
                <w:szCs w:val="21"/>
              </w:rPr>
            </w:pPr>
            <w:r>
              <w:rPr>
                <w:b/>
                <w:bCs/>
                <w:kern w:val="24"/>
                <w:sz w:val="21"/>
                <w:szCs w:val="21"/>
              </w:rPr>
              <w:t>0.22%</w:t>
            </w:r>
          </w:p>
        </w:tc>
        <w:tc>
          <w:tcPr>
            <w:tcW w:w="594" w:type="pct"/>
            <w:shd w:val="clear" w:color="auto" w:fill="C5E0B3"/>
            <w:noWrap/>
            <w:vAlign w:val="center"/>
          </w:tcPr>
          <w:p w14:paraId="1AE20E64">
            <w:pPr>
              <w:spacing w:line="400" w:lineRule="exact"/>
              <w:ind w:firstLine="0" w:firstLineChars="0"/>
              <w:jc w:val="center"/>
              <w:rPr>
                <w:b/>
                <w:bCs/>
                <w:kern w:val="24"/>
                <w:sz w:val="21"/>
                <w:szCs w:val="21"/>
              </w:rPr>
            </w:pPr>
            <w:r>
              <w:rPr>
                <w:b/>
                <w:bCs/>
                <w:kern w:val="24"/>
                <w:sz w:val="21"/>
                <w:szCs w:val="21"/>
              </w:rPr>
              <w:t>-8.13%</w:t>
            </w:r>
          </w:p>
        </w:tc>
        <w:tc>
          <w:tcPr>
            <w:tcW w:w="613" w:type="pct"/>
            <w:noWrap/>
            <w:vAlign w:val="center"/>
          </w:tcPr>
          <w:p w14:paraId="6D4ED8FC">
            <w:pPr>
              <w:spacing w:line="400" w:lineRule="exact"/>
              <w:ind w:firstLine="0" w:firstLineChars="0"/>
              <w:jc w:val="center"/>
              <w:rPr>
                <w:b/>
                <w:bCs/>
                <w:kern w:val="24"/>
                <w:sz w:val="21"/>
                <w:szCs w:val="21"/>
              </w:rPr>
            </w:pPr>
            <w:r>
              <w:rPr>
                <w:b/>
                <w:bCs/>
                <w:kern w:val="24"/>
                <w:sz w:val="21"/>
                <w:szCs w:val="21"/>
              </w:rPr>
              <w:t>-9.84%</w:t>
            </w:r>
          </w:p>
        </w:tc>
      </w:tr>
      <w:tr w14:paraId="768934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0" w:hRule="atLeast"/>
        </w:trPr>
        <w:tc>
          <w:tcPr>
            <w:tcW w:w="1419" w:type="pct"/>
            <w:noWrap/>
            <w:vAlign w:val="center"/>
          </w:tcPr>
          <w:p w14:paraId="31D2D5C7">
            <w:pPr>
              <w:spacing w:line="400" w:lineRule="exact"/>
              <w:ind w:firstLine="0" w:firstLineChars="0"/>
              <w:jc w:val="center"/>
              <w:rPr>
                <w:b/>
                <w:bCs/>
                <w:kern w:val="24"/>
                <w:sz w:val="21"/>
                <w:szCs w:val="21"/>
              </w:rPr>
            </w:pPr>
            <w:r>
              <w:rPr>
                <w:b/>
                <w:bCs/>
                <w:kern w:val="24"/>
                <w:sz w:val="21"/>
                <w:szCs w:val="21"/>
              </w:rPr>
              <w:t>能源供应部门一次能源中非石化消费量</w:t>
            </w:r>
          </w:p>
        </w:tc>
        <w:tc>
          <w:tcPr>
            <w:tcW w:w="593" w:type="pct"/>
            <w:noWrap/>
            <w:vAlign w:val="center"/>
          </w:tcPr>
          <w:p w14:paraId="005FFC47">
            <w:pPr>
              <w:spacing w:line="400" w:lineRule="exact"/>
              <w:ind w:firstLine="0" w:firstLineChars="0"/>
              <w:jc w:val="center"/>
              <w:rPr>
                <w:b/>
                <w:bCs/>
                <w:kern w:val="24"/>
                <w:sz w:val="21"/>
                <w:szCs w:val="21"/>
              </w:rPr>
            </w:pPr>
            <w:r>
              <w:rPr>
                <w:b/>
                <w:bCs/>
                <w:kern w:val="24"/>
                <w:sz w:val="21"/>
                <w:szCs w:val="21"/>
              </w:rPr>
              <w:t>35.03%</w:t>
            </w:r>
          </w:p>
        </w:tc>
        <w:tc>
          <w:tcPr>
            <w:tcW w:w="594" w:type="pct"/>
            <w:noWrap/>
            <w:vAlign w:val="center"/>
          </w:tcPr>
          <w:p w14:paraId="7D5DE01E">
            <w:pPr>
              <w:spacing w:line="400" w:lineRule="exact"/>
              <w:ind w:firstLine="0" w:firstLineChars="0"/>
              <w:jc w:val="center"/>
              <w:rPr>
                <w:b/>
                <w:bCs/>
                <w:kern w:val="24"/>
                <w:sz w:val="21"/>
                <w:szCs w:val="21"/>
              </w:rPr>
            </w:pPr>
            <w:r>
              <w:rPr>
                <w:b/>
                <w:bCs/>
                <w:kern w:val="24"/>
                <w:sz w:val="21"/>
                <w:szCs w:val="21"/>
              </w:rPr>
              <w:t>21.58%</w:t>
            </w:r>
          </w:p>
        </w:tc>
        <w:tc>
          <w:tcPr>
            <w:tcW w:w="594" w:type="pct"/>
            <w:noWrap/>
            <w:vAlign w:val="center"/>
          </w:tcPr>
          <w:p w14:paraId="156BE52D">
            <w:pPr>
              <w:spacing w:line="400" w:lineRule="exact"/>
              <w:ind w:firstLine="0" w:firstLineChars="0"/>
              <w:jc w:val="center"/>
              <w:rPr>
                <w:b/>
                <w:bCs/>
                <w:kern w:val="24"/>
                <w:sz w:val="21"/>
                <w:szCs w:val="21"/>
              </w:rPr>
            </w:pPr>
            <w:r>
              <w:rPr>
                <w:b/>
                <w:bCs/>
                <w:kern w:val="24"/>
                <w:sz w:val="21"/>
                <w:szCs w:val="21"/>
              </w:rPr>
              <w:t>36.20%</w:t>
            </w:r>
          </w:p>
        </w:tc>
        <w:tc>
          <w:tcPr>
            <w:tcW w:w="594" w:type="pct"/>
            <w:shd w:val="clear" w:color="auto" w:fill="C5E0B3"/>
            <w:noWrap/>
            <w:vAlign w:val="center"/>
          </w:tcPr>
          <w:p w14:paraId="67439E07">
            <w:pPr>
              <w:spacing w:line="400" w:lineRule="exact"/>
              <w:ind w:firstLine="0" w:firstLineChars="0"/>
              <w:jc w:val="center"/>
              <w:rPr>
                <w:b/>
                <w:bCs/>
                <w:kern w:val="24"/>
                <w:sz w:val="21"/>
                <w:szCs w:val="21"/>
              </w:rPr>
            </w:pPr>
            <w:r>
              <w:rPr>
                <w:b/>
                <w:bCs/>
                <w:kern w:val="24"/>
                <w:sz w:val="21"/>
                <w:szCs w:val="21"/>
              </w:rPr>
              <w:t>109.23%</w:t>
            </w:r>
          </w:p>
        </w:tc>
        <w:tc>
          <w:tcPr>
            <w:tcW w:w="594" w:type="pct"/>
            <w:noWrap/>
            <w:vAlign w:val="center"/>
          </w:tcPr>
          <w:p w14:paraId="2812529A">
            <w:pPr>
              <w:spacing w:line="400" w:lineRule="exact"/>
              <w:ind w:firstLine="0" w:firstLineChars="0"/>
              <w:jc w:val="center"/>
              <w:rPr>
                <w:b/>
                <w:bCs/>
                <w:kern w:val="24"/>
                <w:sz w:val="21"/>
                <w:szCs w:val="21"/>
              </w:rPr>
            </w:pPr>
            <w:r>
              <w:rPr>
                <w:b/>
                <w:bCs/>
                <w:kern w:val="24"/>
                <w:sz w:val="21"/>
                <w:szCs w:val="21"/>
              </w:rPr>
              <w:t>90.53%</w:t>
            </w:r>
          </w:p>
        </w:tc>
        <w:tc>
          <w:tcPr>
            <w:tcW w:w="613" w:type="pct"/>
            <w:noWrap/>
            <w:vAlign w:val="center"/>
          </w:tcPr>
          <w:p w14:paraId="61F7B28A">
            <w:pPr>
              <w:spacing w:line="400" w:lineRule="exact"/>
              <w:ind w:firstLine="0" w:firstLineChars="0"/>
              <w:jc w:val="center"/>
              <w:rPr>
                <w:b/>
                <w:bCs/>
                <w:kern w:val="24"/>
                <w:sz w:val="21"/>
                <w:szCs w:val="21"/>
              </w:rPr>
            </w:pPr>
            <w:r>
              <w:rPr>
                <w:b/>
                <w:bCs/>
                <w:kern w:val="24"/>
                <w:sz w:val="21"/>
                <w:szCs w:val="21"/>
              </w:rPr>
              <w:t>36.07%</w:t>
            </w:r>
          </w:p>
        </w:tc>
      </w:tr>
    </w:tbl>
    <w:p w14:paraId="2DF545C7">
      <w:pPr>
        <w:ind w:firstLine="482"/>
        <w:rPr>
          <w:b/>
          <w:bCs/>
          <w:szCs w:val="36"/>
        </w:rPr>
      </w:pPr>
      <w:r>
        <w:rPr>
          <w:rFonts w:hint="eastAsia"/>
          <w:b/>
          <w:bCs/>
          <w:szCs w:val="36"/>
        </w:rPr>
        <w:t>多情景结果预测路径：</w:t>
      </w:r>
    </w:p>
    <w:p w14:paraId="7F543A06">
      <w:pPr>
        <w:ind w:firstLine="480"/>
      </w:pPr>
      <w:r>
        <w:rPr>
          <w:rFonts w:hint="eastAsia"/>
        </w:rPr>
        <w:t>团队根据上文的情景设计、核算模型以及确定的相关目标值，对不同情景的碳排放量变化进行预测，得到结果如下图所示，</w:t>
      </w:r>
    </w:p>
    <w:p w14:paraId="29C52542">
      <w:pPr>
        <w:keepNext/>
        <w:ind w:firstLine="0" w:firstLineChars="0"/>
        <w:jc w:val="center"/>
      </w:pPr>
      <w:r>
        <w:rPr>
          <w:rFonts w:eastAsia="等线"/>
          <w:sz w:val="21"/>
          <w:szCs w:val="21"/>
        </w:rPr>
        <w:drawing>
          <wp:inline distT="0" distB="0" distL="0" distR="0">
            <wp:extent cx="3947160" cy="2164080"/>
            <wp:effectExtent l="0" t="0" r="0" b="7620"/>
            <wp:docPr id="1758898040" name="图片 1758898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98040" name="图片 175889804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3947160" cy="2164080"/>
                    </a:xfrm>
                    <a:prstGeom prst="rect">
                      <a:avLst/>
                    </a:prstGeom>
                    <a:noFill/>
                    <a:ln>
                      <a:noFill/>
                    </a:ln>
                  </pic:spPr>
                </pic:pic>
              </a:graphicData>
            </a:graphic>
          </wp:inline>
        </w:drawing>
      </w:r>
    </w:p>
    <w:p w14:paraId="3582A9F4">
      <w:pPr>
        <w:pStyle w:val="5"/>
        <w:rPr>
          <w:szCs w:val="36"/>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18</w:t>
      </w:r>
      <w:r>
        <w:fldChar w:fldCharType="end"/>
      </w:r>
      <w:r>
        <w:t xml:space="preserve"> </w:t>
      </w:r>
      <w:r>
        <w:rPr>
          <w:rFonts w:hint="eastAsia"/>
        </w:rPr>
        <w:t>多情景结果预测路径图</w:t>
      </w:r>
    </w:p>
    <w:p w14:paraId="44EEC832">
      <w:pPr>
        <w:ind w:firstLine="480"/>
        <w:rPr>
          <w:b/>
          <w:bCs/>
          <w:szCs w:val="36"/>
        </w:rPr>
      </w:pPr>
      <w:r>
        <w:rPr>
          <w:rFonts w:hint="eastAsia"/>
        </w:rPr>
        <w:t>情景二、三模式下碳排放量在</w:t>
      </w:r>
      <w:r>
        <w:t>2060年是BAU情景模式的</w:t>
      </w:r>
      <w:r>
        <w:rPr>
          <w:rFonts w:eastAsia="方正书宋_GBK"/>
        </w:rPr>
        <w:t>13.74%</w:t>
      </w:r>
      <w:r>
        <w:t>，效果显著，情景二于2033年实现达峰为285410.5万tce，情景三于2035年实现碳达峰为288095.27万tce。但是BAU模式下能源相关CO</w:t>
      </w:r>
      <w:r>
        <w:rPr>
          <w:sz w:val="10"/>
          <w:szCs w:val="10"/>
        </w:rPr>
        <w:t xml:space="preserve">2 </w:t>
      </w:r>
      <w:r>
        <w:t>排放于2050年左右达到增长拐点，此时碳排放量为360773.22万tce。由于雄心模式兼顾了煤炭、石油等转型带来的就业、经济、区域公共服务需求的一揽子问题，允许在保证碳达峰不被突破的情况下适度给予碳排放空间但需要将利润用于清洁技术的发展，这是符合我国国情的雄心方案。</w:t>
      </w:r>
    </w:p>
    <w:p w14:paraId="70BEB421">
      <w:pPr>
        <w:pStyle w:val="2"/>
      </w:pPr>
      <w:r>
        <w:rPr>
          <w:rFonts w:hint="eastAsia"/>
        </w:rPr>
        <w:t>6</w:t>
      </w:r>
      <w:r>
        <w:t xml:space="preserve"> </w:t>
      </w:r>
      <w:r>
        <w:rPr>
          <w:rFonts w:hint="eastAsia"/>
        </w:rPr>
        <w:t>展望</w:t>
      </w:r>
    </w:p>
    <w:p w14:paraId="5FC1A87B">
      <w:pPr>
        <w:pStyle w:val="3"/>
        <w:rPr>
          <w:kern w:val="2"/>
        </w:rPr>
      </w:pPr>
      <w:r>
        <w:rPr>
          <w:rFonts w:hint="eastAsia"/>
        </w:rPr>
        <w:t>6</w:t>
      </w:r>
      <w:r>
        <w:t xml:space="preserve">.1 </w:t>
      </w:r>
      <w:r>
        <w:rPr>
          <w:rFonts w:hint="eastAsia"/>
        </w:rPr>
        <w:t>模型优点</w:t>
      </w:r>
    </w:p>
    <w:p w14:paraId="19CA3BC9">
      <w:pPr>
        <w:ind w:firstLine="480"/>
      </w:pPr>
      <w:r>
        <w:rPr>
          <w:rFonts w:hint="eastAsia"/>
        </w:rPr>
        <w:t>1.利用Logistic模型来预测人口变化，充分考虑到外界因素对人口的影响作用，可以长期预测人口的变化趋势。运用ARMA时间序列模型来考虑GDP的变化，通过验证序列的平稳性，进一步验证差分的稳定性，准确预测GDP未来的变化。</w:t>
      </w:r>
    </w:p>
    <w:p w14:paraId="6A1155B3">
      <w:pPr>
        <w:ind w:firstLine="480"/>
      </w:pPr>
      <w:r>
        <w:rPr>
          <w:rFonts w:hint="eastAsia"/>
        </w:rPr>
        <w:t>2．问题一中筛选指标时，不仅充分考虑到与碳排放量的关系，并对其指标分级，还利用选择多重指标来提高容错率，既定量衡量，又符合实际情况。</w:t>
      </w:r>
    </w:p>
    <w:p w14:paraId="3611A0C0">
      <w:pPr>
        <w:ind w:firstLine="480"/>
      </w:pPr>
      <w:r>
        <w:rPr>
          <w:rFonts w:hint="eastAsia"/>
        </w:rPr>
        <w:t>3．在问题二中，引入多元回归模型，解释多个自变量和因变量的关系。准确测得各个变量之间相关性，拟合度较高。</w:t>
      </w:r>
    </w:p>
    <w:p w14:paraId="30736409">
      <w:pPr>
        <w:ind w:firstLine="480"/>
      </w:pPr>
      <w:r>
        <w:rPr>
          <w:rFonts w:hint="eastAsia"/>
        </w:rPr>
        <w:t>4．问题三的多情景碳排放量核算方法优化问题中，将GDP指数，生态碳汇的碳消纳量以及工程碳汇或碳交易的碳消纳量等多情景条件作为约束条件。充分展示了预测公式的真实性，准确性，有效性。</w:t>
      </w:r>
    </w:p>
    <w:p w14:paraId="5F592FF3">
      <w:pPr>
        <w:pStyle w:val="3"/>
      </w:pPr>
      <w:r>
        <w:rPr>
          <w:rFonts w:hint="eastAsia"/>
        </w:rPr>
        <w:t>6</w:t>
      </w:r>
      <w:r>
        <w:t xml:space="preserve">.2 </w:t>
      </w:r>
      <w:r>
        <w:rPr>
          <w:rFonts w:hint="eastAsia"/>
        </w:rPr>
        <w:t>模型缺点</w:t>
      </w:r>
    </w:p>
    <w:p w14:paraId="14968B3E">
      <w:pPr>
        <w:ind w:firstLine="480"/>
      </w:pPr>
      <w:r>
        <w:rPr>
          <w:rFonts w:hint="eastAsia"/>
        </w:rPr>
        <w:t>1</w:t>
      </w:r>
      <w:r>
        <w:t>.</w:t>
      </w:r>
      <w:r>
        <w:rPr>
          <w:rFonts w:hint="eastAsia"/>
        </w:rPr>
        <w:t>没有对于无法解释的存在异常的缺失值使用插值进行填充处理。最终，根据得出的结果规划可能影响各种情景下的路径。这可能涉及碳排放量、能源消费量调整等方面的措施。</w:t>
      </w:r>
    </w:p>
    <w:p w14:paraId="3A53B1E1">
      <w:pPr>
        <w:ind w:firstLine="480"/>
      </w:pPr>
      <w:r>
        <w:rPr>
          <w:rFonts w:hint="eastAsia"/>
        </w:rPr>
        <w:t>2</w:t>
      </w:r>
      <w:r>
        <w:t>.</w:t>
      </w:r>
      <w:r>
        <w:rPr>
          <w:rFonts w:hint="eastAsia"/>
        </w:rPr>
        <w:t>没有进一步使用LSTM，神经网络模型检验。其可靠程度有待进一步考证，但完整度较高。</w:t>
      </w:r>
    </w:p>
    <w:p w14:paraId="072ABA22">
      <w:pPr>
        <w:ind w:firstLine="480"/>
      </w:pPr>
      <w:r>
        <w:rPr>
          <w:rFonts w:hint="eastAsia"/>
        </w:rPr>
        <w:t>3</w:t>
      </w:r>
      <w:r>
        <w:t>.</w:t>
      </w:r>
      <w:r>
        <w:rPr>
          <w:rFonts w:hint="eastAsia"/>
        </w:rPr>
        <w:t>本文数据可能存在一定误差，但误差在合理的可接受范围之内，不影响文章预测结果的趋势。</w:t>
      </w:r>
    </w:p>
    <w:p w14:paraId="07A6140D">
      <w:pPr>
        <w:pStyle w:val="3"/>
      </w:pPr>
      <w:r>
        <w:rPr>
          <w:rFonts w:hint="eastAsia"/>
        </w:rPr>
        <w:t>6</w:t>
      </w:r>
      <w:r>
        <w:t xml:space="preserve">.3 </w:t>
      </w:r>
      <w:r>
        <w:rPr>
          <w:rFonts w:hint="eastAsia"/>
        </w:rPr>
        <w:t>建议</w:t>
      </w:r>
    </w:p>
    <w:p w14:paraId="280BE2FE">
      <w:pPr>
        <w:ind w:firstLine="480"/>
      </w:pPr>
      <w:r>
        <w:rPr>
          <w:rFonts w:hint="eastAsia"/>
        </w:rPr>
        <w:t>1</w:t>
      </w:r>
      <w:r>
        <w:t>.</w:t>
      </w:r>
      <w:r>
        <w:rPr>
          <w:rFonts w:hint="eastAsia"/>
        </w:rPr>
        <w:t>可以进一步使用LSTM，神经网络等模型提高预测准确度。</w:t>
      </w:r>
    </w:p>
    <w:p w14:paraId="5CDD07D9">
      <w:pPr>
        <w:ind w:firstLine="480"/>
      </w:pPr>
      <w:r>
        <w:rPr>
          <w:rFonts w:hint="eastAsia"/>
        </w:rPr>
        <w:t>2</w:t>
      </w:r>
      <w:r>
        <w:t>.</w:t>
      </w:r>
      <w:r>
        <w:rPr>
          <w:rFonts w:hint="eastAsia"/>
        </w:rPr>
        <w:t>在处理存在异常的数值时可以使用线性插值法进行处理，得出的结果更具有效性，真实性。</w:t>
      </w:r>
    </w:p>
    <w:p w14:paraId="2682FFDA">
      <w:pPr>
        <w:ind w:firstLine="480"/>
      </w:pPr>
      <w:r>
        <w:rPr>
          <w:rFonts w:hint="eastAsia"/>
        </w:rPr>
        <w:t>3</w:t>
      </w:r>
      <w:r>
        <w:t>.</w:t>
      </w:r>
      <w:r>
        <w:rPr>
          <w:rFonts w:hint="eastAsia"/>
        </w:rPr>
        <w:t>在处理数据时，提前进行可视化处理，找出之间的因果关系，进行定量和定性分析。</w:t>
      </w:r>
    </w:p>
    <w:p w14:paraId="571E81EF">
      <w:pPr>
        <w:ind w:firstLine="480"/>
      </w:pPr>
      <w:r>
        <w:rPr>
          <w:rFonts w:hint="eastAsia"/>
        </w:rPr>
        <w:t>4</w:t>
      </w:r>
      <w:r>
        <w:t>.</w:t>
      </w:r>
      <w:r>
        <w:rPr>
          <w:rFonts w:hint="eastAsia"/>
        </w:rPr>
        <w:t>为进一步研究，设计下表以便于政府采集数据及绩效考核，</w:t>
      </w:r>
    </w:p>
    <w:p w14:paraId="55E44980">
      <w:pPr>
        <w:pStyle w:val="5"/>
        <w:keepNext/>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14</w:t>
      </w:r>
      <w:r>
        <w:fldChar w:fldCharType="end"/>
      </w:r>
      <w:r>
        <w:t xml:space="preserve"> </w:t>
      </w:r>
      <w:r>
        <w:rPr>
          <w:rFonts w:hint="eastAsia"/>
        </w:rPr>
        <w:t>碳排放雄心版季度绩效考核表</w:t>
      </w:r>
    </w:p>
    <w:tbl>
      <w:tblPr>
        <w:tblStyle w:val="19"/>
        <w:tblW w:w="8865" w:type="dxa"/>
        <w:tblInd w:w="0" w:type="dxa"/>
        <w:tblLayout w:type="autofit"/>
        <w:tblCellMar>
          <w:top w:w="0" w:type="dxa"/>
          <w:left w:w="108" w:type="dxa"/>
          <w:bottom w:w="0" w:type="dxa"/>
          <w:right w:w="108" w:type="dxa"/>
        </w:tblCellMar>
      </w:tblPr>
      <w:tblGrid>
        <w:gridCol w:w="4767"/>
        <w:gridCol w:w="277"/>
        <w:gridCol w:w="449"/>
        <w:gridCol w:w="449"/>
        <w:gridCol w:w="449"/>
        <w:gridCol w:w="277"/>
        <w:gridCol w:w="2197"/>
      </w:tblGrid>
      <w:tr w14:paraId="2C76BF05">
        <w:tblPrEx>
          <w:tblCellMar>
            <w:top w:w="0" w:type="dxa"/>
            <w:left w:w="108" w:type="dxa"/>
            <w:bottom w:w="0" w:type="dxa"/>
            <w:right w:w="108" w:type="dxa"/>
          </w:tblCellMar>
        </w:tblPrEx>
        <w:trPr>
          <w:trHeight w:val="880" w:hRule="atLeast"/>
        </w:trPr>
        <w:tc>
          <w:tcPr>
            <w:tcW w:w="8865" w:type="dxa"/>
            <w:gridSpan w:val="7"/>
            <w:tcBorders>
              <w:top w:val="single" w:color="000000" w:sz="12" w:space="0"/>
              <w:left w:val="nil"/>
              <w:bottom w:val="single" w:color="000000" w:sz="8" w:space="0"/>
              <w:right w:val="nil"/>
            </w:tcBorders>
            <w:shd w:val="clear" w:color="auto" w:fill="A9D08E"/>
            <w:noWrap/>
            <w:vAlign w:val="center"/>
          </w:tcPr>
          <w:p w14:paraId="413BC163">
            <w:pPr>
              <w:widowControl/>
              <w:ind w:firstLine="0" w:firstLineChars="0"/>
              <w:jc w:val="center"/>
              <w:rPr>
                <w:rFonts w:ascii="楷体" w:hAnsi="楷体" w:eastAsia="楷体" w:cs="宋体"/>
                <w:b/>
                <w:bCs/>
                <w:color w:val="000000"/>
                <w:kern w:val="0"/>
                <w:szCs w:val="24"/>
              </w:rPr>
            </w:pPr>
            <w:r>
              <w:rPr>
                <w:rFonts w:hint="eastAsia" w:ascii="楷体" w:hAnsi="楷体" w:eastAsia="楷体" w:cs="宋体"/>
                <w:b/>
                <w:bCs/>
                <w:color w:val="000000"/>
                <w:kern w:val="0"/>
                <w:szCs w:val="24"/>
              </w:rPr>
              <w:t>（微观）</w:t>
            </w:r>
            <w:bookmarkStart w:id="4" w:name="_Hlk146571548"/>
            <w:r>
              <w:rPr>
                <w:rFonts w:hint="eastAsia" w:ascii="楷体" w:hAnsi="楷体" w:eastAsia="楷体" w:cs="宋体"/>
                <w:b/>
                <w:bCs/>
                <w:color w:val="000000"/>
                <w:kern w:val="0"/>
                <w:szCs w:val="24"/>
              </w:rPr>
              <w:t>碳排放雄心版季度绩效考核表</w:t>
            </w:r>
            <w:bookmarkEnd w:id="4"/>
          </w:p>
        </w:tc>
      </w:tr>
      <w:tr w14:paraId="46DD98FB">
        <w:tblPrEx>
          <w:tblCellMar>
            <w:top w:w="0" w:type="dxa"/>
            <w:left w:w="108" w:type="dxa"/>
            <w:bottom w:w="0" w:type="dxa"/>
            <w:right w:w="108" w:type="dxa"/>
          </w:tblCellMar>
        </w:tblPrEx>
        <w:trPr>
          <w:trHeight w:val="312" w:hRule="atLeast"/>
        </w:trPr>
        <w:tc>
          <w:tcPr>
            <w:tcW w:w="5044" w:type="dxa"/>
            <w:gridSpan w:val="2"/>
            <w:tcBorders>
              <w:top w:val="nil"/>
              <w:left w:val="nil"/>
              <w:bottom w:val="nil"/>
              <w:right w:val="nil"/>
            </w:tcBorders>
            <w:shd w:val="clear" w:color="auto" w:fill="auto"/>
            <w:noWrap/>
            <w:vAlign w:val="center"/>
          </w:tcPr>
          <w:p w14:paraId="628AE44D">
            <w:pPr>
              <w:widowControl/>
              <w:ind w:firstLine="0" w:firstLineChars="0"/>
              <w:jc w:val="left"/>
              <w:rPr>
                <w:rFonts w:ascii="楷体" w:hAnsi="楷体" w:eastAsia="楷体" w:cs="宋体"/>
                <w:b/>
                <w:bCs/>
                <w:color w:val="000000"/>
                <w:kern w:val="0"/>
                <w:szCs w:val="24"/>
              </w:rPr>
            </w:pPr>
            <w:r>
              <w:rPr>
                <w:rFonts w:hint="eastAsia" w:ascii="楷体" w:hAnsi="楷体" w:eastAsia="楷体" w:cs="宋体"/>
                <w:b/>
                <w:bCs/>
                <w:color w:val="000000"/>
                <w:kern w:val="0"/>
                <w:szCs w:val="24"/>
              </w:rPr>
              <w:t xml:space="preserve">部门：  </w:t>
            </w:r>
          </w:p>
        </w:tc>
        <w:tc>
          <w:tcPr>
            <w:tcW w:w="1347" w:type="dxa"/>
            <w:gridSpan w:val="3"/>
            <w:tcBorders>
              <w:top w:val="nil"/>
              <w:left w:val="nil"/>
              <w:bottom w:val="nil"/>
              <w:right w:val="nil"/>
            </w:tcBorders>
            <w:shd w:val="clear" w:color="auto" w:fill="auto"/>
            <w:noWrap/>
            <w:vAlign w:val="center"/>
          </w:tcPr>
          <w:p w14:paraId="056554BD">
            <w:pPr>
              <w:widowControl/>
              <w:ind w:firstLine="0" w:firstLineChars="0"/>
              <w:jc w:val="left"/>
              <w:rPr>
                <w:rFonts w:ascii="楷体" w:hAnsi="楷体" w:eastAsia="楷体" w:cs="宋体"/>
                <w:b/>
                <w:bCs/>
                <w:color w:val="000000"/>
                <w:kern w:val="0"/>
                <w:szCs w:val="24"/>
              </w:rPr>
            </w:pPr>
            <w:r>
              <w:rPr>
                <w:rFonts w:hint="eastAsia" w:ascii="楷体" w:hAnsi="楷体" w:eastAsia="楷体" w:cs="宋体"/>
                <w:b/>
                <w:bCs/>
                <w:color w:val="000000"/>
                <w:kern w:val="0"/>
                <w:szCs w:val="24"/>
              </w:rPr>
              <w:t>考核审计人：</w:t>
            </w:r>
          </w:p>
        </w:tc>
        <w:tc>
          <w:tcPr>
            <w:tcW w:w="2474" w:type="dxa"/>
            <w:gridSpan w:val="2"/>
            <w:tcBorders>
              <w:top w:val="nil"/>
              <w:left w:val="nil"/>
              <w:bottom w:val="nil"/>
              <w:right w:val="nil"/>
            </w:tcBorders>
            <w:shd w:val="clear" w:color="auto" w:fill="auto"/>
            <w:noWrap/>
            <w:vAlign w:val="center"/>
          </w:tcPr>
          <w:p w14:paraId="1B708651">
            <w:pPr>
              <w:widowControl/>
              <w:ind w:firstLine="0" w:firstLineChars="0"/>
              <w:jc w:val="left"/>
              <w:rPr>
                <w:rFonts w:ascii="楷体" w:hAnsi="楷体" w:eastAsia="楷体" w:cs="宋体"/>
                <w:b/>
                <w:bCs/>
                <w:color w:val="000000"/>
                <w:kern w:val="0"/>
                <w:szCs w:val="24"/>
              </w:rPr>
            </w:pPr>
            <w:r>
              <w:rPr>
                <w:rFonts w:hint="eastAsia" w:ascii="楷体" w:hAnsi="楷体" w:eastAsia="楷体" w:cs="宋体"/>
                <w:b/>
                <w:bCs/>
                <w:color w:val="000000"/>
                <w:kern w:val="0"/>
                <w:szCs w:val="24"/>
              </w:rPr>
              <w:t>数据采集人：</w:t>
            </w:r>
          </w:p>
        </w:tc>
      </w:tr>
      <w:tr w14:paraId="1610B365">
        <w:tblPrEx>
          <w:tblCellMar>
            <w:top w:w="0" w:type="dxa"/>
            <w:left w:w="108" w:type="dxa"/>
            <w:bottom w:w="0" w:type="dxa"/>
            <w:right w:w="108" w:type="dxa"/>
          </w:tblCellMar>
        </w:tblPrEx>
        <w:trPr>
          <w:trHeight w:val="312" w:hRule="atLeast"/>
        </w:trPr>
        <w:tc>
          <w:tcPr>
            <w:tcW w:w="4767" w:type="dxa"/>
            <w:tcBorders>
              <w:top w:val="nil"/>
              <w:left w:val="nil"/>
              <w:bottom w:val="nil"/>
              <w:right w:val="nil"/>
            </w:tcBorders>
            <w:shd w:val="clear" w:color="auto" w:fill="auto"/>
            <w:noWrap/>
            <w:vAlign w:val="center"/>
          </w:tcPr>
          <w:p w14:paraId="3E42C0EE">
            <w:pPr>
              <w:widowControl/>
              <w:ind w:firstLine="0" w:firstLineChars="0"/>
              <w:jc w:val="center"/>
              <w:rPr>
                <w:rFonts w:ascii="楷体" w:hAnsi="楷体" w:eastAsia="楷体" w:cs="宋体"/>
                <w:b/>
                <w:bCs/>
                <w:color w:val="000000"/>
                <w:kern w:val="0"/>
                <w:szCs w:val="24"/>
              </w:rPr>
            </w:pPr>
            <w:r>
              <w:rPr>
                <w:rFonts w:hint="eastAsia" w:ascii="楷体" w:hAnsi="楷体" w:eastAsia="楷体" w:cs="宋体"/>
                <w:b/>
                <w:bCs/>
                <w:color w:val="000000"/>
                <w:kern w:val="0"/>
                <w:szCs w:val="24"/>
              </w:rPr>
              <w:t>季度石化能源消费量</w:t>
            </w:r>
          </w:p>
        </w:tc>
        <w:tc>
          <w:tcPr>
            <w:tcW w:w="277" w:type="dxa"/>
            <w:tcBorders>
              <w:top w:val="nil"/>
              <w:left w:val="nil"/>
              <w:bottom w:val="nil"/>
              <w:right w:val="nil"/>
            </w:tcBorders>
            <w:shd w:val="clear" w:color="auto" w:fill="E2EFDA"/>
            <w:noWrap/>
            <w:vAlign w:val="center"/>
          </w:tcPr>
          <w:p w14:paraId="21F04BF2">
            <w:pPr>
              <w:widowControl/>
              <w:ind w:firstLine="0" w:firstLineChars="0"/>
              <w:jc w:val="center"/>
              <w:rPr>
                <w:rFonts w:ascii="楷体" w:hAnsi="楷体" w:eastAsia="楷体" w:cs="宋体"/>
                <w:b/>
                <w:bCs/>
                <w:color w:val="000000"/>
                <w:kern w:val="0"/>
                <w:szCs w:val="24"/>
              </w:rPr>
            </w:pPr>
          </w:p>
        </w:tc>
        <w:tc>
          <w:tcPr>
            <w:tcW w:w="449" w:type="dxa"/>
            <w:tcBorders>
              <w:top w:val="nil"/>
              <w:left w:val="nil"/>
              <w:bottom w:val="nil"/>
              <w:right w:val="nil"/>
            </w:tcBorders>
            <w:shd w:val="clear" w:color="auto" w:fill="E2EFDA"/>
            <w:noWrap/>
            <w:vAlign w:val="center"/>
          </w:tcPr>
          <w:p w14:paraId="1A9E4275">
            <w:pPr>
              <w:widowControl/>
              <w:ind w:firstLine="0" w:firstLineChars="0"/>
              <w:jc w:val="center"/>
              <w:rPr>
                <w:rFonts w:eastAsia="Times New Roman"/>
                <w:kern w:val="0"/>
                <w:sz w:val="20"/>
                <w:szCs w:val="20"/>
              </w:rPr>
            </w:pPr>
          </w:p>
        </w:tc>
        <w:tc>
          <w:tcPr>
            <w:tcW w:w="449" w:type="dxa"/>
            <w:tcBorders>
              <w:top w:val="nil"/>
              <w:left w:val="nil"/>
              <w:bottom w:val="nil"/>
              <w:right w:val="nil"/>
            </w:tcBorders>
            <w:shd w:val="clear" w:color="auto" w:fill="E2EFDA"/>
            <w:noWrap/>
            <w:vAlign w:val="center"/>
          </w:tcPr>
          <w:p w14:paraId="4468372E">
            <w:pPr>
              <w:widowControl/>
              <w:ind w:firstLine="0" w:firstLineChars="0"/>
              <w:jc w:val="center"/>
              <w:rPr>
                <w:rFonts w:eastAsia="Times New Roman"/>
                <w:kern w:val="0"/>
                <w:sz w:val="20"/>
                <w:szCs w:val="20"/>
              </w:rPr>
            </w:pPr>
          </w:p>
        </w:tc>
        <w:tc>
          <w:tcPr>
            <w:tcW w:w="449" w:type="dxa"/>
            <w:tcBorders>
              <w:top w:val="nil"/>
              <w:left w:val="nil"/>
              <w:bottom w:val="nil"/>
              <w:right w:val="nil"/>
            </w:tcBorders>
            <w:shd w:val="clear" w:color="auto" w:fill="E2EFDA"/>
            <w:noWrap/>
            <w:vAlign w:val="center"/>
          </w:tcPr>
          <w:p w14:paraId="6D19ADC9">
            <w:pPr>
              <w:widowControl/>
              <w:ind w:firstLine="0" w:firstLineChars="0"/>
              <w:jc w:val="center"/>
              <w:rPr>
                <w:rFonts w:eastAsia="Times New Roman"/>
                <w:kern w:val="0"/>
                <w:sz w:val="20"/>
                <w:szCs w:val="20"/>
              </w:rPr>
            </w:pPr>
          </w:p>
        </w:tc>
        <w:tc>
          <w:tcPr>
            <w:tcW w:w="277" w:type="dxa"/>
            <w:tcBorders>
              <w:top w:val="nil"/>
              <w:left w:val="nil"/>
              <w:bottom w:val="nil"/>
              <w:right w:val="nil"/>
            </w:tcBorders>
            <w:shd w:val="clear" w:color="auto" w:fill="E2EFDA"/>
            <w:noWrap/>
            <w:vAlign w:val="center"/>
          </w:tcPr>
          <w:p w14:paraId="0D2CDC34">
            <w:pPr>
              <w:widowControl/>
              <w:ind w:firstLine="0" w:firstLineChars="0"/>
              <w:jc w:val="center"/>
              <w:rPr>
                <w:rFonts w:eastAsia="Times New Roman"/>
                <w:kern w:val="0"/>
                <w:sz w:val="20"/>
                <w:szCs w:val="20"/>
              </w:rPr>
            </w:pPr>
          </w:p>
        </w:tc>
        <w:tc>
          <w:tcPr>
            <w:tcW w:w="2197" w:type="dxa"/>
            <w:vMerge w:val="restart"/>
            <w:tcBorders>
              <w:top w:val="nil"/>
              <w:left w:val="nil"/>
              <w:bottom w:val="nil"/>
              <w:right w:val="nil"/>
            </w:tcBorders>
            <w:shd w:val="clear" w:color="auto" w:fill="auto"/>
            <w:noWrap/>
            <w:vAlign w:val="center"/>
          </w:tcPr>
          <w:p w14:paraId="0D0864D3">
            <w:pPr>
              <w:widowControl/>
              <w:ind w:firstLine="0" w:firstLineChars="0"/>
              <w:jc w:val="center"/>
              <w:rPr>
                <w:rFonts w:ascii="楷体" w:hAnsi="楷体" w:eastAsia="楷体" w:cs="宋体"/>
                <w:b/>
                <w:bCs/>
                <w:color w:val="000000"/>
                <w:kern w:val="0"/>
                <w:szCs w:val="24"/>
              </w:rPr>
            </w:pPr>
            <w:r>
              <w:rPr>
                <w:rFonts w:hint="eastAsia" w:ascii="楷体" w:hAnsi="楷体" w:eastAsia="楷体" w:cs="宋体"/>
                <w:b/>
                <w:bCs/>
                <w:color w:val="000000"/>
                <w:kern w:val="0"/>
                <w:szCs w:val="24"/>
              </w:rPr>
              <w:t>（      ）</w:t>
            </w:r>
          </w:p>
        </w:tc>
      </w:tr>
      <w:tr w14:paraId="7362F964">
        <w:tblPrEx>
          <w:tblCellMar>
            <w:top w:w="0" w:type="dxa"/>
            <w:left w:w="108" w:type="dxa"/>
            <w:bottom w:w="0" w:type="dxa"/>
            <w:right w:w="108" w:type="dxa"/>
          </w:tblCellMar>
        </w:tblPrEx>
        <w:trPr>
          <w:trHeight w:val="312" w:hRule="atLeast"/>
        </w:trPr>
        <w:tc>
          <w:tcPr>
            <w:tcW w:w="4767" w:type="dxa"/>
            <w:tcBorders>
              <w:top w:val="nil"/>
              <w:left w:val="nil"/>
              <w:bottom w:val="nil"/>
              <w:right w:val="nil"/>
            </w:tcBorders>
            <w:shd w:val="clear" w:color="auto" w:fill="auto"/>
            <w:noWrap/>
            <w:vAlign w:val="center"/>
          </w:tcPr>
          <w:p w14:paraId="19BEDAC6">
            <w:pPr>
              <w:widowControl/>
              <w:ind w:firstLine="0" w:firstLineChars="0"/>
              <w:jc w:val="center"/>
              <w:rPr>
                <w:rFonts w:ascii="楷体" w:hAnsi="楷体" w:eastAsia="楷体" w:cs="宋体"/>
                <w:b/>
                <w:bCs/>
                <w:color w:val="000000"/>
                <w:kern w:val="0"/>
                <w:szCs w:val="24"/>
              </w:rPr>
            </w:pPr>
            <w:r>
              <w:rPr>
                <w:rFonts w:hint="eastAsia" w:ascii="楷体" w:hAnsi="楷体" w:eastAsia="楷体" w:cs="宋体"/>
                <w:b/>
                <w:bCs/>
                <w:color w:val="000000"/>
                <w:kern w:val="0"/>
                <w:szCs w:val="24"/>
              </w:rPr>
              <w:t>同比</w:t>
            </w:r>
          </w:p>
        </w:tc>
        <w:tc>
          <w:tcPr>
            <w:tcW w:w="277" w:type="dxa"/>
            <w:tcBorders>
              <w:top w:val="nil"/>
              <w:left w:val="nil"/>
              <w:bottom w:val="nil"/>
              <w:right w:val="nil"/>
            </w:tcBorders>
            <w:shd w:val="clear" w:color="auto" w:fill="E2EFDA"/>
            <w:noWrap/>
            <w:vAlign w:val="center"/>
          </w:tcPr>
          <w:p w14:paraId="49DB906E">
            <w:pPr>
              <w:widowControl/>
              <w:ind w:firstLine="0" w:firstLineChars="0"/>
              <w:jc w:val="center"/>
              <w:rPr>
                <w:rFonts w:ascii="楷体" w:hAnsi="楷体" w:eastAsia="楷体" w:cs="宋体"/>
                <w:b/>
                <w:bCs/>
                <w:color w:val="000000"/>
                <w:kern w:val="0"/>
                <w:szCs w:val="24"/>
              </w:rPr>
            </w:pPr>
          </w:p>
        </w:tc>
        <w:tc>
          <w:tcPr>
            <w:tcW w:w="449" w:type="dxa"/>
            <w:tcBorders>
              <w:top w:val="nil"/>
              <w:left w:val="nil"/>
              <w:bottom w:val="nil"/>
              <w:right w:val="nil"/>
            </w:tcBorders>
            <w:shd w:val="clear" w:color="auto" w:fill="E2EFDA"/>
            <w:noWrap/>
            <w:vAlign w:val="center"/>
          </w:tcPr>
          <w:p w14:paraId="0740B623">
            <w:pPr>
              <w:widowControl/>
              <w:ind w:firstLine="0" w:firstLineChars="0"/>
              <w:jc w:val="center"/>
              <w:rPr>
                <w:rFonts w:eastAsia="Times New Roman"/>
                <w:kern w:val="0"/>
                <w:sz w:val="20"/>
                <w:szCs w:val="20"/>
              </w:rPr>
            </w:pPr>
          </w:p>
        </w:tc>
        <w:tc>
          <w:tcPr>
            <w:tcW w:w="449" w:type="dxa"/>
            <w:tcBorders>
              <w:top w:val="nil"/>
              <w:left w:val="nil"/>
              <w:bottom w:val="nil"/>
              <w:right w:val="nil"/>
            </w:tcBorders>
            <w:shd w:val="clear" w:color="auto" w:fill="E2EFDA"/>
            <w:noWrap/>
            <w:vAlign w:val="center"/>
          </w:tcPr>
          <w:p w14:paraId="58981EF3">
            <w:pPr>
              <w:widowControl/>
              <w:ind w:firstLine="0" w:firstLineChars="0"/>
              <w:jc w:val="center"/>
              <w:rPr>
                <w:rFonts w:eastAsia="Times New Roman"/>
                <w:kern w:val="0"/>
                <w:sz w:val="20"/>
                <w:szCs w:val="20"/>
              </w:rPr>
            </w:pPr>
          </w:p>
        </w:tc>
        <w:tc>
          <w:tcPr>
            <w:tcW w:w="449" w:type="dxa"/>
            <w:tcBorders>
              <w:top w:val="nil"/>
              <w:left w:val="nil"/>
              <w:bottom w:val="nil"/>
              <w:right w:val="nil"/>
            </w:tcBorders>
            <w:shd w:val="clear" w:color="auto" w:fill="E2EFDA"/>
            <w:noWrap/>
            <w:vAlign w:val="center"/>
          </w:tcPr>
          <w:p w14:paraId="5EE83FFE">
            <w:pPr>
              <w:widowControl/>
              <w:ind w:firstLine="0" w:firstLineChars="0"/>
              <w:jc w:val="center"/>
              <w:rPr>
                <w:rFonts w:eastAsia="Times New Roman"/>
                <w:kern w:val="0"/>
                <w:sz w:val="20"/>
                <w:szCs w:val="20"/>
              </w:rPr>
            </w:pPr>
          </w:p>
        </w:tc>
        <w:tc>
          <w:tcPr>
            <w:tcW w:w="277" w:type="dxa"/>
            <w:tcBorders>
              <w:top w:val="nil"/>
              <w:left w:val="nil"/>
              <w:bottom w:val="nil"/>
              <w:right w:val="nil"/>
            </w:tcBorders>
            <w:shd w:val="clear" w:color="auto" w:fill="E2EFDA"/>
            <w:noWrap/>
            <w:vAlign w:val="center"/>
          </w:tcPr>
          <w:p w14:paraId="0EEBECCF">
            <w:pPr>
              <w:widowControl/>
              <w:ind w:firstLine="0" w:firstLineChars="0"/>
              <w:jc w:val="center"/>
              <w:rPr>
                <w:rFonts w:eastAsia="Times New Roman"/>
                <w:kern w:val="0"/>
                <w:sz w:val="20"/>
                <w:szCs w:val="20"/>
              </w:rPr>
            </w:pPr>
          </w:p>
        </w:tc>
        <w:tc>
          <w:tcPr>
            <w:tcW w:w="2197" w:type="dxa"/>
            <w:vMerge w:val="continue"/>
            <w:tcBorders>
              <w:top w:val="nil"/>
              <w:left w:val="nil"/>
              <w:bottom w:val="nil"/>
              <w:right w:val="nil"/>
            </w:tcBorders>
            <w:vAlign w:val="center"/>
          </w:tcPr>
          <w:p w14:paraId="0BE88C81">
            <w:pPr>
              <w:widowControl/>
              <w:ind w:firstLine="0" w:firstLineChars="0"/>
              <w:jc w:val="left"/>
              <w:rPr>
                <w:rFonts w:ascii="楷体" w:hAnsi="楷体" w:eastAsia="楷体" w:cs="宋体"/>
                <w:b/>
                <w:bCs/>
                <w:color w:val="000000"/>
                <w:kern w:val="0"/>
                <w:szCs w:val="24"/>
              </w:rPr>
            </w:pPr>
          </w:p>
        </w:tc>
      </w:tr>
      <w:tr w14:paraId="1431C47D">
        <w:tblPrEx>
          <w:tblCellMar>
            <w:top w:w="0" w:type="dxa"/>
            <w:left w:w="108" w:type="dxa"/>
            <w:bottom w:w="0" w:type="dxa"/>
            <w:right w:w="108" w:type="dxa"/>
          </w:tblCellMar>
        </w:tblPrEx>
        <w:trPr>
          <w:trHeight w:val="312" w:hRule="atLeast"/>
        </w:trPr>
        <w:tc>
          <w:tcPr>
            <w:tcW w:w="4767" w:type="dxa"/>
            <w:tcBorders>
              <w:top w:val="nil"/>
              <w:left w:val="nil"/>
              <w:bottom w:val="nil"/>
              <w:right w:val="nil"/>
            </w:tcBorders>
            <w:shd w:val="clear" w:color="auto" w:fill="auto"/>
            <w:noWrap/>
            <w:vAlign w:val="center"/>
          </w:tcPr>
          <w:p w14:paraId="37066AF0">
            <w:pPr>
              <w:widowControl/>
              <w:ind w:firstLine="0" w:firstLineChars="0"/>
              <w:jc w:val="center"/>
              <w:rPr>
                <w:rFonts w:ascii="楷体" w:hAnsi="楷体" w:eastAsia="楷体" w:cs="宋体"/>
                <w:b/>
                <w:bCs/>
                <w:color w:val="000000"/>
                <w:kern w:val="0"/>
                <w:szCs w:val="24"/>
              </w:rPr>
            </w:pPr>
            <w:r>
              <w:rPr>
                <w:rFonts w:hint="eastAsia" w:ascii="楷体" w:hAnsi="楷体" w:eastAsia="楷体" w:cs="宋体"/>
                <w:b/>
                <w:bCs/>
                <w:color w:val="000000"/>
                <w:kern w:val="0"/>
                <w:szCs w:val="24"/>
              </w:rPr>
              <w:t>季度非石化能源消费量</w:t>
            </w:r>
          </w:p>
        </w:tc>
        <w:tc>
          <w:tcPr>
            <w:tcW w:w="277" w:type="dxa"/>
            <w:tcBorders>
              <w:top w:val="nil"/>
              <w:left w:val="nil"/>
              <w:bottom w:val="nil"/>
              <w:right w:val="nil"/>
            </w:tcBorders>
            <w:shd w:val="clear" w:color="auto" w:fill="E2EFDA"/>
            <w:noWrap/>
            <w:vAlign w:val="center"/>
          </w:tcPr>
          <w:p w14:paraId="0C414B8A">
            <w:pPr>
              <w:widowControl/>
              <w:ind w:firstLine="0" w:firstLineChars="0"/>
              <w:jc w:val="center"/>
              <w:rPr>
                <w:rFonts w:ascii="楷体" w:hAnsi="楷体" w:eastAsia="楷体" w:cs="宋体"/>
                <w:b/>
                <w:bCs/>
                <w:color w:val="000000"/>
                <w:kern w:val="0"/>
                <w:szCs w:val="24"/>
              </w:rPr>
            </w:pPr>
          </w:p>
        </w:tc>
        <w:tc>
          <w:tcPr>
            <w:tcW w:w="449" w:type="dxa"/>
            <w:tcBorders>
              <w:top w:val="nil"/>
              <w:left w:val="nil"/>
              <w:bottom w:val="nil"/>
              <w:right w:val="nil"/>
            </w:tcBorders>
            <w:shd w:val="clear" w:color="auto" w:fill="E2EFDA"/>
            <w:noWrap/>
            <w:vAlign w:val="center"/>
          </w:tcPr>
          <w:p w14:paraId="3FFB9226">
            <w:pPr>
              <w:widowControl/>
              <w:ind w:firstLine="0" w:firstLineChars="0"/>
              <w:jc w:val="center"/>
              <w:rPr>
                <w:rFonts w:eastAsia="Times New Roman"/>
                <w:kern w:val="0"/>
                <w:sz w:val="20"/>
                <w:szCs w:val="20"/>
              </w:rPr>
            </w:pPr>
          </w:p>
        </w:tc>
        <w:tc>
          <w:tcPr>
            <w:tcW w:w="449" w:type="dxa"/>
            <w:tcBorders>
              <w:top w:val="nil"/>
              <w:left w:val="nil"/>
              <w:bottom w:val="nil"/>
              <w:right w:val="nil"/>
            </w:tcBorders>
            <w:shd w:val="clear" w:color="auto" w:fill="E2EFDA"/>
            <w:noWrap/>
            <w:vAlign w:val="center"/>
          </w:tcPr>
          <w:p w14:paraId="31228B4E">
            <w:pPr>
              <w:widowControl/>
              <w:ind w:firstLine="0" w:firstLineChars="0"/>
              <w:jc w:val="center"/>
              <w:rPr>
                <w:rFonts w:eastAsia="Times New Roman"/>
                <w:kern w:val="0"/>
                <w:sz w:val="20"/>
                <w:szCs w:val="20"/>
              </w:rPr>
            </w:pPr>
          </w:p>
        </w:tc>
        <w:tc>
          <w:tcPr>
            <w:tcW w:w="449" w:type="dxa"/>
            <w:tcBorders>
              <w:top w:val="nil"/>
              <w:left w:val="nil"/>
              <w:bottom w:val="nil"/>
              <w:right w:val="nil"/>
            </w:tcBorders>
            <w:shd w:val="clear" w:color="auto" w:fill="E2EFDA"/>
            <w:noWrap/>
            <w:vAlign w:val="center"/>
          </w:tcPr>
          <w:p w14:paraId="1546FE77">
            <w:pPr>
              <w:widowControl/>
              <w:ind w:firstLine="0" w:firstLineChars="0"/>
              <w:jc w:val="center"/>
              <w:rPr>
                <w:rFonts w:eastAsia="Times New Roman"/>
                <w:kern w:val="0"/>
                <w:sz w:val="20"/>
                <w:szCs w:val="20"/>
              </w:rPr>
            </w:pPr>
          </w:p>
        </w:tc>
        <w:tc>
          <w:tcPr>
            <w:tcW w:w="277" w:type="dxa"/>
            <w:tcBorders>
              <w:top w:val="nil"/>
              <w:left w:val="nil"/>
              <w:bottom w:val="nil"/>
              <w:right w:val="nil"/>
            </w:tcBorders>
            <w:shd w:val="clear" w:color="auto" w:fill="E2EFDA"/>
            <w:noWrap/>
            <w:vAlign w:val="center"/>
          </w:tcPr>
          <w:p w14:paraId="5F9CC783">
            <w:pPr>
              <w:widowControl/>
              <w:ind w:firstLine="0" w:firstLineChars="0"/>
              <w:jc w:val="center"/>
              <w:rPr>
                <w:rFonts w:eastAsia="Times New Roman"/>
                <w:kern w:val="0"/>
                <w:sz w:val="20"/>
                <w:szCs w:val="20"/>
              </w:rPr>
            </w:pPr>
          </w:p>
        </w:tc>
        <w:tc>
          <w:tcPr>
            <w:tcW w:w="2197" w:type="dxa"/>
            <w:vMerge w:val="restart"/>
            <w:tcBorders>
              <w:top w:val="nil"/>
              <w:left w:val="nil"/>
              <w:bottom w:val="nil"/>
              <w:right w:val="nil"/>
            </w:tcBorders>
            <w:shd w:val="clear" w:color="auto" w:fill="auto"/>
            <w:noWrap/>
            <w:vAlign w:val="center"/>
          </w:tcPr>
          <w:p w14:paraId="1C9ED3D8">
            <w:pPr>
              <w:widowControl/>
              <w:ind w:firstLine="0" w:firstLineChars="0"/>
              <w:jc w:val="center"/>
              <w:rPr>
                <w:rFonts w:ascii="楷体" w:hAnsi="楷体" w:eastAsia="楷体" w:cs="宋体"/>
                <w:b/>
                <w:bCs/>
                <w:color w:val="000000"/>
                <w:kern w:val="0"/>
                <w:szCs w:val="24"/>
              </w:rPr>
            </w:pPr>
            <w:r>
              <w:rPr>
                <w:rFonts w:hint="eastAsia" w:ascii="楷体" w:hAnsi="楷体" w:eastAsia="楷体" w:cs="宋体"/>
                <w:b/>
                <w:bCs/>
                <w:color w:val="000000"/>
                <w:kern w:val="0"/>
                <w:szCs w:val="24"/>
              </w:rPr>
              <w:t>（      ）</w:t>
            </w:r>
          </w:p>
        </w:tc>
      </w:tr>
      <w:tr w14:paraId="64A23039">
        <w:tblPrEx>
          <w:tblCellMar>
            <w:top w:w="0" w:type="dxa"/>
            <w:left w:w="108" w:type="dxa"/>
            <w:bottom w:w="0" w:type="dxa"/>
            <w:right w:w="108" w:type="dxa"/>
          </w:tblCellMar>
        </w:tblPrEx>
        <w:trPr>
          <w:trHeight w:val="312" w:hRule="atLeast"/>
        </w:trPr>
        <w:tc>
          <w:tcPr>
            <w:tcW w:w="4767" w:type="dxa"/>
            <w:tcBorders>
              <w:top w:val="nil"/>
              <w:left w:val="nil"/>
              <w:bottom w:val="nil"/>
              <w:right w:val="nil"/>
            </w:tcBorders>
            <w:shd w:val="clear" w:color="auto" w:fill="auto"/>
            <w:noWrap/>
            <w:vAlign w:val="center"/>
          </w:tcPr>
          <w:p w14:paraId="544B99AB">
            <w:pPr>
              <w:widowControl/>
              <w:ind w:firstLine="0" w:firstLineChars="0"/>
              <w:jc w:val="center"/>
              <w:rPr>
                <w:rFonts w:ascii="楷体" w:hAnsi="楷体" w:eastAsia="楷体" w:cs="宋体"/>
                <w:b/>
                <w:bCs/>
                <w:color w:val="000000"/>
                <w:kern w:val="0"/>
                <w:szCs w:val="24"/>
              </w:rPr>
            </w:pPr>
            <w:r>
              <w:rPr>
                <w:rFonts w:hint="eastAsia" w:ascii="楷体" w:hAnsi="楷体" w:eastAsia="楷体" w:cs="宋体"/>
                <w:b/>
                <w:bCs/>
                <w:color w:val="000000"/>
                <w:kern w:val="0"/>
                <w:szCs w:val="24"/>
              </w:rPr>
              <w:t>同比</w:t>
            </w:r>
          </w:p>
        </w:tc>
        <w:tc>
          <w:tcPr>
            <w:tcW w:w="277" w:type="dxa"/>
            <w:tcBorders>
              <w:top w:val="nil"/>
              <w:left w:val="nil"/>
              <w:bottom w:val="nil"/>
              <w:right w:val="nil"/>
            </w:tcBorders>
            <w:shd w:val="clear" w:color="auto" w:fill="E2EFDA"/>
            <w:noWrap/>
            <w:vAlign w:val="center"/>
          </w:tcPr>
          <w:p w14:paraId="7353200A">
            <w:pPr>
              <w:widowControl/>
              <w:ind w:firstLine="0" w:firstLineChars="0"/>
              <w:jc w:val="center"/>
              <w:rPr>
                <w:rFonts w:ascii="楷体" w:hAnsi="楷体" w:eastAsia="楷体" w:cs="宋体"/>
                <w:b/>
                <w:bCs/>
                <w:color w:val="000000"/>
                <w:kern w:val="0"/>
                <w:szCs w:val="24"/>
              </w:rPr>
            </w:pPr>
          </w:p>
        </w:tc>
        <w:tc>
          <w:tcPr>
            <w:tcW w:w="449" w:type="dxa"/>
            <w:tcBorders>
              <w:top w:val="nil"/>
              <w:left w:val="nil"/>
              <w:bottom w:val="nil"/>
              <w:right w:val="nil"/>
            </w:tcBorders>
            <w:shd w:val="clear" w:color="auto" w:fill="E2EFDA"/>
            <w:noWrap/>
            <w:vAlign w:val="center"/>
          </w:tcPr>
          <w:p w14:paraId="5701278D">
            <w:pPr>
              <w:widowControl/>
              <w:ind w:firstLine="0" w:firstLineChars="0"/>
              <w:jc w:val="center"/>
              <w:rPr>
                <w:rFonts w:eastAsia="Times New Roman"/>
                <w:kern w:val="0"/>
                <w:sz w:val="20"/>
                <w:szCs w:val="20"/>
              </w:rPr>
            </w:pPr>
          </w:p>
        </w:tc>
        <w:tc>
          <w:tcPr>
            <w:tcW w:w="449" w:type="dxa"/>
            <w:tcBorders>
              <w:top w:val="nil"/>
              <w:left w:val="nil"/>
              <w:bottom w:val="nil"/>
              <w:right w:val="nil"/>
            </w:tcBorders>
            <w:shd w:val="clear" w:color="auto" w:fill="E2EFDA"/>
            <w:noWrap/>
            <w:vAlign w:val="center"/>
          </w:tcPr>
          <w:p w14:paraId="6257393E">
            <w:pPr>
              <w:widowControl/>
              <w:ind w:firstLine="0" w:firstLineChars="0"/>
              <w:jc w:val="center"/>
              <w:rPr>
                <w:rFonts w:eastAsia="Times New Roman"/>
                <w:kern w:val="0"/>
                <w:sz w:val="20"/>
                <w:szCs w:val="20"/>
              </w:rPr>
            </w:pPr>
          </w:p>
        </w:tc>
        <w:tc>
          <w:tcPr>
            <w:tcW w:w="449" w:type="dxa"/>
            <w:tcBorders>
              <w:top w:val="nil"/>
              <w:left w:val="nil"/>
              <w:bottom w:val="nil"/>
              <w:right w:val="nil"/>
            </w:tcBorders>
            <w:shd w:val="clear" w:color="auto" w:fill="E2EFDA"/>
            <w:noWrap/>
            <w:vAlign w:val="center"/>
          </w:tcPr>
          <w:p w14:paraId="473BE460">
            <w:pPr>
              <w:widowControl/>
              <w:ind w:firstLine="0" w:firstLineChars="0"/>
              <w:jc w:val="center"/>
              <w:rPr>
                <w:rFonts w:eastAsia="Times New Roman"/>
                <w:kern w:val="0"/>
                <w:sz w:val="20"/>
                <w:szCs w:val="20"/>
              </w:rPr>
            </w:pPr>
          </w:p>
        </w:tc>
        <w:tc>
          <w:tcPr>
            <w:tcW w:w="277" w:type="dxa"/>
            <w:tcBorders>
              <w:top w:val="nil"/>
              <w:left w:val="nil"/>
              <w:bottom w:val="nil"/>
              <w:right w:val="nil"/>
            </w:tcBorders>
            <w:shd w:val="clear" w:color="auto" w:fill="E2EFDA"/>
            <w:noWrap/>
            <w:vAlign w:val="center"/>
          </w:tcPr>
          <w:p w14:paraId="5FB52372">
            <w:pPr>
              <w:widowControl/>
              <w:ind w:firstLine="0" w:firstLineChars="0"/>
              <w:jc w:val="center"/>
              <w:rPr>
                <w:rFonts w:eastAsia="Times New Roman"/>
                <w:kern w:val="0"/>
                <w:sz w:val="20"/>
                <w:szCs w:val="20"/>
              </w:rPr>
            </w:pPr>
          </w:p>
        </w:tc>
        <w:tc>
          <w:tcPr>
            <w:tcW w:w="2197" w:type="dxa"/>
            <w:vMerge w:val="continue"/>
            <w:tcBorders>
              <w:top w:val="nil"/>
              <w:left w:val="nil"/>
              <w:bottom w:val="nil"/>
              <w:right w:val="nil"/>
            </w:tcBorders>
            <w:vAlign w:val="center"/>
          </w:tcPr>
          <w:p w14:paraId="431DADD2">
            <w:pPr>
              <w:widowControl/>
              <w:ind w:firstLine="0" w:firstLineChars="0"/>
              <w:jc w:val="left"/>
              <w:rPr>
                <w:rFonts w:ascii="楷体" w:hAnsi="楷体" w:eastAsia="楷体" w:cs="宋体"/>
                <w:b/>
                <w:bCs/>
                <w:color w:val="000000"/>
                <w:kern w:val="0"/>
                <w:szCs w:val="24"/>
              </w:rPr>
            </w:pPr>
          </w:p>
        </w:tc>
      </w:tr>
      <w:tr w14:paraId="05DE16A3">
        <w:tblPrEx>
          <w:tblCellMar>
            <w:top w:w="0" w:type="dxa"/>
            <w:left w:w="108" w:type="dxa"/>
            <w:bottom w:w="0" w:type="dxa"/>
            <w:right w:w="108" w:type="dxa"/>
          </w:tblCellMar>
        </w:tblPrEx>
        <w:trPr>
          <w:trHeight w:val="312" w:hRule="atLeast"/>
        </w:trPr>
        <w:tc>
          <w:tcPr>
            <w:tcW w:w="4767" w:type="dxa"/>
            <w:tcBorders>
              <w:top w:val="nil"/>
              <w:left w:val="nil"/>
              <w:bottom w:val="nil"/>
              <w:right w:val="nil"/>
            </w:tcBorders>
            <w:shd w:val="clear" w:color="auto" w:fill="auto"/>
            <w:noWrap/>
            <w:vAlign w:val="center"/>
          </w:tcPr>
          <w:p w14:paraId="3D20D9DE">
            <w:pPr>
              <w:widowControl/>
              <w:ind w:firstLine="0" w:firstLineChars="0"/>
              <w:jc w:val="center"/>
              <w:rPr>
                <w:rFonts w:ascii="楷体" w:hAnsi="楷体" w:eastAsia="楷体" w:cs="宋体"/>
                <w:b/>
                <w:bCs/>
                <w:color w:val="000000"/>
                <w:kern w:val="0"/>
                <w:szCs w:val="24"/>
              </w:rPr>
            </w:pPr>
            <w:r>
              <w:rPr>
                <w:rFonts w:hint="eastAsia" w:ascii="楷体" w:hAnsi="楷体" w:eastAsia="楷体" w:cs="宋体"/>
                <w:b/>
                <w:bCs/>
                <w:color w:val="000000"/>
                <w:kern w:val="0"/>
                <w:szCs w:val="24"/>
              </w:rPr>
              <w:t>季度二次能源消费量</w:t>
            </w:r>
          </w:p>
        </w:tc>
        <w:tc>
          <w:tcPr>
            <w:tcW w:w="277" w:type="dxa"/>
            <w:tcBorders>
              <w:top w:val="nil"/>
              <w:left w:val="nil"/>
              <w:bottom w:val="nil"/>
              <w:right w:val="nil"/>
            </w:tcBorders>
            <w:shd w:val="clear" w:color="auto" w:fill="E2EFDA"/>
            <w:noWrap/>
            <w:vAlign w:val="center"/>
          </w:tcPr>
          <w:p w14:paraId="3052E75A">
            <w:pPr>
              <w:widowControl/>
              <w:ind w:firstLine="0" w:firstLineChars="0"/>
              <w:jc w:val="center"/>
              <w:rPr>
                <w:rFonts w:ascii="楷体" w:hAnsi="楷体" w:eastAsia="楷体" w:cs="宋体"/>
                <w:b/>
                <w:bCs/>
                <w:color w:val="000000"/>
                <w:kern w:val="0"/>
                <w:szCs w:val="24"/>
              </w:rPr>
            </w:pPr>
          </w:p>
        </w:tc>
        <w:tc>
          <w:tcPr>
            <w:tcW w:w="449" w:type="dxa"/>
            <w:tcBorders>
              <w:top w:val="nil"/>
              <w:left w:val="nil"/>
              <w:bottom w:val="nil"/>
              <w:right w:val="nil"/>
            </w:tcBorders>
            <w:shd w:val="clear" w:color="auto" w:fill="E2EFDA"/>
            <w:noWrap/>
            <w:vAlign w:val="center"/>
          </w:tcPr>
          <w:p w14:paraId="77822908">
            <w:pPr>
              <w:widowControl/>
              <w:ind w:firstLine="0" w:firstLineChars="0"/>
              <w:jc w:val="center"/>
              <w:rPr>
                <w:rFonts w:eastAsia="Times New Roman"/>
                <w:kern w:val="0"/>
                <w:sz w:val="20"/>
                <w:szCs w:val="20"/>
              </w:rPr>
            </w:pPr>
          </w:p>
        </w:tc>
        <w:tc>
          <w:tcPr>
            <w:tcW w:w="449" w:type="dxa"/>
            <w:tcBorders>
              <w:top w:val="nil"/>
              <w:left w:val="nil"/>
              <w:bottom w:val="nil"/>
              <w:right w:val="nil"/>
            </w:tcBorders>
            <w:shd w:val="clear" w:color="auto" w:fill="E2EFDA"/>
            <w:noWrap/>
            <w:vAlign w:val="center"/>
          </w:tcPr>
          <w:p w14:paraId="576D00BB">
            <w:pPr>
              <w:widowControl/>
              <w:ind w:firstLine="0" w:firstLineChars="0"/>
              <w:jc w:val="center"/>
              <w:rPr>
                <w:rFonts w:eastAsia="Times New Roman"/>
                <w:kern w:val="0"/>
                <w:sz w:val="20"/>
                <w:szCs w:val="20"/>
              </w:rPr>
            </w:pPr>
          </w:p>
        </w:tc>
        <w:tc>
          <w:tcPr>
            <w:tcW w:w="449" w:type="dxa"/>
            <w:tcBorders>
              <w:top w:val="nil"/>
              <w:left w:val="nil"/>
              <w:bottom w:val="nil"/>
              <w:right w:val="nil"/>
            </w:tcBorders>
            <w:shd w:val="clear" w:color="auto" w:fill="E2EFDA"/>
            <w:noWrap/>
            <w:vAlign w:val="center"/>
          </w:tcPr>
          <w:p w14:paraId="0BC1E446">
            <w:pPr>
              <w:widowControl/>
              <w:ind w:firstLine="0" w:firstLineChars="0"/>
              <w:jc w:val="center"/>
              <w:rPr>
                <w:rFonts w:eastAsia="Times New Roman"/>
                <w:kern w:val="0"/>
                <w:sz w:val="20"/>
                <w:szCs w:val="20"/>
              </w:rPr>
            </w:pPr>
          </w:p>
        </w:tc>
        <w:tc>
          <w:tcPr>
            <w:tcW w:w="277" w:type="dxa"/>
            <w:tcBorders>
              <w:top w:val="nil"/>
              <w:left w:val="nil"/>
              <w:bottom w:val="nil"/>
              <w:right w:val="nil"/>
            </w:tcBorders>
            <w:shd w:val="clear" w:color="auto" w:fill="E2EFDA"/>
            <w:noWrap/>
            <w:vAlign w:val="center"/>
          </w:tcPr>
          <w:p w14:paraId="285EF8D8">
            <w:pPr>
              <w:widowControl/>
              <w:ind w:firstLine="0" w:firstLineChars="0"/>
              <w:jc w:val="center"/>
              <w:rPr>
                <w:rFonts w:eastAsia="Times New Roman"/>
                <w:kern w:val="0"/>
                <w:sz w:val="20"/>
                <w:szCs w:val="20"/>
              </w:rPr>
            </w:pPr>
          </w:p>
        </w:tc>
        <w:tc>
          <w:tcPr>
            <w:tcW w:w="2197" w:type="dxa"/>
            <w:vMerge w:val="restart"/>
            <w:tcBorders>
              <w:top w:val="nil"/>
              <w:left w:val="nil"/>
              <w:bottom w:val="nil"/>
              <w:right w:val="nil"/>
            </w:tcBorders>
            <w:shd w:val="clear" w:color="auto" w:fill="auto"/>
            <w:noWrap/>
            <w:vAlign w:val="center"/>
          </w:tcPr>
          <w:p w14:paraId="5E7D3EC6">
            <w:pPr>
              <w:widowControl/>
              <w:ind w:firstLine="0" w:firstLineChars="0"/>
              <w:jc w:val="center"/>
              <w:rPr>
                <w:rFonts w:ascii="楷体" w:hAnsi="楷体" w:eastAsia="楷体" w:cs="宋体"/>
                <w:b/>
                <w:bCs/>
                <w:color w:val="000000"/>
                <w:kern w:val="0"/>
                <w:szCs w:val="24"/>
              </w:rPr>
            </w:pPr>
            <w:r>
              <w:rPr>
                <w:rFonts w:hint="eastAsia" w:ascii="楷体" w:hAnsi="楷体" w:eastAsia="楷体" w:cs="宋体"/>
                <w:b/>
                <w:bCs/>
                <w:color w:val="000000"/>
                <w:kern w:val="0"/>
                <w:szCs w:val="24"/>
              </w:rPr>
              <w:t>（      ）</w:t>
            </w:r>
          </w:p>
        </w:tc>
      </w:tr>
      <w:tr w14:paraId="3E5A6360">
        <w:tblPrEx>
          <w:tblCellMar>
            <w:top w:w="0" w:type="dxa"/>
            <w:left w:w="108" w:type="dxa"/>
            <w:bottom w:w="0" w:type="dxa"/>
            <w:right w:w="108" w:type="dxa"/>
          </w:tblCellMar>
        </w:tblPrEx>
        <w:trPr>
          <w:trHeight w:val="312" w:hRule="atLeast"/>
        </w:trPr>
        <w:tc>
          <w:tcPr>
            <w:tcW w:w="4767" w:type="dxa"/>
            <w:tcBorders>
              <w:top w:val="nil"/>
              <w:left w:val="nil"/>
              <w:bottom w:val="nil"/>
              <w:right w:val="nil"/>
            </w:tcBorders>
            <w:shd w:val="clear" w:color="auto" w:fill="auto"/>
            <w:noWrap/>
            <w:vAlign w:val="center"/>
          </w:tcPr>
          <w:p w14:paraId="3417237D">
            <w:pPr>
              <w:widowControl/>
              <w:ind w:firstLine="0" w:firstLineChars="0"/>
              <w:jc w:val="center"/>
              <w:rPr>
                <w:rFonts w:ascii="楷体" w:hAnsi="楷体" w:eastAsia="楷体" w:cs="宋体"/>
                <w:b/>
                <w:bCs/>
                <w:color w:val="000000"/>
                <w:kern w:val="0"/>
                <w:szCs w:val="24"/>
              </w:rPr>
            </w:pPr>
            <w:r>
              <w:rPr>
                <w:rFonts w:hint="eastAsia" w:ascii="楷体" w:hAnsi="楷体" w:eastAsia="楷体" w:cs="宋体"/>
                <w:b/>
                <w:bCs/>
                <w:color w:val="000000"/>
                <w:kern w:val="0"/>
                <w:szCs w:val="24"/>
              </w:rPr>
              <w:t>同比</w:t>
            </w:r>
          </w:p>
        </w:tc>
        <w:tc>
          <w:tcPr>
            <w:tcW w:w="277" w:type="dxa"/>
            <w:tcBorders>
              <w:top w:val="nil"/>
              <w:left w:val="nil"/>
              <w:bottom w:val="nil"/>
              <w:right w:val="nil"/>
            </w:tcBorders>
            <w:shd w:val="clear" w:color="auto" w:fill="E2EFDA"/>
            <w:noWrap/>
            <w:vAlign w:val="center"/>
          </w:tcPr>
          <w:p w14:paraId="76B935B1">
            <w:pPr>
              <w:widowControl/>
              <w:ind w:firstLine="0" w:firstLineChars="0"/>
              <w:jc w:val="center"/>
              <w:rPr>
                <w:rFonts w:ascii="楷体" w:hAnsi="楷体" w:eastAsia="楷体" w:cs="宋体"/>
                <w:b/>
                <w:bCs/>
                <w:color w:val="000000"/>
                <w:kern w:val="0"/>
                <w:szCs w:val="24"/>
              </w:rPr>
            </w:pPr>
          </w:p>
        </w:tc>
        <w:tc>
          <w:tcPr>
            <w:tcW w:w="449" w:type="dxa"/>
            <w:tcBorders>
              <w:top w:val="nil"/>
              <w:left w:val="nil"/>
              <w:bottom w:val="nil"/>
              <w:right w:val="nil"/>
            </w:tcBorders>
            <w:shd w:val="clear" w:color="auto" w:fill="E2EFDA"/>
            <w:noWrap/>
            <w:vAlign w:val="center"/>
          </w:tcPr>
          <w:p w14:paraId="3A4DCBD9">
            <w:pPr>
              <w:widowControl/>
              <w:ind w:firstLine="0" w:firstLineChars="0"/>
              <w:jc w:val="center"/>
              <w:rPr>
                <w:rFonts w:eastAsia="Times New Roman"/>
                <w:kern w:val="0"/>
                <w:sz w:val="20"/>
                <w:szCs w:val="20"/>
              </w:rPr>
            </w:pPr>
          </w:p>
        </w:tc>
        <w:tc>
          <w:tcPr>
            <w:tcW w:w="449" w:type="dxa"/>
            <w:tcBorders>
              <w:top w:val="nil"/>
              <w:left w:val="nil"/>
              <w:bottom w:val="nil"/>
              <w:right w:val="nil"/>
            </w:tcBorders>
            <w:shd w:val="clear" w:color="auto" w:fill="E2EFDA"/>
            <w:noWrap/>
            <w:vAlign w:val="center"/>
          </w:tcPr>
          <w:p w14:paraId="55922A1C">
            <w:pPr>
              <w:widowControl/>
              <w:ind w:firstLine="0" w:firstLineChars="0"/>
              <w:jc w:val="center"/>
              <w:rPr>
                <w:rFonts w:eastAsia="Times New Roman"/>
                <w:kern w:val="0"/>
                <w:sz w:val="20"/>
                <w:szCs w:val="20"/>
              </w:rPr>
            </w:pPr>
          </w:p>
        </w:tc>
        <w:tc>
          <w:tcPr>
            <w:tcW w:w="449" w:type="dxa"/>
            <w:tcBorders>
              <w:top w:val="nil"/>
              <w:left w:val="nil"/>
              <w:bottom w:val="nil"/>
              <w:right w:val="nil"/>
            </w:tcBorders>
            <w:shd w:val="clear" w:color="auto" w:fill="E2EFDA"/>
            <w:noWrap/>
            <w:vAlign w:val="center"/>
          </w:tcPr>
          <w:p w14:paraId="63664BB0">
            <w:pPr>
              <w:widowControl/>
              <w:ind w:firstLine="0" w:firstLineChars="0"/>
              <w:jc w:val="center"/>
              <w:rPr>
                <w:rFonts w:eastAsia="Times New Roman"/>
                <w:kern w:val="0"/>
                <w:sz w:val="20"/>
                <w:szCs w:val="20"/>
              </w:rPr>
            </w:pPr>
          </w:p>
        </w:tc>
        <w:tc>
          <w:tcPr>
            <w:tcW w:w="277" w:type="dxa"/>
            <w:tcBorders>
              <w:top w:val="nil"/>
              <w:left w:val="nil"/>
              <w:bottom w:val="nil"/>
              <w:right w:val="nil"/>
            </w:tcBorders>
            <w:shd w:val="clear" w:color="auto" w:fill="E2EFDA"/>
            <w:noWrap/>
            <w:vAlign w:val="center"/>
          </w:tcPr>
          <w:p w14:paraId="66727EC5">
            <w:pPr>
              <w:widowControl/>
              <w:ind w:firstLine="0" w:firstLineChars="0"/>
              <w:jc w:val="center"/>
              <w:rPr>
                <w:rFonts w:eastAsia="Times New Roman"/>
                <w:kern w:val="0"/>
                <w:sz w:val="20"/>
                <w:szCs w:val="20"/>
              </w:rPr>
            </w:pPr>
          </w:p>
        </w:tc>
        <w:tc>
          <w:tcPr>
            <w:tcW w:w="2197" w:type="dxa"/>
            <w:vMerge w:val="continue"/>
            <w:tcBorders>
              <w:top w:val="nil"/>
              <w:left w:val="nil"/>
              <w:bottom w:val="nil"/>
              <w:right w:val="nil"/>
            </w:tcBorders>
            <w:vAlign w:val="center"/>
          </w:tcPr>
          <w:p w14:paraId="5176319E">
            <w:pPr>
              <w:widowControl/>
              <w:ind w:firstLine="0" w:firstLineChars="0"/>
              <w:jc w:val="left"/>
              <w:rPr>
                <w:rFonts w:ascii="楷体" w:hAnsi="楷体" w:eastAsia="楷体" w:cs="宋体"/>
                <w:b/>
                <w:bCs/>
                <w:color w:val="000000"/>
                <w:kern w:val="0"/>
                <w:szCs w:val="24"/>
              </w:rPr>
            </w:pPr>
          </w:p>
        </w:tc>
      </w:tr>
      <w:tr w14:paraId="416F89F3">
        <w:tblPrEx>
          <w:tblCellMar>
            <w:top w:w="0" w:type="dxa"/>
            <w:left w:w="108" w:type="dxa"/>
            <w:bottom w:w="0" w:type="dxa"/>
            <w:right w:w="108" w:type="dxa"/>
          </w:tblCellMar>
        </w:tblPrEx>
        <w:trPr>
          <w:trHeight w:val="312" w:hRule="atLeast"/>
        </w:trPr>
        <w:tc>
          <w:tcPr>
            <w:tcW w:w="4767" w:type="dxa"/>
            <w:tcBorders>
              <w:top w:val="nil"/>
              <w:left w:val="nil"/>
              <w:bottom w:val="nil"/>
              <w:right w:val="nil"/>
            </w:tcBorders>
            <w:shd w:val="clear" w:color="auto" w:fill="auto"/>
            <w:noWrap/>
            <w:vAlign w:val="center"/>
          </w:tcPr>
          <w:p w14:paraId="2CA31FB6">
            <w:pPr>
              <w:widowControl/>
              <w:ind w:firstLine="0" w:firstLineChars="0"/>
              <w:jc w:val="center"/>
              <w:rPr>
                <w:rFonts w:ascii="楷体" w:hAnsi="楷体" w:eastAsia="楷体" w:cs="宋体"/>
                <w:b/>
                <w:bCs/>
                <w:color w:val="000000"/>
                <w:kern w:val="0"/>
                <w:szCs w:val="24"/>
              </w:rPr>
            </w:pPr>
            <w:r>
              <w:rPr>
                <w:rFonts w:hint="eastAsia" w:ascii="楷体" w:hAnsi="楷体" w:eastAsia="楷体" w:cs="宋体"/>
                <w:b/>
                <w:bCs/>
                <w:color w:val="000000"/>
                <w:kern w:val="0"/>
                <w:szCs w:val="24"/>
              </w:rPr>
              <w:t>季度部门清洁能源消费量</w:t>
            </w:r>
          </w:p>
        </w:tc>
        <w:tc>
          <w:tcPr>
            <w:tcW w:w="277" w:type="dxa"/>
            <w:tcBorders>
              <w:top w:val="nil"/>
              <w:left w:val="nil"/>
              <w:bottom w:val="nil"/>
              <w:right w:val="nil"/>
            </w:tcBorders>
            <w:shd w:val="clear" w:color="auto" w:fill="E2EFDA"/>
            <w:noWrap/>
            <w:vAlign w:val="center"/>
          </w:tcPr>
          <w:p w14:paraId="090447B0">
            <w:pPr>
              <w:widowControl/>
              <w:ind w:firstLine="0" w:firstLineChars="0"/>
              <w:jc w:val="center"/>
              <w:rPr>
                <w:rFonts w:ascii="楷体" w:hAnsi="楷体" w:eastAsia="楷体" w:cs="宋体"/>
                <w:b/>
                <w:bCs/>
                <w:color w:val="000000"/>
                <w:kern w:val="0"/>
                <w:szCs w:val="24"/>
              </w:rPr>
            </w:pPr>
          </w:p>
        </w:tc>
        <w:tc>
          <w:tcPr>
            <w:tcW w:w="449" w:type="dxa"/>
            <w:tcBorders>
              <w:top w:val="nil"/>
              <w:left w:val="nil"/>
              <w:bottom w:val="nil"/>
              <w:right w:val="nil"/>
            </w:tcBorders>
            <w:shd w:val="clear" w:color="auto" w:fill="E2EFDA"/>
            <w:noWrap/>
            <w:vAlign w:val="center"/>
          </w:tcPr>
          <w:p w14:paraId="043ED1C1">
            <w:pPr>
              <w:widowControl/>
              <w:ind w:firstLine="0" w:firstLineChars="0"/>
              <w:jc w:val="center"/>
              <w:rPr>
                <w:rFonts w:eastAsia="Times New Roman"/>
                <w:kern w:val="0"/>
                <w:sz w:val="20"/>
                <w:szCs w:val="20"/>
              </w:rPr>
            </w:pPr>
          </w:p>
        </w:tc>
        <w:tc>
          <w:tcPr>
            <w:tcW w:w="449" w:type="dxa"/>
            <w:tcBorders>
              <w:top w:val="nil"/>
              <w:left w:val="nil"/>
              <w:bottom w:val="nil"/>
              <w:right w:val="nil"/>
            </w:tcBorders>
            <w:shd w:val="clear" w:color="auto" w:fill="E2EFDA"/>
            <w:noWrap/>
            <w:vAlign w:val="center"/>
          </w:tcPr>
          <w:p w14:paraId="79019008">
            <w:pPr>
              <w:widowControl/>
              <w:ind w:firstLine="0" w:firstLineChars="0"/>
              <w:jc w:val="center"/>
              <w:rPr>
                <w:rFonts w:eastAsia="Times New Roman"/>
                <w:kern w:val="0"/>
                <w:sz w:val="20"/>
                <w:szCs w:val="20"/>
              </w:rPr>
            </w:pPr>
          </w:p>
        </w:tc>
        <w:tc>
          <w:tcPr>
            <w:tcW w:w="449" w:type="dxa"/>
            <w:tcBorders>
              <w:top w:val="nil"/>
              <w:left w:val="nil"/>
              <w:bottom w:val="nil"/>
              <w:right w:val="nil"/>
            </w:tcBorders>
            <w:shd w:val="clear" w:color="auto" w:fill="E2EFDA"/>
            <w:noWrap/>
            <w:vAlign w:val="center"/>
          </w:tcPr>
          <w:p w14:paraId="4BFF8894">
            <w:pPr>
              <w:widowControl/>
              <w:ind w:firstLine="0" w:firstLineChars="0"/>
              <w:jc w:val="center"/>
              <w:rPr>
                <w:rFonts w:eastAsia="Times New Roman"/>
                <w:kern w:val="0"/>
                <w:sz w:val="20"/>
                <w:szCs w:val="20"/>
              </w:rPr>
            </w:pPr>
          </w:p>
        </w:tc>
        <w:tc>
          <w:tcPr>
            <w:tcW w:w="277" w:type="dxa"/>
            <w:tcBorders>
              <w:top w:val="nil"/>
              <w:left w:val="nil"/>
              <w:bottom w:val="nil"/>
              <w:right w:val="nil"/>
            </w:tcBorders>
            <w:shd w:val="clear" w:color="auto" w:fill="E2EFDA"/>
            <w:noWrap/>
            <w:vAlign w:val="center"/>
          </w:tcPr>
          <w:p w14:paraId="25277168">
            <w:pPr>
              <w:widowControl/>
              <w:ind w:firstLine="0" w:firstLineChars="0"/>
              <w:jc w:val="center"/>
              <w:rPr>
                <w:rFonts w:eastAsia="Times New Roman"/>
                <w:kern w:val="0"/>
                <w:sz w:val="20"/>
                <w:szCs w:val="20"/>
              </w:rPr>
            </w:pPr>
          </w:p>
        </w:tc>
        <w:tc>
          <w:tcPr>
            <w:tcW w:w="2197" w:type="dxa"/>
            <w:vMerge w:val="restart"/>
            <w:tcBorders>
              <w:top w:val="nil"/>
              <w:left w:val="nil"/>
              <w:bottom w:val="nil"/>
              <w:right w:val="nil"/>
            </w:tcBorders>
            <w:shd w:val="clear" w:color="auto" w:fill="auto"/>
            <w:noWrap/>
            <w:vAlign w:val="center"/>
          </w:tcPr>
          <w:p w14:paraId="75365BE0">
            <w:pPr>
              <w:widowControl/>
              <w:ind w:firstLine="0" w:firstLineChars="0"/>
              <w:jc w:val="center"/>
              <w:rPr>
                <w:rFonts w:ascii="楷体" w:hAnsi="楷体" w:eastAsia="楷体" w:cs="宋体"/>
                <w:b/>
                <w:bCs/>
                <w:color w:val="000000"/>
                <w:kern w:val="0"/>
                <w:szCs w:val="24"/>
              </w:rPr>
            </w:pPr>
            <w:r>
              <w:rPr>
                <w:rFonts w:hint="eastAsia" w:ascii="楷体" w:hAnsi="楷体" w:eastAsia="楷体" w:cs="宋体"/>
                <w:b/>
                <w:bCs/>
                <w:color w:val="000000"/>
                <w:kern w:val="0"/>
                <w:szCs w:val="24"/>
              </w:rPr>
              <w:t>（      ）</w:t>
            </w:r>
          </w:p>
        </w:tc>
      </w:tr>
      <w:tr w14:paraId="11A8377C">
        <w:tblPrEx>
          <w:tblCellMar>
            <w:top w:w="0" w:type="dxa"/>
            <w:left w:w="108" w:type="dxa"/>
            <w:bottom w:w="0" w:type="dxa"/>
            <w:right w:w="108" w:type="dxa"/>
          </w:tblCellMar>
        </w:tblPrEx>
        <w:trPr>
          <w:trHeight w:val="312" w:hRule="atLeast"/>
        </w:trPr>
        <w:tc>
          <w:tcPr>
            <w:tcW w:w="4767" w:type="dxa"/>
            <w:tcBorders>
              <w:top w:val="nil"/>
              <w:left w:val="nil"/>
              <w:bottom w:val="nil"/>
              <w:right w:val="nil"/>
            </w:tcBorders>
            <w:shd w:val="clear" w:color="auto" w:fill="auto"/>
            <w:noWrap/>
            <w:vAlign w:val="center"/>
          </w:tcPr>
          <w:p w14:paraId="6F0C0691">
            <w:pPr>
              <w:widowControl/>
              <w:ind w:firstLine="0" w:firstLineChars="0"/>
              <w:jc w:val="center"/>
              <w:rPr>
                <w:rFonts w:ascii="楷体" w:hAnsi="楷体" w:eastAsia="楷体" w:cs="宋体"/>
                <w:b/>
                <w:bCs/>
                <w:color w:val="000000"/>
                <w:kern w:val="0"/>
                <w:szCs w:val="24"/>
              </w:rPr>
            </w:pPr>
            <w:r>
              <w:rPr>
                <w:rFonts w:hint="eastAsia" w:ascii="楷体" w:hAnsi="楷体" w:eastAsia="楷体" w:cs="宋体"/>
                <w:b/>
                <w:bCs/>
                <w:color w:val="000000"/>
                <w:kern w:val="0"/>
                <w:szCs w:val="24"/>
              </w:rPr>
              <w:t>同比</w:t>
            </w:r>
          </w:p>
        </w:tc>
        <w:tc>
          <w:tcPr>
            <w:tcW w:w="277" w:type="dxa"/>
            <w:tcBorders>
              <w:top w:val="nil"/>
              <w:left w:val="nil"/>
              <w:bottom w:val="nil"/>
              <w:right w:val="nil"/>
            </w:tcBorders>
            <w:shd w:val="clear" w:color="auto" w:fill="E2EFDA"/>
            <w:noWrap/>
            <w:vAlign w:val="center"/>
          </w:tcPr>
          <w:p w14:paraId="3B64D9F8">
            <w:pPr>
              <w:widowControl/>
              <w:ind w:firstLine="0" w:firstLineChars="0"/>
              <w:jc w:val="center"/>
              <w:rPr>
                <w:rFonts w:ascii="楷体" w:hAnsi="楷体" w:eastAsia="楷体" w:cs="宋体"/>
                <w:b/>
                <w:bCs/>
                <w:color w:val="000000"/>
                <w:kern w:val="0"/>
                <w:szCs w:val="24"/>
              </w:rPr>
            </w:pPr>
          </w:p>
        </w:tc>
        <w:tc>
          <w:tcPr>
            <w:tcW w:w="449" w:type="dxa"/>
            <w:tcBorders>
              <w:top w:val="nil"/>
              <w:left w:val="nil"/>
              <w:bottom w:val="nil"/>
              <w:right w:val="nil"/>
            </w:tcBorders>
            <w:shd w:val="clear" w:color="auto" w:fill="E2EFDA"/>
            <w:noWrap/>
            <w:vAlign w:val="center"/>
          </w:tcPr>
          <w:p w14:paraId="270ACB26">
            <w:pPr>
              <w:widowControl/>
              <w:ind w:firstLine="0" w:firstLineChars="0"/>
              <w:jc w:val="center"/>
              <w:rPr>
                <w:rFonts w:eastAsia="Times New Roman"/>
                <w:kern w:val="0"/>
                <w:sz w:val="20"/>
                <w:szCs w:val="20"/>
              </w:rPr>
            </w:pPr>
          </w:p>
        </w:tc>
        <w:tc>
          <w:tcPr>
            <w:tcW w:w="449" w:type="dxa"/>
            <w:tcBorders>
              <w:top w:val="nil"/>
              <w:left w:val="nil"/>
              <w:bottom w:val="nil"/>
              <w:right w:val="nil"/>
            </w:tcBorders>
            <w:shd w:val="clear" w:color="auto" w:fill="E2EFDA"/>
            <w:noWrap/>
            <w:vAlign w:val="center"/>
          </w:tcPr>
          <w:p w14:paraId="6420324A">
            <w:pPr>
              <w:widowControl/>
              <w:ind w:firstLine="0" w:firstLineChars="0"/>
              <w:jc w:val="center"/>
              <w:rPr>
                <w:rFonts w:eastAsia="Times New Roman"/>
                <w:kern w:val="0"/>
                <w:sz w:val="20"/>
                <w:szCs w:val="20"/>
              </w:rPr>
            </w:pPr>
          </w:p>
        </w:tc>
        <w:tc>
          <w:tcPr>
            <w:tcW w:w="449" w:type="dxa"/>
            <w:tcBorders>
              <w:top w:val="nil"/>
              <w:left w:val="nil"/>
              <w:bottom w:val="nil"/>
              <w:right w:val="nil"/>
            </w:tcBorders>
            <w:shd w:val="clear" w:color="auto" w:fill="E2EFDA"/>
            <w:noWrap/>
            <w:vAlign w:val="center"/>
          </w:tcPr>
          <w:p w14:paraId="423637A5">
            <w:pPr>
              <w:widowControl/>
              <w:ind w:firstLine="0" w:firstLineChars="0"/>
              <w:jc w:val="center"/>
              <w:rPr>
                <w:rFonts w:eastAsia="Times New Roman"/>
                <w:kern w:val="0"/>
                <w:sz w:val="20"/>
                <w:szCs w:val="20"/>
              </w:rPr>
            </w:pPr>
          </w:p>
        </w:tc>
        <w:tc>
          <w:tcPr>
            <w:tcW w:w="277" w:type="dxa"/>
            <w:tcBorders>
              <w:top w:val="nil"/>
              <w:left w:val="nil"/>
              <w:bottom w:val="nil"/>
              <w:right w:val="nil"/>
            </w:tcBorders>
            <w:shd w:val="clear" w:color="auto" w:fill="E2EFDA"/>
            <w:noWrap/>
            <w:vAlign w:val="center"/>
          </w:tcPr>
          <w:p w14:paraId="35018AF6">
            <w:pPr>
              <w:widowControl/>
              <w:ind w:firstLine="0" w:firstLineChars="0"/>
              <w:jc w:val="center"/>
              <w:rPr>
                <w:rFonts w:eastAsia="Times New Roman"/>
                <w:kern w:val="0"/>
                <w:sz w:val="20"/>
                <w:szCs w:val="20"/>
              </w:rPr>
            </w:pPr>
          </w:p>
        </w:tc>
        <w:tc>
          <w:tcPr>
            <w:tcW w:w="2197" w:type="dxa"/>
            <w:vMerge w:val="continue"/>
            <w:tcBorders>
              <w:top w:val="nil"/>
              <w:left w:val="nil"/>
              <w:bottom w:val="nil"/>
              <w:right w:val="nil"/>
            </w:tcBorders>
            <w:vAlign w:val="center"/>
          </w:tcPr>
          <w:p w14:paraId="173CC6ED">
            <w:pPr>
              <w:widowControl/>
              <w:ind w:firstLine="0" w:firstLineChars="0"/>
              <w:jc w:val="left"/>
              <w:rPr>
                <w:rFonts w:ascii="楷体" w:hAnsi="楷体" w:eastAsia="楷体" w:cs="宋体"/>
                <w:b/>
                <w:bCs/>
                <w:color w:val="000000"/>
                <w:kern w:val="0"/>
                <w:szCs w:val="24"/>
              </w:rPr>
            </w:pPr>
          </w:p>
        </w:tc>
      </w:tr>
      <w:tr w14:paraId="0AEC97F7">
        <w:tblPrEx>
          <w:tblCellMar>
            <w:top w:w="0" w:type="dxa"/>
            <w:left w:w="108" w:type="dxa"/>
            <w:bottom w:w="0" w:type="dxa"/>
            <w:right w:w="108" w:type="dxa"/>
          </w:tblCellMar>
        </w:tblPrEx>
        <w:trPr>
          <w:trHeight w:val="312" w:hRule="atLeast"/>
        </w:trPr>
        <w:tc>
          <w:tcPr>
            <w:tcW w:w="4767" w:type="dxa"/>
            <w:tcBorders>
              <w:top w:val="nil"/>
              <w:left w:val="nil"/>
              <w:bottom w:val="nil"/>
              <w:right w:val="nil"/>
            </w:tcBorders>
            <w:shd w:val="clear" w:color="auto" w:fill="auto"/>
            <w:noWrap/>
            <w:vAlign w:val="center"/>
          </w:tcPr>
          <w:p w14:paraId="7D654B29">
            <w:pPr>
              <w:widowControl/>
              <w:ind w:firstLine="0" w:firstLineChars="0"/>
              <w:jc w:val="center"/>
              <w:rPr>
                <w:rFonts w:ascii="楷体" w:hAnsi="楷体" w:eastAsia="楷体" w:cs="宋体"/>
                <w:b/>
                <w:bCs/>
                <w:color w:val="000000"/>
                <w:kern w:val="0"/>
                <w:szCs w:val="24"/>
              </w:rPr>
            </w:pPr>
            <w:r>
              <w:rPr>
                <w:rFonts w:hint="eastAsia" w:ascii="楷体" w:hAnsi="楷体" w:eastAsia="楷体" w:cs="宋体"/>
                <w:b/>
                <w:bCs/>
                <w:color w:val="000000"/>
                <w:kern w:val="0"/>
                <w:szCs w:val="24"/>
              </w:rPr>
              <w:t>季度碳排放总量</w:t>
            </w:r>
          </w:p>
        </w:tc>
        <w:tc>
          <w:tcPr>
            <w:tcW w:w="277" w:type="dxa"/>
            <w:tcBorders>
              <w:top w:val="nil"/>
              <w:left w:val="nil"/>
              <w:bottom w:val="nil"/>
              <w:right w:val="nil"/>
            </w:tcBorders>
            <w:shd w:val="clear" w:color="auto" w:fill="E2EFDA"/>
            <w:noWrap/>
            <w:vAlign w:val="center"/>
          </w:tcPr>
          <w:p w14:paraId="32017029">
            <w:pPr>
              <w:widowControl/>
              <w:ind w:firstLine="0" w:firstLineChars="0"/>
              <w:jc w:val="center"/>
              <w:rPr>
                <w:rFonts w:ascii="楷体" w:hAnsi="楷体" w:eastAsia="楷体" w:cs="宋体"/>
                <w:b/>
                <w:bCs/>
                <w:color w:val="000000"/>
                <w:kern w:val="0"/>
                <w:szCs w:val="24"/>
              </w:rPr>
            </w:pPr>
          </w:p>
        </w:tc>
        <w:tc>
          <w:tcPr>
            <w:tcW w:w="449" w:type="dxa"/>
            <w:tcBorders>
              <w:top w:val="nil"/>
              <w:left w:val="nil"/>
              <w:bottom w:val="nil"/>
              <w:right w:val="nil"/>
            </w:tcBorders>
            <w:shd w:val="clear" w:color="auto" w:fill="E2EFDA"/>
            <w:noWrap/>
            <w:vAlign w:val="center"/>
          </w:tcPr>
          <w:p w14:paraId="7C38AFEE">
            <w:pPr>
              <w:widowControl/>
              <w:ind w:firstLine="0" w:firstLineChars="0"/>
              <w:jc w:val="center"/>
              <w:rPr>
                <w:rFonts w:eastAsia="Times New Roman"/>
                <w:kern w:val="0"/>
                <w:sz w:val="20"/>
                <w:szCs w:val="20"/>
              </w:rPr>
            </w:pPr>
          </w:p>
        </w:tc>
        <w:tc>
          <w:tcPr>
            <w:tcW w:w="449" w:type="dxa"/>
            <w:tcBorders>
              <w:top w:val="nil"/>
              <w:left w:val="nil"/>
              <w:bottom w:val="nil"/>
              <w:right w:val="nil"/>
            </w:tcBorders>
            <w:shd w:val="clear" w:color="auto" w:fill="E2EFDA"/>
            <w:noWrap/>
            <w:vAlign w:val="center"/>
          </w:tcPr>
          <w:p w14:paraId="25C231E7">
            <w:pPr>
              <w:widowControl/>
              <w:ind w:firstLine="0" w:firstLineChars="0"/>
              <w:jc w:val="center"/>
              <w:rPr>
                <w:rFonts w:eastAsia="Times New Roman"/>
                <w:kern w:val="0"/>
                <w:sz w:val="20"/>
                <w:szCs w:val="20"/>
              </w:rPr>
            </w:pPr>
          </w:p>
        </w:tc>
        <w:tc>
          <w:tcPr>
            <w:tcW w:w="449" w:type="dxa"/>
            <w:tcBorders>
              <w:top w:val="nil"/>
              <w:left w:val="nil"/>
              <w:bottom w:val="nil"/>
              <w:right w:val="nil"/>
            </w:tcBorders>
            <w:shd w:val="clear" w:color="auto" w:fill="E2EFDA"/>
            <w:noWrap/>
            <w:vAlign w:val="center"/>
          </w:tcPr>
          <w:p w14:paraId="260128E3">
            <w:pPr>
              <w:widowControl/>
              <w:ind w:firstLine="0" w:firstLineChars="0"/>
              <w:jc w:val="center"/>
              <w:rPr>
                <w:rFonts w:eastAsia="Times New Roman"/>
                <w:kern w:val="0"/>
                <w:sz w:val="20"/>
                <w:szCs w:val="20"/>
              </w:rPr>
            </w:pPr>
          </w:p>
        </w:tc>
        <w:tc>
          <w:tcPr>
            <w:tcW w:w="277" w:type="dxa"/>
            <w:tcBorders>
              <w:top w:val="nil"/>
              <w:left w:val="nil"/>
              <w:bottom w:val="nil"/>
              <w:right w:val="nil"/>
            </w:tcBorders>
            <w:shd w:val="clear" w:color="auto" w:fill="E2EFDA"/>
            <w:noWrap/>
            <w:vAlign w:val="center"/>
          </w:tcPr>
          <w:p w14:paraId="158A4843">
            <w:pPr>
              <w:widowControl/>
              <w:ind w:firstLine="0" w:firstLineChars="0"/>
              <w:jc w:val="center"/>
              <w:rPr>
                <w:rFonts w:eastAsia="Times New Roman"/>
                <w:kern w:val="0"/>
                <w:sz w:val="20"/>
                <w:szCs w:val="20"/>
              </w:rPr>
            </w:pPr>
          </w:p>
        </w:tc>
        <w:tc>
          <w:tcPr>
            <w:tcW w:w="2197" w:type="dxa"/>
            <w:vMerge w:val="restart"/>
            <w:tcBorders>
              <w:top w:val="nil"/>
              <w:left w:val="nil"/>
              <w:bottom w:val="nil"/>
              <w:right w:val="nil"/>
            </w:tcBorders>
            <w:shd w:val="clear" w:color="auto" w:fill="auto"/>
            <w:noWrap/>
            <w:vAlign w:val="center"/>
          </w:tcPr>
          <w:p w14:paraId="7502E3DD">
            <w:pPr>
              <w:widowControl/>
              <w:ind w:firstLine="0" w:firstLineChars="0"/>
              <w:jc w:val="center"/>
              <w:rPr>
                <w:rFonts w:ascii="楷体" w:hAnsi="楷体" w:eastAsia="楷体" w:cs="宋体"/>
                <w:b/>
                <w:bCs/>
                <w:color w:val="000000"/>
                <w:kern w:val="0"/>
                <w:szCs w:val="24"/>
              </w:rPr>
            </w:pPr>
            <w:r>
              <w:rPr>
                <w:rFonts w:hint="eastAsia" w:ascii="楷体" w:hAnsi="楷体" w:eastAsia="楷体" w:cs="宋体"/>
                <w:b/>
                <w:bCs/>
                <w:color w:val="000000"/>
                <w:kern w:val="0"/>
                <w:szCs w:val="24"/>
              </w:rPr>
              <w:t>（      ）</w:t>
            </w:r>
          </w:p>
        </w:tc>
      </w:tr>
      <w:tr w14:paraId="2A64DF5E">
        <w:tblPrEx>
          <w:tblCellMar>
            <w:top w:w="0" w:type="dxa"/>
            <w:left w:w="108" w:type="dxa"/>
            <w:bottom w:w="0" w:type="dxa"/>
            <w:right w:w="108" w:type="dxa"/>
          </w:tblCellMar>
        </w:tblPrEx>
        <w:trPr>
          <w:trHeight w:val="312" w:hRule="atLeast"/>
        </w:trPr>
        <w:tc>
          <w:tcPr>
            <w:tcW w:w="4767" w:type="dxa"/>
            <w:tcBorders>
              <w:top w:val="nil"/>
              <w:left w:val="nil"/>
              <w:bottom w:val="nil"/>
              <w:right w:val="nil"/>
            </w:tcBorders>
            <w:shd w:val="clear" w:color="auto" w:fill="auto"/>
            <w:noWrap/>
            <w:vAlign w:val="center"/>
          </w:tcPr>
          <w:p w14:paraId="318E89D1">
            <w:pPr>
              <w:widowControl/>
              <w:ind w:firstLine="0" w:firstLineChars="0"/>
              <w:jc w:val="center"/>
              <w:rPr>
                <w:rFonts w:ascii="楷体" w:hAnsi="楷体" w:eastAsia="楷体" w:cs="宋体"/>
                <w:b/>
                <w:bCs/>
                <w:color w:val="000000"/>
                <w:kern w:val="0"/>
                <w:szCs w:val="24"/>
              </w:rPr>
            </w:pPr>
            <w:r>
              <w:rPr>
                <w:rFonts w:hint="eastAsia" w:ascii="楷体" w:hAnsi="楷体" w:eastAsia="楷体" w:cs="宋体"/>
                <w:b/>
                <w:bCs/>
                <w:color w:val="000000"/>
                <w:kern w:val="0"/>
                <w:szCs w:val="24"/>
              </w:rPr>
              <w:t>同比</w:t>
            </w:r>
          </w:p>
        </w:tc>
        <w:tc>
          <w:tcPr>
            <w:tcW w:w="277" w:type="dxa"/>
            <w:tcBorders>
              <w:top w:val="nil"/>
              <w:left w:val="nil"/>
              <w:bottom w:val="nil"/>
              <w:right w:val="nil"/>
            </w:tcBorders>
            <w:shd w:val="clear" w:color="auto" w:fill="E2EFDA"/>
            <w:noWrap/>
            <w:vAlign w:val="center"/>
          </w:tcPr>
          <w:p w14:paraId="4449DB69">
            <w:pPr>
              <w:widowControl/>
              <w:ind w:firstLine="0" w:firstLineChars="0"/>
              <w:jc w:val="center"/>
              <w:rPr>
                <w:rFonts w:ascii="楷体" w:hAnsi="楷体" w:eastAsia="楷体" w:cs="宋体"/>
                <w:b/>
                <w:bCs/>
                <w:color w:val="000000"/>
                <w:kern w:val="0"/>
                <w:szCs w:val="24"/>
              </w:rPr>
            </w:pPr>
          </w:p>
        </w:tc>
        <w:tc>
          <w:tcPr>
            <w:tcW w:w="449" w:type="dxa"/>
            <w:tcBorders>
              <w:top w:val="nil"/>
              <w:left w:val="nil"/>
              <w:bottom w:val="nil"/>
              <w:right w:val="nil"/>
            </w:tcBorders>
            <w:shd w:val="clear" w:color="auto" w:fill="E2EFDA"/>
            <w:noWrap/>
            <w:vAlign w:val="center"/>
          </w:tcPr>
          <w:p w14:paraId="607325BB">
            <w:pPr>
              <w:widowControl/>
              <w:ind w:firstLine="0" w:firstLineChars="0"/>
              <w:jc w:val="center"/>
              <w:rPr>
                <w:rFonts w:eastAsia="Times New Roman"/>
                <w:kern w:val="0"/>
                <w:sz w:val="20"/>
                <w:szCs w:val="20"/>
              </w:rPr>
            </w:pPr>
          </w:p>
        </w:tc>
        <w:tc>
          <w:tcPr>
            <w:tcW w:w="449" w:type="dxa"/>
            <w:tcBorders>
              <w:top w:val="nil"/>
              <w:left w:val="nil"/>
              <w:bottom w:val="nil"/>
              <w:right w:val="nil"/>
            </w:tcBorders>
            <w:shd w:val="clear" w:color="auto" w:fill="E2EFDA"/>
            <w:noWrap/>
            <w:vAlign w:val="center"/>
          </w:tcPr>
          <w:p w14:paraId="3C7B67ED">
            <w:pPr>
              <w:widowControl/>
              <w:ind w:firstLine="0" w:firstLineChars="0"/>
              <w:jc w:val="center"/>
              <w:rPr>
                <w:rFonts w:eastAsia="Times New Roman"/>
                <w:kern w:val="0"/>
                <w:sz w:val="20"/>
                <w:szCs w:val="20"/>
              </w:rPr>
            </w:pPr>
          </w:p>
        </w:tc>
        <w:tc>
          <w:tcPr>
            <w:tcW w:w="449" w:type="dxa"/>
            <w:tcBorders>
              <w:top w:val="nil"/>
              <w:left w:val="nil"/>
              <w:bottom w:val="nil"/>
              <w:right w:val="nil"/>
            </w:tcBorders>
            <w:shd w:val="clear" w:color="auto" w:fill="E2EFDA"/>
            <w:noWrap/>
            <w:vAlign w:val="center"/>
          </w:tcPr>
          <w:p w14:paraId="654EC5A3">
            <w:pPr>
              <w:widowControl/>
              <w:ind w:firstLine="0" w:firstLineChars="0"/>
              <w:jc w:val="center"/>
              <w:rPr>
                <w:rFonts w:eastAsia="Times New Roman"/>
                <w:kern w:val="0"/>
                <w:sz w:val="20"/>
                <w:szCs w:val="20"/>
              </w:rPr>
            </w:pPr>
          </w:p>
        </w:tc>
        <w:tc>
          <w:tcPr>
            <w:tcW w:w="277" w:type="dxa"/>
            <w:tcBorders>
              <w:top w:val="nil"/>
              <w:left w:val="nil"/>
              <w:bottom w:val="nil"/>
              <w:right w:val="nil"/>
            </w:tcBorders>
            <w:shd w:val="clear" w:color="auto" w:fill="E2EFDA"/>
            <w:noWrap/>
            <w:vAlign w:val="center"/>
          </w:tcPr>
          <w:p w14:paraId="1A00F68D">
            <w:pPr>
              <w:widowControl/>
              <w:ind w:firstLine="0" w:firstLineChars="0"/>
              <w:jc w:val="center"/>
              <w:rPr>
                <w:rFonts w:eastAsia="Times New Roman"/>
                <w:kern w:val="0"/>
                <w:sz w:val="20"/>
                <w:szCs w:val="20"/>
              </w:rPr>
            </w:pPr>
          </w:p>
        </w:tc>
        <w:tc>
          <w:tcPr>
            <w:tcW w:w="2197" w:type="dxa"/>
            <w:vMerge w:val="continue"/>
            <w:tcBorders>
              <w:top w:val="nil"/>
              <w:left w:val="nil"/>
              <w:bottom w:val="nil"/>
              <w:right w:val="nil"/>
            </w:tcBorders>
            <w:vAlign w:val="center"/>
          </w:tcPr>
          <w:p w14:paraId="31FF4E20">
            <w:pPr>
              <w:widowControl/>
              <w:ind w:firstLine="0" w:firstLineChars="0"/>
              <w:jc w:val="left"/>
              <w:rPr>
                <w:rFonts w:ascii="楷体" w:hAnsi="楷体" w:eastAsia="楷体" w:cs="宋体"/>
                <w:b/>
                <w:bCs/>
                <w:color w:val="000000"/>
                <w:kern w:val="0"/>
                <w:szCs w:val="24"/>
              </w:rPr>
            </w:pPr>
          </w:p>
        </w:tc>
      </w:tr>
      <w:tr w14:paraId="7016A3C8">
        <w:tblPrEx>
          <w:tblCellMar>
            <w:top w:w="0" w:type="dxa"/>
            <w:left w:w="108" w:type="dxa"/>
            <w:bottom w:w="0" w:type="dxa"/>
            <w:right w:w="108" w:type="dxa"/>
          </w:tblCellMar>
        </w:tblPrEx>
        <w:trPr>
          <w:trHeight w:val="312" w:hRule="atLeast"/>
        </w:trPr>
        <w:tc>
          <w:tcPr>
            <w:tcW w:w="4767" w:type="dxa"/>
            <w:tcBorders>
              <w:top w:val="nil"/>
              <w:left w:val="nil"/>
              <w:bottom w:val="nil"/>
              <w:right w:val="nil"/>
            </w:tcBorders>
            <w:shd w:val="clear" w:color="auto" w:fill="auto"/>
            <w:noWrap/>
            <w:vAlign w:val="center"/>
          </w:tcPr>
          <w:p w14:paraId="7AD9E665">
            <w:pPr>
              <w:widowControl/>
              <w:ind w:firstLine="0" w:firstLineChars="0"/>
              <w:jc w:val="center"/>
              <w:rPr>
                <w:rFonts w:ascii="楷体" w:hAnsi="楷体" w:eastAsia="楷体" w:cs="宋体"/>
                <w:b/>
                <w:bCs/>
                <w:color w:val="000000"/>
                <w:kern w:val="0"/>
                <w:szCs w:val="24"/>
              </w:rPr>
            </w:pPr>
            <w:r>
              <w:rPr>
                <w:rFonts w:hint="eastAsia" w:ascii="楷体" w:hAnsi="楷体" w:eastAsia="楷体" w:cs="宋体"/>
                <w:b/>
                <w:bCs/>
                <w:color w:val="000000"/>
                <w:kern w:val="0"/>
                <w:szCs w:val="24"/>
              </w:rPr>
              <w:t>季度碳排放因子</w:t>
            </w:r>
          </w:p>
        </w:tc>
        <w:tc>
          <w:tcPr>
            <w:tcW w:w="277" w:type="dxa"/>
            <w:tcBorders>
              <w:top w:val="nil"/>
              <w:left w:val="nil"/>
              <w:bottom w:val="nil"/>
              <w:right w:val="nil"/>
            </w:tcBorders>
            <w:shd w:val="clear" w:color="auto" w:fill="E2EFDA"/>
            <w:noWrap/>
            <w:vAlign w:val="center"/>
          </w:tcPr>
          <w:p w14:paraId="1468BB50">
            <w:pPr>
              <w:widowControl/>
              <w:ind w:firstLine="0" w:firstLineChars="0"/>
              <w:jc w:val="center"/>
              <w:rPr>
                <w:rFonts w:ascii="楷体" w:hAnsi="楷体" w:eastAsia="楷体" w:cs="宋体"/>
                <w:b/>
                <w:bCs/>
                <w:color w:val="000000"/>
                <w:kern w:val="0"/>
                <w:szCs w:val="24"/>
              </w:rPr>
            </w:pPr>
          </w:p>
        </w:tc>
        <w:tc>
          <w:tcPr>
            <w:tcW w:w="449" w:type="dxa"/>
            <w:tcBorders>
              <w:top w:val="nil"/>
              <w:left w:val="nil"/>
              <w:bottom w:val="nil"/>
              <w:right w:val="nil"/>
            </w:tcBorders>
            <w:shd w:val="clear" w:color="auto" w:fill="E2EFDA"/>
            <w:noWrap/>
            <w:vAlign w:val="center"/>
          </w:tcPr>
          <w:p w14:paraId="10E6A10A">
            <w:pPr>
              <w:widowControl/>
              <w:ind w:firstLine="0" w:firstLineChars="0"/>
              <w:jc w:val="center"/>
              <w:rPr>
                <w:rFonts w:eastAsia="Times New Roman"/>
                <w:kern w:val="0"/>
                <w:sz w:val="20"/>
                <w:szCs w:val="20"/>
              </w:rPr>
            </w:pPr>
          </w:p>
        </w:tc>
        <w:tc>
          <w:tcPr>
            <w:tcW w:w="449" w:type="dxa"/>
            <w:tcBorders>
              <w:top w:val="nil"/>
              <w:left w:val="nil"/>
              <w:bottom w:val="nil"/>
              <w:right w:val="nil"/>
            </w:tcBorders>
            <w:shd w:val="clear" w:color="auto" w:fill="E2EFDA"/>
            <w:noWrap/>
            <w:vAlign w:val="center"/>
          </w:tcPr>
          <w:p w14:paraId="7ABCC037">
            <w:pPr>
              <w:widowControl/>
              <w:ind w:firstLine="0" w:firstLineChars="0"/>
              <w:jc w:val="center"/>
              <w:rPr>
                <w:rFonts w:eastAsia="Times New Roman"/>
                <w:kern w:val="0"/>
                <w:sz w:val="20"/>
                <w:szCs w:val="20"/>
              </w:rPr>
            </w:pPr>
          </w:p>
        </w:tc>
        <w:tc>
          <w:tcPr>
            <w:tcW w:w="449" w:type="dxa"/>
            <w:tcBorders>
              <w:top w:val="nil"/>
              <w:left w:val="nil"/>
              <w:bottom w:val="nil"/>
              <w:right w:val="nil"/>
            </w:tcBorders>
            <w:shd w:val="clear" w:color="auto" w:fill="E2EFDA"/>
            <w:noWrap/>
            <w:vAlign w:val="center"/>
          </w:tcPr>
          <w:p w14:paraId="3626F80A">
            <w:pPr>
              <w:widowControl/>
              <w:ind w:firstLine="0" w:firstLineChars="0"/>
              <w:jc w:val="center"/>
              <w:rPr>
                <w:rFonts w:eastAsia="Times New Roman"/>
                <w:kern w:val="0"/>
                <w:sz w:val="20"/>
                <w:szCs w:val="20"/>
              </w:rPr>
            </w:pPr>
          </w:p>
        </w:tc>
        <w:tc>
          <w:tcPr>
            <w:tcW w:w="277" w:type="dxa"/>
            <w:tcBorders>
              <w:top w:val="nil"/>
              <w:left w:val="nil"/>
              <w:bottom w:val="nil"/>
              <w:right w:val="nil"/>
            </w:tcBorders>
            <w:shd w:val="clear" w:color="auto" w:fill="E2EFDA"/>
            <w:noWrap/>
            <w:vAlign w:val="center"/>
          </w:tcPr>
          <w:p w14:paraId="10066D6E">
            <w:pPr>
              <w:widowControl/>
              <w:ind w:firstLine="0" w:firstLineChars="0"/>
              <w:jc w:val="center"/>
              <w:rPr>
                <w:rFonts w:eastAsia="Times New Roman"/>
                <w:kern w:val="0"/>
                <w:sz w:val="20"/>
                <w:szCs w:val="20"/>
              </w:rPr>
            </w:pPr>
          </w:p>
        </w:tc>
        <w:tc>
          <w:tcPr>
            <w:tcW w:w="2197" w:type="dxa"/>
            <w:vMerge w:val="restart"/>
            <w:tcBorders>
              <w:top w:val="nil"/>
              <w:left w:val="nil"/>
              <w:bottom w:val="nil"/>
              <w:right w:val="nil"/>
            </w:tcBorders>
            <w:shd w:val="clear" w:color="auto" w:fill="auto"/>
            <w:noWrap/>
            <w:vAlign w:val="center"/>
          </w:tcPr>
          <w:p w14:paraId="61A0C79C">
            <w:pPr>
              <w:widowControl/>
              <w:ind w:firstLine="0" w:firstLineChars="0"/>
              <w:jc w:val="center"/>
              <w:rPr>
                <w:rFonts w:ascii="楷体" w:hAnsi="楷体" w:eastAsia="楷体" w:cs="宋体"/>
                <w:b/>
                <w:bCs/>
                <w:color w:val="000000"/>
                <w:kern w:val="0"/>
                <w:szCs w:val="24"/>
              </w:rPr>
            </w:pPr>
            <w:r>
              <w:rPr>
                <w:rFonts w:hint="eastAsia" w:ascii="楷体" w:hAnsi="楷体" w:eastAsia="楷体" w:cs="宋体"/>
                <w:b/>
                <w:bCs/>
                <w:color w:val="000000"/>
                <w:kern w:val="0"/>
                <w:szCs w:val="24"/>
              </w:rPr>
              <w:t>（      ）</w:t>
            </w:r>
          </w:p>
        </w:tc>
      </w:tr>
      <w:tr w14:paraId="5BA126B1">
        <w:tblPrEx>
          <w:tblCellMar>
            <w:top w:w="0" w:type="dxa"/>
            <w:left w:w="108" w:type="dxa"/>
            <w:bottom w:w="0" w:type="dxa"/>
            <w:right w:w="108" w:type="dxa"/>
          </w:tblCellMar>
        </w:tblPrEx>
        <w:trPr>
          <w:trHeight w:val="312" w:hRule="atLeast"/>
        </w:trPr>
        <w:tc>
          <w:tcPr>
            <w:tcW w:w="4767" w:type="dxa"/>
            <w:tcBorders>
              <w:top w:val="nil"/>
              <w:left w:val="nil"/>
              <w:bottom w:val="nil"/>
              <w:right w:val="nil"/>
            </w:tcBorders>
            <w:shd w:val="clear" w:color="auto" w:fill="auto"/>
            <w:noWrap/>
            <w:vAlign w:val="center"/>
          </w:tcPr>
          <w:p w14:paraId="2F961004">
            <w:pPr>
              <w:widowControl/>
              <w:ind w:firstLine="0" w:firstLineChars="0"/>
              <w:jc w:val="center"/>
              <w:rPr>
                <w:rFonts w:ascii="楷体" w:hAnsi="楷体" w:eastAsia="楷体" w:cs="宋体"/>
                <w:b/>
                <w:bCs/>
                <w:color w:val="000000"/>
                <w:kern w:val="0"/>
                <w:szCs w:val="24"/>
              </w:rPr>
            </w:pPr>
            <w:r>
              <w:rPr>
                <w:rFonts w:hint="eastAsia" w:ascii="楷体" w:hAnsi="楷体" w:eastAsia="楷体" w:cs="宋体"/>
                <w:b/>
                <w:bCs/>
                <w:color w:val="000000"/>
                <w:kern w:val="0"/>
                <w:szCs w:val="24"/>
              </w:rPr>
              <w:t>同比</w:t>
            </w:r>
          </w:p>
        </w:tc>
        <w:tc>
          <w:tcPr>
            <w:tcW w:w="277" w:type="dxa"/>
            <w:tcBorders>
              <w:top w:val="nil"/>
              <w:left w:val="nil"/>
              <w:bottom w:val="nil"/>
              <w:right w:val="nil"/>
            </w:tcBorders>
            <w:shd w:val="clear" w:color="auto" w:fill="E2EFDA"/>
            <w:noWrap/>
            <w:vAlign w:val="center"/>
          </w:tcPr>
          <w:p w14:paraId="2AF133B5">
            <w:pPr>
              <w:widowControl/>
              <w:ind w:firstLine="0" w:firstLineChars="0"/>
              <w:jc w:val="center"/>
              <w:rPr>
                <w:rFonts w:ascii="楷体" w:hAnsi="楷体" w:eastAsia="楷体" w:cs="宋体"/>
                <w:b/>
                <w:bCs/>
                <w:color w:val="000000"/>
                <w:kern w:val="0"/>
                <w:szCs w:val="24"/>
              </w:rPr>
            </w:pPr>
          </w:p>
        </w:tc>
        <w:tc>
          <w:tcPr>
            <w:tcW w:w="449" w:type="dxa"/>
            <w:tcBorders>
              <w:top w:val="nil"/>
              <w:left w:val="nil"/>
              <w:bottom w:val="nil"/>
              <w:right w:val="nil"/>
            </w:tcBorders>
            <w:shd w:val="clear" w:color="auto" w:fill="E2EFDA"/>
            <w:noWrap/>
            <w:vAlign w:val="center"/>
          </w:tcPr>
          <w:p w14:paraId="025980D2">
            <w:pPr>
              <w:widowControl/>
              <w:ind w:firstLine="0" w:firstLineChars="0"/>
              <w:jc w:val="center"/>
              <w:rPr>
                <w:rFonts w:eastAsia="Times New Roman"/>
                <w:kern w:val="0"/>
                <w:sz w:val="20"/>
                <w:szCs w:val="20"/>
              </w:rPr>
            </w:pPr>
          </w:p>
        </w:tc>
        <w:tc>
          <w:tcPr>
            <w:tcW w:w="449" w:type="dxa"/>
            <w:tcBorders>
              <w:top w:val="nil"/>
              <w:left w:val="nil"/>
              <w:bottom w:val="nil"/>
              <w:right w:val="nil"/>
            </w:tcBorders>
            <w:shd w:val="clear" w:color="auto" w:fill="E2EFDA"/>
            <w:noWrap/>
            <w:vAlign w:val="center"/>
          </w:tcPr>
          <w:p w14:paraId="3EAFB881">
            <w:pPr>
              <w:widowControl/>
              <w:ind w:firstLine="0" w:firstLineChars="0"/>
              <w:jc w:val="center"/>
              <w:rPr>
                <w:rFonts w:eastAsia="Times New Roman"/>
                <w:kern w:val="0"/>
                <w:sz w:val="20"/>
                <w:szCs w:val="20"/>
              </w:rPr>
            </w:pPr>
          </w:p>
        </w:tc>
        <w:tc>
          <w:tcPr>
            <w:tcW w:w="449" w:type="dxa"/>
            <w:tcBorders>
              <w:top w:val="nil"/>
              <w:left w:val="nil"/>
              <w:bottom w:val="nil"/>
              <w:right w:val="nil"/>
            </w:tcBorders>
            <w:shd w:val="clear" w:color="auto" w:fill="E2EFDA"/>
            <w:noWrap/>
            <w:vAlign w:val="center"/>
          </w:tcPr>
          <w:p w14:paraId="7645F9E4">
            <w:pPr>
              <w:widowControl/>
              <w:ind w:firstLine="0" w:firstLineChars="0"/>
              <w:jc w:val="center"/>
              <w:rPr>
                <w:rFonts w:eastAsia="Times New Roman"/>
                <w:kern w:val="0"/>
                <w:sz w:val="20"/>
                <w:szCs w:val="20"/>
              </w:rPr>
            </w:pPr>
          </w:p>
        </w:tc>
        <w:tc>
          <w:tcPr>
            <w:tcW w:w="277" w:type="dxa"/>
            <w:tcBorders>
              <w:top w:val="nil"/>
              <w:left w:val="nil"/>
              <w:bottom w:val="nil"/>
              <w:right w:val="nil"/>
            </w:tcBorders>
            <w:shd w:val="clear" w:color="auto" w:fill="E2EFDA"/>
            <w:noWrap/>
            <w:vAlign w:val="center"/>
          </w:tcPr>
          <w:p w14:paraId="7590862D">
            <w:pPr>
              <w:widowControl/>
              <w:ind w:firstLine="0" w:firstLineChars="0"/>
              <w:jc w:val="center"/>
              <w:rPr>
                <w:rFonts w:eastAsia="Times New Roman"/>
                <w:kern w:val="0"/>
                <w:sz w:val="20"/>
                <w:szCs w:val="20"/>
              </w:rPr>
            </w:pPr>
          </w:p>
        </w:tc>
        <w:tc>
          <w:tcPr>
            <w:tcW w:w="2197" w:type="dxa"/>
            <w:vMerge w:val="continue"/>
            <w:tcBorders>
              <w:top w:val="nil"/>
              <w:left w:val="nil"/>
              <w:bottom w:val="nil"/>
              <w:right w:val="nil"/>
            </w:tcBorders>
            <w:vAlign w:val="center"/>
          </w:tcPr>
          <w:p w14:paraId="44787158">
            <w:pPr>
              <w:widowControl/>
              <w:ind w:firstLine="0" w:firstLineChars="0"/>
              <w:jc w:val="left"/>
              <w:rPr>
                <w:rFonts w:ascii="楷体" w:hAnsi="楷体" w:eastAsia="楷体" w:cs="宋体"/>
                <w:b/>
                <w:bCs/>
                <w:color w:val="000000"/>
                <w:kern w:val="0"/>
                <w:szCs w:val="24"/>
              </w:rPr>
            </w:pPr>
          </w:p>
        </w:tc>
      </w:tr>
      <w:tr w14:paraId="257E28C1">
        <w:tblPrEx>
          <w:tblCellMar>
            <w:top w:w="0" w:type="dxa"/>
            <w:left w:w="108" w:type="dxa"/>
            <w:bottom w:w="0" w:type="dxa"/>
            <w:right w:w="108" w:type="dxa"/>
          </w:tblCellMar>
        </w:tblPrEx>
        <w:trPr>
          <w:trHeight w:val="312" w:hRule="atLeast"/>
        </w:trPr>
        <w:tc>
          <w:tcPr>
            <w:tcW w:w="4767" w:type="dxa"/>
            <w:tcBorders>
              <w:top w:val="nil"/>
              <w:left w:val="nil"/>
              <w:bottom w:val="nil"/>
              <w:right w:val="nil"/>
            </w:tcBorders>
            <w:shd w:val="clear" w:color="auto" w:fill="auto"/>
            <w:noWrap/>
            <w:vAlign w:val="center"/>
          </w:tcPr>
          <w:p w14:paraId="50563974">
            <w:pPr>
              <w:widowControl/>
              <w:ind w:firstLine="0" w:firstLineChars="0"/>
              <w:jc w:val="center"/>
              <w:rPr>
                <w:rFonts w:ascii="楷体" w:hAnsi="楷体" w:eastAsia="楷体" w:cs="宋体"/>
                <w:b/>
                <w:bCs/>
                <w:color w:val="000000"/>
                <w:kern w:val="0"/>
                <w:szCs w:val="24"/>
              </w:rPr>
            </w:pPr>
            <w:r>
              <w:rPr>
                <w:rFonts w:hint="eastAsia" w:ascii="楷体" w:hAnsi="楷体" w:eastAsia="楷体" w:cs="宋体"/>
                <w:b/>
                <w:bCs/>
                <w:color w:val="000000"/>
                <w:kern w:val="0"/>
                <w:szCs w:val="24"/>
              </w:rPr>
              <w:t>季度生产增加值</w:t>
            </w:r>
          </w:p>
        </w:tc>
        <w:tc>
          <w:tcPr>
            <w:tcW w:w="277" w:type="dxa"/>
            <w:tcBorders>
              <w:top w:val="nil"/>
              <w:left w:val="nil"/>
              <w:bottom w:val="nil"/>
              <w:right w:val="nil"/>
            </w:tcBorders>
            <w:shd w:val="clear" w:color="auto" w:fill="E2EFDA"/>
            <w:noWrap/>
            <w:vAlign w:val="center"/>
          </w:tcPr>
          <w:p w14:paraId="16E6F939">
            <w:pPr>
              <w:widowControl/>
              <w:ind w:firstLine="0" w:firstLineChars="0"/>
              <w:jc w:val="center"/>
              <w:rPr>
                <w:rFonts w:ascii="楷体" w:hAnsi="楷体" w:eastAsia="楷体" w:cs="宋体"/>
                <w:b/>
                <w:bCs/>
                <w:color w:val="000000"/>
                <w:kern w:val="0"/>
                <w:szCs w:val="24"/>
              </w:rPr>
            </w:pPr>
          </w:p>
        </w:tc>
        <w:tc>
          <w:tcPr>
            <w:tcW w:w="449" w:type="dxa"/>
            <w:tcBorders>
              <w:top w:val="nil"/>
              <w:left w:val="nil"/>
              <w:bottom w:val="nil"/>
              <w:right w:val="nil"/>
            </w:tcBorders>
            <w:shd w:val="clear" w:color="auto" w:fill="E2EFDA"/>
            <w:noWrap/>
            <w:vAlign w:val="center"/>
          </w:tcPr>
          <w:p w14:paraId="35F3D0A1">
            <w:pPr>
              <w:widowControl/>
              <w:ind w:firstLine="0" w:firstLineChars="0"/>
              <w:jc w:val="center"/>
              <w:rPr>
                <w:rFonts w:eastAsia="Times New Roman"/>
                <w:kern w:val="0"/>
                <w:sz w:val="20"/>
                <w:szCs w:val="20"/>
              </w:rPr>
            </w:pPr>
          </w:p>
        </w:tc>
        <w:tc>
          <w:tcPr>
            <w:tcW w:w="449" w:type="dxa"/>
            <w:tcBorders>
              <w:top w:val="nil"/>
              <w:left w:val="nil"/>
              <w:bottom w:val="nil"/>
              <w:right w:val="nil"/>
            </w:tcBorders>
            <w:shd w:val="clear" w:color="auto" w:fill="E2EFDA"/>
            <w:noWrap/>
            <w:vAlign w:val="center"/>
          </w:tcPr>
          <w:p w14:paraId="659790EB">
            <w:pPr>
              <w:widowControl/>
              <w:ind w:firstLine="0" w:firstLineChars="0"/>
              <w:jc w:val="center"/>
              <w:rPr>
                <w:rFonts w:eastAsia="Times New Roman"/>
                <w:kern w:val="0"/>
                <w:sz w:val="20"/>
                <w:szCs w:val="20"/>
              </w:rPr>
            </w:pPr>
          </w:p>
        </w:tc>
        <w:tc>
          <w:tcPr>
            <w:tcW w:w="449" w:type="dxa"/>
            <w:tcBorders>
              <w:top w:val="nil"/>
              <w:left w:val="nil"/>
              <w:bottom w:val="nil"/>
              <w:right w:val="nil"/>
            </w:tcBorders>
            <w:shd w:val="clear" w:color="auto" w:fill="E2EFDA"/>
            <w:noWrap/>
            <w:vAlign w:val="center"/>
          </w:tcPr>
          <w:p w14:paraId="029F7ED0">
            <w:pPr>
              <w:widowControl/>
              <w:ind w:firstLine="0" w:firstLineChars="0"/>
              <w:jc w:val="center"/>
              <w:rPr>
                <w:rFonts w:eastAsia="Times New Roman"/>
                <w:kern w:val="0"/>
                <w:sz w:val="20"/>
                <w:szCs w:val="20"/>
              </w:rPr>
            </w:pPr>
          </w:p>
        </w:tc>
        <w:tc>
          <w:tcPr>
            <w:tcW w:w="277" w:type="dxa"/>
            <w:tcBorders>
              <w:top w:val="nil"/>
              <w:left w:val="nil"/>
              <w:bottom w:val="nil"/>
              <w:right w:val="nil"/>
            </w:tcBorders>
            <w:shd w:val="clear" w:color="auto" w:fill="E2EFDA"/>
            <w:noWrap/>
            <w:vAlign w:val="center"/>
          </w:tcPr>
          <w:p w14:paraId="3BD09335">
            <w:pPr>
              <w:widowControl/>
              <w:ind w:firstLine="0" w:firstLineChars="0"/>
              <w:jc w:val="center"/>
              <w:rPr>
                <w:rFonts w:eastAsia="Times New Roman"/>
                <w:kern w:val="0"/>
                <w:sz w:val="20"/>
                <w:szCs w:val="20"/>
              </w:rPr>
            </w:pPr>
          </w:p>
        </w:tc>
        <w:tc>
          <w:tcPr>
            <w:tcW w:w="2197" w:type="dxa"/>
            <w:vMerge w:val="restart"/>
            <w:tcBorders>
              <w:top w:val="nil"/>
              <w:left w:val="nil"/>
              <w:bottom w:val="nil"/>
              <w:right w:val="nil"/>
            </w:tcBorders>
            <w:shd w:val="clear" w:color="auto" w:fill="auto"/>
            <w:noWrap/>
            <w:vAlign w:val="center"/>
          </w:tcPr>
          <w:p w14:paraId="4BAC2116">
            <w:pPr>
              <w:widowControl/>
              <w:ind w:firstLine="0" w:firstLineChars="0"/>
              <w:jc w:val="center"/>
              <w:rPr>
                <w:rFonts w:ascii="楷体" w:hAnsi="楷体" w:eastAsia="楷体" w:cs="宋体"/>
                <w:b/>
                <w:bCs/>
                <w:color w:val="000000"/>
                <w:kern w:val="0"/>
                <w:szCs w:val="24"/>
              </w:rPr>
            </w:pPr>
            <w:r>
              <w:rPr>
                <w:rFonts w:hint="eastAsia" w:ascii="楷体" w:hAnsi="楷体" w:eastAsia="楷体" w:cs="宋体"/>
                <w:b/>
                <w:bCs/>
                <w:color w:val="000000"/>
                <w:kern w:val="0"/>
                <w:szCs w:val="24"/>
              </w:rPr>
              <w:t>（      ）</w:t>
            </w:r>
          </w:p>
        </w:tc>
      </w:tr>
      <w:tr w14:paraId="5B7A4E69">
        <w:tblPrEx>
          <w:tblCellMar>
            <w:top w:w="0" w:type="dxa"/>
            <w:left w:w="108" w:type="dxa"/>
            <w:bottom w:w="0" w:type="dxa"/>
            <w:right w:w="108" w:type="dxa"/>
          </w:tblCellMar>
        </w:tblPrEx>
        <w:trPr>
          <w:trHeight w:val="312" w:hRule="atLeast"/>
        </w:trPr>
        <w:tc>
          <w:tcPr>
            <w:tcW w:w="4767" w:type="dxa"/>
            <w:tcBorders>
              <w:top w:val="nil"/>
              <w:left w:val="nil"/>
              <w:bottom w:val="nil"/>
              <w:right w:val="nil"/>
            </w:tcBorders>
            <w:shd w:val="clear" w:color="auto" w:fill="auto"/>
            <w:noWrap/>
            <w:vAlign w:val="center"/>
          </w:tcPr>
          <w:p w14:paraId="73EE2CD5">
            <w:pPr>
              <w:widowControl/>
              <w:ind w:firstLine="0" w:firstLineChars="0"/>
              <w:jc w:val="center"/>
              <w:rPr>
                <w:rFonts w:ascii="楷体" w:hAnsi="楷体" w:eastAsia="楷体" w:cs="宋体"/>
                <w:b/>
                <w:bCs/>
                <w:color w:val="000000"/>
                <w:kern w:val="0"/>
                <w:szCs w:val="24"/>
              </w:rPr>
            </w:pPr>
            <w:r>
              <w:rPr>
                <w:rFonts w:hint="eastAsia" w:ascii="楷体" w:hAnsi="楷体" w:eastAsia="楷体" w:cs="宋体"/>
                <w:b/>
                <w:bCs/>
                <w:color w:val="000000"/>
                <w:kern w:val="0"/>
                <w:szCs w:val="24"/>
              </w:rPr>
              <w:t>同比</w:t>
            </w:r>
          </w:p>
        </w:tc>
        <w:tc>
          <w:tcPr>
            <w:tcW w:w="277" w:type="dxa"/>
            <w:tcBorders>
              <w:top w:val="nil"/>
              <w:left w:val="nil"/>
              <w:bottom w:val="nil"/>
              <w:right w:val="nil"/>
            </w:tcBorders>
            <w:shd w:val="clear" w:color="auto" w:fill="E2EFDA"/>
            <w:noWrap/>
            <w:vAlign w:val="center"/>
          </w:tcPr>
          <w:p w14:paraId="133AD47A">
            <w:pPr>
              <w:widowControl/>
              <w:ind w:firstLine="0" w:firstLineChars="0"/>
              <w:jc w:val="center"/>
              <w:rPr>
                <w:rFonts w:ascii="楷体" w:hAnsi="楷体" w:eastAsia="楷体" w:cs="宋体"/>
                <w:b/>
                <w:bCs/>
                <w:color w:val="000000"/>
                <w:kern w:val="0"/>
                <w:szCs w:val="24"/>
              </w:rPr>
            </w:pPr>
          </w:p>
        </w:tc>
        <w:tc>
          <w:tcPr>
            <w:tcW w:w="449" w:type="dxa"/>
            <w:tcBorders>
              <w:top w:val="nil"/>
              <w:left w:val="nil"/>
              <w:bottom w:val="nil"/>
              <w:right w:val="nil"/>
            </w:tcBorders>
            <w:shd w:val="clear" w:color="auto" w:fill="E2EFDA"/>
            <w:noWrap/>
            <w:vAlign w:val="center"/>
          </w:tcPr>
          <w:p w14:paraId="52F611C7">
            <w:pPr>
              <w:widowControl/>
              <w:ind w:firstLine="0" w:firstLineChars="0"/>
              <w:jc w:val="center"/>
              <w:rPr>
                <w:rFonts w:eastAsia="Times New Roman"/>
                <w:kern w:val="0"/>
                <w:sz w:val="20"/>
                <w:szCs w:val="20"/>
              </w:rPr>
            </w:pPr>
          </w:p>
        </w:tc>
        <w:tc>
          <w:tcPr>
            <w:tcW w:w="449" w:type="dxa"/>
            <w:tcBorders>
              <w:top w:val="nil"/>
              <w:left w:val="nil"/>
              <w:bottom w:val="nil"/>
              <w:right w:val="nil"/>
            </w:tcBorders>
            <w:shd w:val="clear" w:color="auto" w:fill="E2EFDA"/>
            <w:noWrap/>
            <w:vAlign w:val="center"/>
          </w:tcPr>
          <w:p w14:paraId="4514E7BE">
            <w:pPr>
              <w:widowControl/>
              <w:ind w:firstLine="0" w:firstLineChars="0"/>
              <w:jc w:val="center"/>
              <w:rPr>
                <w:rFonts w:eastAsia="Times New Roman"/>
                <w:kern w:val="0"/>
                <w:sz w:val="20"/>
                <w:szCs w:val="20"/>
              </w:rPr>
            </w:pPr>
          </w:p>
        </w:tc>
        <w:tc>
          <w:tcPr>
            <w:tcW w:w="449" w:type="dxa"/>
            <w:tcBorders>
              <w:top w:val="nil"/>
              <w:left w:val="nil"/>
              <w:bottom w:val="nil"/>
              <w:right w:val="nil"/>
            </w:tcBorders>
            <w:shd w:val="clear" w:color="auto" w:fill="E2EFDA"/>
            <w:noWrap/>
            <w:vAlign w:val="center"/>
          </w:tcPr>
          <w:p w14:paraId="4E0B45CE">
            <w:pPr>
              <w:widowControl/>
              <w:ind w:firstLine="0" w:firstLineChars="0"/>
              <w:jc w:val="center"/>
              <w:rPr>
                <w:rFonts w:eastAsia="Times New Roman"/>
                <w:kern w:val="0"/>
                <w:sz w:val="20"/>
                <w:szCs w:val="20"/>
              </w:rPr>
            </w:pPr>
          </w:p>
        </w:tc>
        <w:tc>
          <w:tcPr>
            <w:tcW w:w="277" w:type="dxa"/>
            <w:tcBorders>
              <w:top w:val="nil"/>
              <w:left w:val="nil"/>
              <w:bottom w:val="nil"/>
              <w:right w:val="nil"/>
            </w:tcBorders>
            <w:shd w:val="clear" w:color="auto" w:fill="E2EFDA"/>
            <w:noWrap/>
            <w:vAlign w:val="center"/>
          </w:tcPr>
          <w:p w14:paraId="2181CB40">
            <w:pPr>
              <w:widowControl/>
              <w:ind w:firstLine="0" w:firstLineChars="0"/>
              <w:jc w:val="center"/>
              <w:rPr>
                <w:rFonts w:eastAsia="Times New Roman"/>
                <w:kern w:val="0"/>
                <w:sz w:val="20"/>
                <w:szCs w:val="20"/>
              </w:rPr>
            </w:pPr>
          </w:p>
        </w:tc>
        <w:tc>
          <w:tcPr>
            <w:tcW w:w="2197" w:type="dxa"/>
            <w:vMerge w:val="continue"/>
            <w:tcBorders>
              <w:top w:val="nil"/>
              <w:left w:val="nil"/>
              <w:bottom w:val="nil"/>
              <w:right w:val="nil"/>
            </w:tcBorders>
            <w:vAlign w:val="center"/>
          </w:tcPr>
          <w:p w14:paraId="0B5F20CF">
            <w:pPr>
              <w:widowControl/>
              <w:ind w:firstLine="0" w:firstLineChars="0"/>
              <w:jc w:val="left"/>
              <w:rPr>
                <w:rFonts w:ascii="楷体" w:hAnsi="楷体" w:eastAsia="楷体" w:cs="宋体"/>
                <w:b/>
                <w:bCs/>
                <w:color w:val="000000"/>
                <w:kern w:val="0"/>
                <w:szCs w:val="24"/>
              </w:rPr>
            </w:pPr>
          </w:p>
        </w:tc>
      </w:tr>
      <w:tr w14:paraId="62C0B52C">
        <w:tblPrEx>
          <w:tblCellMar>
            <w:top w:w="0" w:type="dxa"/>
            <w:left w:w="108" w:type="dxa"/>
            <w:bottom w:w="0" w:type="dxa"/>
            <w:right w:w="108" w:type="dxa"/>
          </w:tblCellMar>
        </w:tblPrEx>
        <w:trPr>
          <w:trHeight w:val="312" w:hRule="atLeast"/>
        </w:trPr>
        <w:tc>
          <w:tcPr>
            <w:tcW w:w="4767" w:type="dxa"/>
            <w:tcBorders>
              <w:top w:val="nil"/>
              <w:left w:val="nil"/>
              <w:bottom w:val="nil"/>
              <w:right w:val="nil"/>
            </w:tcBorders>
            <w:shd w:val="clear" w:color="auto" w:fill="auto"/>
            <w:noWrap/>
            <w:vAlign w:val="center"/>
          </w:tcPr>
          <w:p w14:paraId="7E1EE83C">
            <w:pPr>
              <w:widowControl/>
              <w:ind w:firstLine="0" w:firstLineChars="0"/>
              <w:jc w:val="center"/>
              <w:rPr>
                <w:rFonts w:ascii="楷体" w:hAnsi="楷体" w:eastAsia="楷体" w:cs="宋体"/>
                <w:b/>
                <w:bCs/>
                <w:color w:val="000000"/>
                <w:kern w:val="0"/>
                <w:szCs w:val="24"/>
              </w:rPr>
            </w:pPr>
            <w:r>
              <w:rPr>
                <w:rFonts w:hint="eastAsia" w:ascii="楷体" w:hAnsi="楷体" w:eastAsia="楷体" w:cs="宋体"/>
                <w:b/>
                <w:bCs/>
                <w:color w:val="000000"/>
                <w:kern w:val="0"/>
                <w:szCs w:val="24"/>
              </w:rPr>
              <w:t>季度清洁能源费用</w:t>
            </w:r>
          </w:p>
        </w:tc>
        <w:tc>
          <w:tcPr>
            <w:tcW w:w="277" w:type="dxa"/>
            <w:tcBorders>
              <w:top w:val="nil"/>
              <w:left w:val="nil"/>
              <w:bottom w:val="nil"/>
              <w:right w:val="nil"/>
            </w:tcBorders>
            <w:shd w:val="clear" w:color="auto" w:fill="E2EFDA"/>
            <w:noWrap/>
            <w:vAlign w:val="center"/>
          </w:tcPr>
          <w:p w14:paraId="02C03AB0">
            <w:pPr>
              <w:widowControl/>
              <w:ind w:firstLine="0" w:firstLineChars="0"/>
              <w:jc w:val="center"/>
              <w:rPr>
                <w:rFonts w:ascii="楷体" w:hAnsi="楷体" w:eastAsia="楷体" w:cs="宋体"/>
                <w:b/>
                <w:bCs/>
                <w:color w:val="000000"/>
                <w:kern w:val="0"/>
                <w:szCs w:val="24"/>
              </w:rPr>
            </w:pPr>
          </w:p>
        </w:tc>
        <w:tc>
          <w:tcPr>
            <w:tcW w:w="449" w:type="dxa"/>
            <w:tcBorders>
              <w:top w:val="nil"/>
              <w:left w:val="nil"/>
              <w:bottom w:val="nil"/>
              <w:right w:val="nil"/>
            </w:tcBorders>
            <w:shd w:val="clear" w:color="auto" w:fill="E2EFDA"/>
            <w:noWrap/>
            <w:vAlign w:val="center"/>
          </w:tcPr>
          <w:p w14:paraId="23983334">
            <w:pPr>
              <w:widowControl/>
              <w:ind w:firstLine="0" w:firstLineChars="0"/>
              <w:jc w:val="left"/>
              <w:rPr>
                <w:rFonts w:eastAsia="Times New Roman"/>
                <w:kern w:val="0"/>
                <w:sz w:val="20"/>
                <w:szCs w:val="20"/>
              </w:rPr>
            </w:pPr>
          </w:p>
        </w:tc>
        <w:tc>
          <w:tcPr>
            <w:tcW w:w="449" w:type="dxa"/>
            <w:tcBorders>
              <w:top w:val="nil"/>
              <w:left w:val="nil"/>
              <w:bottom w:val="nil"/>
              <w:right w:val="nil"/>
            </w:tcBorders>
            <w:shd w:val="clear" w:color="auto" w:fill="E2EFDA"/>
            <w:noWrap/>
            <w:vAlign w:val="center"/>
          </w:tcPr>
          <w:p w14:paraId="20F10D63">
            <w:pPr>
              <w:widowControl/>
              <w:ind w:firstLine="0" w:firstLineChars="0"/>
              <w:jc w:val="left"/>
              <w:rPr>
                <w:rFonts w:eastAsia="Times New Roman"/>
                <w:kern w:val="0"/>
                <w:sz w:val="20"/>
                <w:szCs w:val="20"/>
              </w:rPr>
            </w:pPr>
          </w:p>
        </w:tc>
        <w:tc>
          <w:tcPr>
            <w:tcW w:w="449" w:type="dxa"/>
            <w:tcBorders>
              <w:top w:val="nil"/>
              <w:left w:val="nil"/>
              <w:bottom w:val="nil"/>
              <w:right w:val="nil"/>
            </w:tcBorders>
            <w:shd w:val="clear" w:color="auto" w:fill="E2EFDA"/>
            <w:noWrap/>
            <w:vAlign w:val="center"/>
          </w:tcPr>
          <w:p w14:paraId="5A9B61FC">
            <w:pPr>
              <w:widowControl/>
              <w:ind w:firstLine="0" w:firstLineChars="0"/>
              <w:jc w:val="left"/>
              <w:rPr>
                <w:rFonts w:eastAsia="Times New Roman"/>
                <w:kern w:val="0"/>
                <w:sz w:val="20"/>
                <w:szCs w:val="20"/>
              </w:rPr>
            </w:pPr>
          </w:p>
        </w:tc>
        <w:tc>
          <w:tcPr>
            <w:tcW w:w="277" w:type="dxa"/>
            <w:tcBorders>
              <w:top w:val="nil"/>
              <w:left w:val="nil"/>
              <w:bottom w:val="nil"/>
              <w:right w:val="nil"/>
            </w:tcBorders>
            <w:shd w:val="clear" w:color="auto" w:fill="E2EFDA"/>
            <w:noWrap/>
            <w:vAlign w:val="center"/>
          </w:tcPr>
          <w:p w14:paraId="160AE448">
            <w:pPr>
              <w:widowControl/>
              <w:ind w:firstLine="0" w:firstLineChars="0"/>
              <w:jc w:val="left"/>
              <w:rPr>
                <w:rFonts w:eastAsia="Times New Roman"/>
                <w:kern w:val="0"/>
                <w:sz w:val="20"/>
                <w:szCs w:val="20"/>
              </w:rPr>
            </w:pPr>
          </w:p>
        </w:tc>
        <w:tc>
          <w:tcPr>
            <w:tcW w:w="2197" w:type="dxa"/>
            <w:vMerge w:val="restart"/>
            <w:tcBorders>
              <w:top w:val="nil"/>
              <w:left w:val="nil"/>
              <w:bottom w:val="single" w:color="000000" w:sz="12" w:space="0"/>
              <w:right w:val="nil"/>
            </w:tcBorders>
            <w:shd w:val="clear" w:color="auto" w:fill="auto"/>
            <w:noWrap/>
            <w:vAlign w:val="center"/>
          </w:tcPr>
          <w:p w14:paraId="3AE44891">
            <w:pPr>
              <w:widowControl/>
              <w:ind w:firstLine="0" w:firstLineChars="0"/>
              <w:jc w:val="center"/>
              <w:rPr>
                <w:rFonts w:ascii="楷体" w:hAnsi="楷体" w:eastAsia="楷体" w:cs="宋体"/>
                <w:b/>
                <w:bCs/>
                <w:color w:val="000000"/>
                <w:kern w:val="0"/>
                <w:szCs w:val="24"/>
              </w:rPr>
            </w:pPr>
            <w:r>
              <w:rPr>
                <w:rFonts w:hint="eastAsia" w:ascii="楷体" w:hAnsi="楷体" w:eastAsia="楷体" w:cs="宋体"/>
                <w:b/>
                <w:bCs/>
                <w:color w:val="000000"/>
                <w:kern w:val="0"/>
                <w:szCs w:val="24"/>
              </w:rPr>
              <w:t>（      ）</w:t>
            </w:r>
          </w:p>
        </w:tc>
      </w:tr>
      <w:tr w14:paraId="5AA4BB67">
        <w:tblPrEx>
          <w:tblCellMar>
            <w:top w:w="0" w:type="dxa"/>
            <w:left w:w="108" w:type="dxa"/>
            <w:bottom w:w="0" w:type="dxa"/>
            <w:right w:w="108" w:type="dxa"/>
          </w:tblCellMar>
        </w:tblPrEx>
        <w:trPr>
          <w:trHeight w:val="327" w:hRule="atLeast"/>
        </w:trPr>
        <w:tc>
          <w:tcPr>
            <w:tcW w:w="4767" w:type="dxa"/>
            <w:tcBorders>
              <w:top w:val="nil"/>
              <w:left w:val="nil"/>
              <w:bottom w:val="single" w:color="000000" w:sz="12" w:space="0"/>
              <w:right w:val="nil"/>
            </w:tcBorders>
            <w:shd w:val="clear" w:color="auto" w:fill="auto"/>
            <w:noWrap/>
            <w:vAlign w:val="center"/>
          </w:tcPr>
          <w:p w14:paraId="15F3324D">
            <w:pPr>
              <w:widowControl/>
              <w:ind w:firstLine="0" w:firstLineChars="0"/>
              <w:jc w:val="center"/>
              <w:rPr>
                <w:rFonts w:ascii="楷体" w:hAnsi="楷体" w:eastAsia="楷体" w:cs="宋体"/>
                <w:b/>
                <w:bCs/>
                <w:color w:val="000000"/>
                <w:kern w:val="0"/>
                <w:szCs w:val="24"/>
              </w:rPr>
            </w:pPr>
            <w:r>
              <w:rPr>
                <w:rFonts w:hint="eastAsia" w:ascii="楷体" w:hAnsi="楷体" w:eastAsia="楷体" w:cs="宋体"/>
                <w:b/>
                <w:bCs/>
                <w:color w:val="000000"/>
                <w:kern w:val="0"/>
                <w:szCs w:val="24"/>
              </w:rPr>
              <w:t>同比</w:t>
            </w:r>
          </w:p>
        </w:tc>
        <w:tc>
          <w:tcPr>
            <w:tcW w:w="277" w:type="dxa"/>
            <w:tcBorders>
              <w:top w:val="nil"/>
              <w:left w:val="nil"/>
              <w:bottom w:val="single" w:color="000000" w:sz="12" w:space="0"/>
              <w:right w:val="nil"/>
            </w:tcBorders>
            <w:shd w:val="clear" w:color="auto" w:fill="E2EFDA"/>
            <w:noWrap/>
            <w:vAlign w:val="center"/>
          </w:tcPr>
          <w:p w14:paraId="2DDD7B3B">
            <w:pPr>
              <w:widowControl/>
              <w:ind w:firstLine="0" w:firstLineChars="0"/>
              <w:jc w:val="center"/>
              <w:rPr>
                <w:rFonts w:ascii="楷体" w:hAnsi="楷体" w:eastAsia="楷体" w:cs="宋体"/>
                <w:b/>
                <w:bCs/>
                <w:color w:val="000000"/>
                <w:kern w:val="0"/>
                <w:szCs w:val="24"/>
              </w:rPr>
            </w:pPr>
          </w:p>
        </w:tc>
        <w:tc>
          <w:tcPr>
            <w:tcW w:w="449" w:type="dxa"/>
            <w:tcBorders>
              <w:top w:val="nil"/>
              <w:left w:val="nil"/>
              <w:bottom w:val="single" w:color="000000" w:sz="12" w:space="0"/>
              <w:right w:val="nil"/>
            </w:tcBorders>
            <w:shd w:val="clear" w:color="auto" w:fill="E2EFDA"/>
            <w:noWrap/>
            <w:vAlign w:val="center"/>
          </w:tcPr>
          <w:p w14:paraId="24CD564F">
            <w:pPr>
              <w:widowControl/>
              <w:ind w:firstLine="0" w:firstLineChars="0"/>
              <w:jc w:val="left"/>
              <w:rPr>
                <w:rFonts w:eastAsia="Times New Roman"/>
                <w:kern w:val="0"/>
                <w:sz w:val="20"/>
                <w:szCs w:val="20"/>
              </w:rPr>
            </w:pPr>
          </w:p>
        </w:tc>
        <w:tc>
          <w:tcPr>
            <w:tcW w:w="449" w:type="dxa"/>
            <w:tcBorders>
              <w:top w:val="nil"/>
              <w:left w:val="nil"/>
              <w:bottom w:val="single" w:color="000000" w:sz="12" w:space="0"/>
              <w:right w:val="nil"/>
            </w:tcBorders>
            <w:shd w:val="clear" w:color="auto" w:fill="E2EFDA"/>
            <w:noWrap/>
            <w:vAlign w:val="center"/>
          </w:tcPr>
          <w:p w14:paraId="7474E04D">
            <w:pPr>
              <w:widowControl/>
              <w:ind w:firstLine="0" w:firstLineChars="0"/>
              <w:jc w:val="left"/>
              <w:rPr>
                <w:rFonts w:eastAsia="Times New Roman"/>
                <w:kern w:val="0"/>
                <w:sz w:val="20"/>
                <w:szCs w:val="20"/>
              </w:rPr>
            </w:pPr>
          </w:p>
        </w:tc>
        <w:tc>
          <w:tcPr>
            <w:tcW w:w="449" w:type="dxa"/>
            <w:tcBorders>
              <w:top w:val="nil"/>
              <w:left w:val="nil"/>
              <w:bottom w:val="single" w:color="000000" w:sz="12" w:space="0"/>
              <w:right w:val="nil"/>
            </w:tcBorders>
            <w:shd w:val="clear" w:color="auto" w:fill="E2EFDA"/>
            <w:noWrap/>
            <w:vAlign w:val="center"/>
          </w:tcPr>
          <w:p w14:paraId="42CDCE60">
            <w:pPr>
              <w:widowControl/>
              <w:ind w:firstLine="0" w:firstLineChars="0"/>
              <w:jc w:val="left"/>
              <w:rPr>
                <w:rFonts w:eastAsia="Times New Roman"/>
                <w:kern w:val="0"/>
                <w:sz w:val="20"/>
                <w:szCs w:val="20"/>
              </w:rPr>
            </w:pPr>
          </w:p>
        </w:tc>
        <w:tc>
          <w:tcPr>
            <w:tcW w:w="277" w:type="dxa"/>
            <w:tcBorders>
              <w:top w:val="nil"/>
              <w:left w:val="nil"/>
              <w:bottom w:val="single" w:color="000000" w:sz="12" w:space="0"/>
              <w:right w:val="nil"/>
            </w:tcBorders>
            <w:shd w:val="clear" w:color="auto" w:fill="E2EFDA"/>
            <w:noWrap/>
            <w:vAlign w:val="center"/>
          </w:tcPr>
          <w:p w14:paraId="6C7321FF">
            <w:pPr>
              <w:widowControl/>
              <w:ind w:firstLine="0" w:firstLineChars="0"/>
              <w:jc w:val="left"/>
              <w:rPr>
                <w:rFonts w:eastAsia="Times New Roman"/>
                <w:kern w:val="0"/>
                <w:sz w:val="20"/>
                <w:szCs w:val="20"/>
              </w:rPr>
            </w:pPr>
          </w:p>
        </w:tc>
        <w:tc>
          <w:tcPr>
            <w:tcW w:w="2197" w:type="dxa"/>
            <w:vMerge w:val="continue"/>
            <w:tcBorders>
              <w:top w:val="nil"/>
              <w:left w:val="nil"/>
              <w:bottom w:val="single" w:color="000000" w:sz="12" w:space="0"/>
              <w:right w:val="nil"/>
            </w:tcBorders>
            <w:vAlign w:val="center"/>
          </w:tcPr>
          <w:p w14:paraId="17EC2DC6">
            <w:pPr>
              <w:widowControl/>
              <w:ind w:firstLine="0" w:firstLineChars="0"/>
              <w:jc w:val="left"/>
              <w:rPr>
                <w:rFonts w:ascii="楷体" w:hAnsi="楷体" w:eastAsia="楷体" w:cs="宋体"/>
                <w:b/>
                <w:bCs/>
                <w:color w:val="000000"/>
                <w:kern w:val="0"/>
                <w:szCs w:val="24"/>
              </w:rPr>
            </w:pPr>
          </w:p>
        </w:tc>
      </w:tr>
    </w:tbl>
    <w:p w14:paraId="0A9E16E1">
      <w:pPr>
        <w:pStyle w:val="2"/>
      </w:pPr>
      <w:r>
        <w:t xml:space="preserve">7 </w:t>
      </w:r>
      <w:r>
        <w:rPr>
          <w:rFonts w:hint="eastAsia"/>
        </w:rPr>
        <w:t>参考文献</w:t>
      </w:r>
    </w:p>
    <w:p w14:paraId="7CD57701">
      <w:pPr>
        <w:ind w:firstLine="0" w:firstLineChars="0"/>
        <w:rPr>
          <w:shd w:val="clear" w:color="auto" w:fill="FFFFFF"/>
        </w:rPr>
      </w:pPr>
      <w:r>
        <w:rPr>
          <w:rFonts w:hint="eastAsia"/>
          <w:shd w:val="clear" w:color="auto" w:fill="FFFFFF"/>
        </w:rPr>
        <w:t>[1]余碧莹,赵光普,安润颖等.碳中和目标下中国碳排放路径研究[J].北京理工大学学报(社会科学版),2021,23(02):17-24.DOI:10.15918/j.jbitss1009-3370.2021.7380.</w:t>
      </w:r>
    </w:p>
    <w:p w14:paraId="2443598D">
      <w:pPr>
        <w:ind w:firstLine="0" w:firstLineChars="0"/>
        <w:rPr>
          <w:shd w:val="clear" w:color="auto" w:fill="FFFFFF"/>
        </w:rPr>
      </w:pPr>
      <w:r>
        <w:rPr>
          <w:rFonts w:hint="eastAsia"/>
          <w:shd w:val="clear" w:color="auto" w:fill="FFFFFF"/>
        </w:rPr>
        <w:t>[2]蔡立亚,郭剑锋,石川等.“双碳”目标下中国能源供需演变路径规划模拟研究[J/OL].气候变化研究进展:1-19[2023-09-25].http://kns.cnki.net/kcms/detail/11.5368.P.20230711.1311.002. html</w:t>
      </w:r>
    </w:p>
    <w:p w14:paraId="46CF372F">
      <w:pPr>
        <w:ind w:firstLine="0" w:firstLineChars="0"/>
        <w:rPr>
          <w:shd w:val="clear" w:color="auto" w:fill="FFFFFF"/>
        </w:rPr>
      </w:pPr>
      <w:r>
        <w:rPr>
          <w:rFonts w:hint="eastAsia"/>
          <w:shd w:val="clear" w:color="auto" w:fill="FFFFFF"/>
        </w:rPr>
        <w:t>[</w:t>
      </w:r>
      <w:r>
        <w:rPr>
          <w:shd w:val="clear" w:color="auto" w:fill="FFFFFF"/>
        </w:rPr>
        <w:t>3</w:t>
      </w:r>
      <w:r>
        <w:rPr>
          <w:rFonts w:hint="eastAsia"/>
          <w:shd w:val="clear" w:color="auto" w:fill="FFFFFF"/>
        </w:rPr>
        <w:t>]魏一鸣,余碧莹,唐葆君等.中国碳达峰碳中和时间表与路线图研究[J].北京理工大学学报(社会科学版),2022,24(04):13-26.DOI:10.15918/j.jbitss1009-3370.2022.1165.</w:t>
      </w:r>
    </w:p>
    <w:p w14:paraId="1684F26C">
      <w:pPr>
        <w:ind w:firstLine="0" w:firstLineChars="0"/>
        <w:rPr>
          <w:shd w:val="clear" w:color="auto" w:fill="FFFFFF"/>
        </w:rPr>
      </w:pPr>
      <w:r>
        <w:rPr>
          <w:rFonts w:hint="eastAsia"/>
          <w:shd w:val="clear" w:color="auto" w:fill="FFFFFF"/>
        </w:rPr>
        <w:t>[</w:t>
      </w:r>
      <w:r>
        <w:rPr>
          <w:shd w:val="clear" w:color="auto" w:fill="FFFFFF"/>
        </w:rPr>
        <w:t>4</w:t>
      </w:r>
      <w:r>
        <w:rPr>
          <w:rFonts w:hint="eastAsia"/>
          <w:shd w:val="clear" w:color="auto" w:fill="FFFFFF"/>
        </w:rPr>
        <w:t>]韩遇春,田赢,胡立聪等.基于STIRPAT模型的连云港地区碳排放影响因素定量分析[J].四川环境,2023,42(04):74-80.DOI:10.14034/j.cnki.schj.2023.04.012.</w:t>
      </w:r>
    </w:p>
    <w:p w14:paraId="0554E5BD">
      <w:pPr>
        <w:ind w:firstLine="0" w:firstLineChars="0"/>
        <w:rPr>
          <w:shd w:val="clear" w:color="auto" w:fill="FFFFFF"/>
        </w:rPr>
      </w:pPr>
      <w:r>
        <w:rPr>
          <w:rFonts w:hint="eastAsia"/>
          <w:shd w:val="clear" w:color="auto" w:fill="FFFFFF"/>
        </w:rPr>
        <w:t>[</w:t>
      </w:r>
      <w:r>
        <w:rPr>
          <w:shd w:val="clear" w:color="auto" w:fill="FFFFFF"/>
        </w:rPr>
        <w:t>5</w:t>
      </w:r>
      <w:r>
        <w:rPr>
          <w:rFonts w:hint="eastAsia"/>
          <w:shd w:val="clear" w:color="auto" w:fill="FFFFFF"/>
        </w:rPr>
        <w:t>]郭海兵,孟晨.基于STIRPAT模型的碳排放预测——以连云港市为例[J].城市建设理论研究(电子版),2023(23):196-198.DOI:10.19569/j.cnki.cn119313/tu.202323065.</w:t>
      </w:r>
    </w:p>
    <w:p w14:paraId="24FE4899">
      <w:pPr>
        <w:ind w:firstLine="0" w:firstLineChars="0"/>
        <w:rPr>
          <w:rFonts w:hAnsi="等线"/>
        </w:rPr>
      </w:pPr>
      <w:r>
        <w:t>[6]关敏捷,袁艳红,冉木希等.基于STIRPAT模型的山西省能源碳排放影响因素及峰值预测[J].中国煤炭,2021,47(09):48-55.DOI:10.19880/j.cnki.ccm.2021.09.007.</w:t>
      </w:r>
    </w:p>
    <w:p w14:paraId="4A33CD41">
      <w:pPr>
        <w:ind w:firstLine="0" w:firstLineChars="0"/>
        <w:rPr>
          <w:shd w:val="clear" w:color="auto" w:fill="FFFFFF"/>
        </w:rPr>
      </w:pPr>
      <w:r>
        <w:rPr>
          <w:rFonts w:hint="eastAsia"/>
          <w:shd w:val="clear" w:color="auto" w:fill="FFFFFF"/>
        </w:rPr>
        <w:t>[</w:t>
      </w:r>
      <w:r>
        <w:rPr>
          <w:shd w:val="clear" w:color="auto" w:fill="FFFFFF"/>
        </w:rPr>
        <w:t>7</w:t>
      </w:r>
      <w:r>
        <w:rPr>
          <w:rFonts w:hint="eastAsia"/>
          <w:shd w:val="clear" w:color="auto" w:fill="FFFFFF"/>
        </w:rPr>
        <w:t>]陈向阳.人口、消费的规模与结构对碳排放的影响：理论机制与实证分析[J].环境经济研究,2021,6(03):8-24.DOI:10.19511/j.cnki.jee.2021.03.002.</w:t>
      </w:r>
    </w:p>
    <w:p w14:paraId="40560EE1">
      <w:pPr>
        <w:ind w:firstLine="0" w:firstLineChars="0"/>
        <w:rPr>
          <w:shd w:val="clear" w:color="auto" w:fill="FFFFFF"/>
        </w:rPr>
      </w:pPr>
      <w:r>
        <w:rPr>
          <w:rFonts w:hint="eastAsia"/>
          <w:shd w:val="clear" w:color="auto" w:fill="FFFFFF"/>
        </w:rPr>
        <w:t>[</w:t>
      </w:r>
      <w:r>
        <w:rPr>
          <w:shd w:val="clear" w:color="auto" w:fill="FFFFFF"/>
        </w:rPr>
        <w:t>8</w:t>
      </w:r>
      <w:r>
        <w:rPr>
          <w:rFonts w:hint="eastAsia"/>
          <w:shd w:val="clear" w:color="auto" w:fill="FFFFFF"/>
        </w:rPr>
        <w:t>]</w:t>
      </w:r>
      <w:r>
        <w:t>国务院，2030年前碳达峰行动方案，2021.10.24</w:t>
      </w:r>
    </w:p>
    <w:p w14:paraId="4085A687">
      <w:pPr>
        <w:ind w:firstLine="0" w:firstLineChars="0"/>
        <w:rPr>
          <w:rFonts w:ascii="方正书宋_GBK" w:hAnsi="等线" w:eastAsia="等线"/>
          <w:color w:val="000000"/>
          <w:kern w:val="0"/>
          <w:sz w:val="20"/>
          <w:szCs w:val="20"/>
        </w:rPr>
      </w:pPr>
      <w:r>
        <w:rPr>
          <w:rFonts w:hint="eastAsia"/>
          <w:shd w:val="clear" w:color="auto" w:fill="FFFFFF"/>
        </w:rPr>
        <w:t>[</w:t>
      </w:r>
      <w:r>
        <w:rPr>
          <w:shd w:val="clear" w:color="auto" w:fill="FFFFFF"/>
        </w:rPr>
        <w:t>9</w:t>
      </w:r>
      <w:r>
        <w:rPr>
          <w:rFonts w:hint="eastAsia"/>
          <w:shd w:val="clear" w:color="auto" w:fill="FFFFFF"/>
        </w:rPr>
        <w:t>]马亚军.基于统计方法对碳排放报告与核查指南中供热碳排放因子缺省值合理性的分析与研究[J].科技与创新,2021(23):27-28.DOI:10.15913/j.cnki.kjycx.2021.23.009.</w:t>
      </w:r>
    </w:p>
    <w:p w14:paraId="36EFCB1F">
      <w:pPr>
        <w:pStyle w:val="2"/>
        <w:jc w:val="left"/>
        <w:rPr>
          <w:rFonts w:hint="eastAsia"/>
        </w:rPr>
      </w:pPr>
      <w:r>
        <w:rPr>
          <w:rFonts w:hint="eastAsia"/>
        </w:rPr>
        <w:t>附录</w:t>
      </w:r>
    </w:p>
    <w:p w14:paraId="6FBA9684">
      <w:pPr>
        <w:ind w:firstLine="0" w:firstLineChars="0"/>
        <w:rPr>
          <w:rFonts w:eastAsia="方正书宋_GBK"/>
          <w:b/>
          <w:bCs/>
          <w:color w:val="000000"/>
          <w:kern w:val="0"/>
          <w:sz w:val="20"/>
          <w:szCs w:val="20"/>
        </w:rPr>
      </w:pPr>
      <w:r>
        <w:rPr>
          <w:rFonts w:ascii="方正书宋_GBK" w:hAnsi="方正书宋_GBK" w:eastAsia="方正书宋_GBK"/>
          <w:b/>
          <w:bCs/>
          <w:color w:val="000000"/>
          <w:kern w:val="0"/>
          <w:sz w:val="20"/>
          <w:szCs w:val="20"/>
        </w:rPr>
        <w:t>问题一代码：</w:t>
      </w:r>
    </w:p>
    <w:p w14:paraId="642D4B8C">
      <w:pPr>
        <w:ind w:firstLine="0" w:firstLineChars="0"/>
        <w:rPr>
          <w:rFonts w:eastAsia="方正书宋_GBK"/>
          <w:color w:val="000000"/>
          <w:kern w:val="0"/>
          <w:sz w:val="20"/>
          <w:szCs w:val="20"/>
        </w:rPr>
      </w:pPr>
      <w:r>
        <w:rPr>
          <w:rFonts w:eastAsia="方正书宋_GBK"/>
          <w:color w:val="000000"/>
          <w:kern w:val="0"/>
          <w:sz w:val="20"/>
          <w:szCs w:val="20"/>
        </w:rPr>
        <w:t>import numpy as np</w:t>
      </w:r>
    </w:p>
    <w:p w14:paraId="38B834F8">
      <w:pPr>
        <w:ind w:firstLine="0" w:firstLineChars="0"/>
        <w:rPr>
          <w:rFonts w:eastAsia="方正书宋_GBK"/>
          <w:color w:val="000000"/>
          <w:kern w:val="0"/>
          <w:sz w:val="20"/>
          <w:szCs w:val="20"/>
        </w:rPr>
      </w:pPr>
      <w:r>
        <w:rPr>
          <w:rFonts w:eastAsia="方正书宋_GBK"/>
          <w:color w:val="000000"/>
          <w:kern w:val="0"/>
          <w:sz w:val="20"/>
          <w:szCs w:val="20"/>
        </w:rPr>
        <w:t xml:space="preserve"># </w:t>
      </w:r>
      <w:r>
        <w:rPr>
          <w:rFonts w:ascii="方正书宋_GBK" w:hAnsi="方正书宋_GBK" w:eastAsia="方正书宋_GBK"/>
          <w:color w:val="000000"/>
          <w:kern w:val="0"/>
          <w:sz w:val="20"/>
          <w:szCs w:val="20"/>
        </w:rPr>
        <w:t>区域碳排放总量数据</w:t>
      </w:r>
    </w:p>
    <w:p w14:paraId="0DD4D248">
      <w:pPr>
        <w:ind w:firstLine="0" w:firstLineChars="0"/>
        <w:rPr>
          <w:rFonts w:eastAsia="方正书宋_GBK"/>
          <w:color w:val="000000"/>
          <w:kern w:val="0"/>
          <w:sz w:val="20"/>
          <w:szCs w:val="20"/>
        </w:rPr>
      </w:pPr>
      <w:r>
        <w:rPr>
          <w:rFonts w:eastAsia="方正书宋_GBK"/>
          <w:color w:val="000000"/>
          <w:kern w:val="0"/>
          <w:sz w:val="20"/>
          <w:szCs w:val="20"/>
        </w:rPr>
        <w:t>I=np.array([113991.9938,</w:t>
      </w:r>
      <w:r>
        <w:rPr>
          <w:rFonts w:eastAsia="方正书宋_GBK"/>
          <w:color w:val="000000"/>
          <w:kern w:val="0"/>
          <w:sz w:val="20"/>
          <w:szCs w:val="20"/>
        </w:rPr>
        <w:tab/>
      </w:r>
      <w:r>
        <w:rPr>
          <w:rFonts w:eastAsia="方正书宋_GBK"/>
          <w:color w:val="000000"/>
          <w:kern w:val="0"/>
          <w:sz w:val="20"/>
          <w:szCs w:val="20"/>
        </w:rPr>
        <w:t>131797.0952,</w:t>
      </w:r>
      <w:r>
        <w:rPr>
          <w:rFonts w:eastAsia="方正书宋_GBK"/>
          <w:color w:val="000000"/>
          <w:kern w:val="0"/>
          <w:sz w:val="20"/>
          <w:szCs w:val="20"/>
        </w:rPr>
        <w:tab/>
      </w:r>
      <w:r>
        <w:rPr>
          <w:rFonts w:eastAsia="方正书宋_GBK"/>
          <w:color w:val="000000"/>
          <w:kern w:val="0"/>
          <w:sz w:val="20"/>
          <w:szCs w:val="20"/>
        </w:rPr>
        <w:t>136084.6191,</w:t>
      </w:r>
      <w:r>
        <w:rPr>
          <w:rFonts w:eastAsia="方正书宋_GBK"/>
          <w:color w:val="000000"/>
          <w:kern w:val="0"/>
          <w:sz w:val="20"/>
          <w:szCs w:val="20"/>
        </w:rPr>
        <w:tab/>
      </w:r>
      <w:r>
        <w:rPr>
          <w:rFonts w:eastAsia="方正书宋_GBK"/>
          <w:color w:val="000000"/>
          <w:kern w:val="0"/>
          <w:sz w:val="20"/>
          <w:szCs w:val="20"/>
        </w:rPr>
        <w:t>138802.9025,</w:t>
      </w:r>
      <w:r>
        <w:rPr>
          <w:rFonts w:eastAsia="方正书宋_GBK"/>
          <w:color w:val="000000"/>
          <w:kern w:val="0"/>
          <w:sz w:val="20"/>
          <w:szCs w:val="20"/>
        </w:rPr>
        <w:tab/>
      </w:r>
      <w:r>
        <w:rPr>
          <w:rFonts w:eastAsia="方正书宋_GBK"/>
          <w:color w:val="000000"/>
          <w:kern w:val="0"/>
          <w:sz w:val="20"/>
          <w:szCs w:val="20"/>
        </w:rPr>
        <w:t>131288.3664</w:t>
      </w:r>
      <w:r>
        <w:rPr>
          <w:rFonts w:eastAsia="方正书宋_GBK"/>
          <w:color w:val="000000"/>
          <w:kern w:val="0"/>
          <w:sz w:val="20"/>
          <w:szCs w:val="20"/>
        </w:rPr>
        <w:tab/>
      </w:r>
      <w:r>
        <w:rPr>
          <w:rFonts w:eastAsia="方正书宋_GBK"/>
          <w:color w:val="000000"/>
          <w:kern w:val="0"/>
          <w:sz w:val="20"/>
          <w:szCs w:val="20"/>
        </w:rPr>
        <w:t>,137253.877</w:t>
      </w:r>
      <w:r>
        <w:rPr>
          <w:rFonts w:eastAsia="方正书宋_GBK"/>
          <w:color w:val="000000"/>
          <w:kern w:val="0"/>
          <w:sz w:val="20"/>
          <w:szCs w:val="20"/>
        </w:rPr>
        <w:tab/>
      </w:r>
      <w:r>
        <w:rPr>
          <w:rFonts w:eastAsia="方正书宋_GBK"/>
          <w:color w:val="000000"/>
          <w:kern w:val="0"/>
          <w:sz w:val="20"/>
          <w:szCs w:val="20"/>
        </w:rPr>
        <w:t>,143004.0255</w:t>
      </w:r>
      <w:r>
        <w:rPr>
          <w:rFonts w:eastAsia="方正书宋_GBK"/>
          <w:color w:val="000000"/>
          <w:kern w:val="0"/>
          <w:sz w:val="20"/>
          <w:szCs w:val="20"/>
        </w:rPr>
        <w:tab/>
      </w:r>
      <w:r>
        <w:rPr>
          <w:rFonts w:eastAsia="方正书宋_GBK"/>
          <w:color w:val="000000"/>
          <w:kern w:val="0"/>
          <w:sz w:val="20"/>
          <w:szCs w:val="20"/>
        </w:rPr>
        <w:t>,148315.0748</w:t>
      </w:r>
      <w:r>
        <w:rPr>
          <w:rFonts w:eastAsia="方正书宋_GBK"/>
          <w:color w:val="000000"/>
          <w:kern w:val="0"/>
          <w:sz w:val="20"/>
          <w:szCs w:val="20"/>
        </w:rPr>
        <w:tab/>
      </w:r>
      <w:r>
        <w:rPr>
          <w:rFonts w:eastAsia="方正书宋_GBK"/>
          <w:color w:val="000000"/>
          <w:kern w:val="0"/>
          <w:sz w:val="20"/>
          <w:szCs w:val="20"/>
        </w:rPr>
        <w:t>,152356.4275</w:t>
      </w:r>
      <w:r>
        <w:rPr>
          <w:rFonts w:eastAsia="方正书宋_GBK"/>
          <w:color w:val="000000"/>
          <w:kern w:val="0"/>
          <w:sz w:val="20"/>
          <w:szCs w:val="20"/>
        </w:rPr>
        <w:tab/>
      </w:r>
      <w:r>
        <w:rPr>
          <w:rFonts w:eastAsia="方正书宋_GBK"/>
          <w:color w:val="000000"/>
          <w:kern w:val="0"/>
          <w:sz w:val="20"/>
          <w:szCs w:val="20"/>
        </w:rPr>
        <w:t>,155925.9659</w:t>
      </w:r>
      <w:r>
        <w:rPr>
          <w:rFonts w:eastAsia="方正书宋_GBK"/>
          <w:color w:val="000000"/>
          <w:kern w:val="0"/>
          <w:sz w:val="20"/>
          <w:szCs w:val="20"/>
        </w:rPr>
        <w:tab/>
      </w:r>
      <w:r>
        <w:rPr>
          <w:rFonts w:eastAsia="方正书宋_GBK"/>
          <w:color w:val="000000"/>
          <w:kern w:val="0"/>
          <w:sz w:val="20"/>
          <w:szCs w:val="20"/>
        </w:rPr>
        <w:t>,152059.0542])</w:t>
      </w:r>
    </w:p>
    <w:p w14:paraId="3893D2DF">
      <w:pPr>
        <w:ind w:firstLine="0" w:firstLineChars="0"/>
        <w:rPr>
          <w:rFonts w:eastAsia="方正书宋_GBK"/>
          <w:color w:val="000000"/>
          <w:kern w:val="0"/>
          <w:sz w:val="20"/>
          <w:szCs w:val="20"/>
        </w:rPr>
      </w:pPr>
      <w:r>
        <w:rPr>
          <w:rFonts w:eastAsia="方正书宋_GBK"/>
          <w:color w:val="000000"/>
          <w:kern w:val="0"/>
          <w:sz w:val="20"/>
          <w:szCs w:val="20"/>
        </w:rPr>
        <w:t xml:space="preserve"># </w:t>
      </w:r>
      <w:r>
        <w:rPr>
          <w:rFonts w:ascii="方正书宋_GBK" w:hAnsi="方正书宋_GBK" w:eastAsia="方正书宋_GBK"/>
          <w:color w:val="000000"/>
          <w:kern w:val="0"/>
          <w:sz w:val="20"/>
          <w:szCs w:val="20"/>
        </w:rPr>
        <w:t>区域人口数据</w:t>
      </w:r>
    </w:p>
    <w:p w14:paraId="1A0D9021">
      <w:pPr>
        <w:ind w:firstLine="0" w:firstLineChars="0"/>
        <w:rPr>
          <w:rFonts w:eastAsia="方正书宋_GBK"/>
          <w:color w:val="000000"/>
          <w:kern w:val="0"/>
          <w:sz w:val="20"/>
          <w:szCs w:val="20"/>
        </w:rPr>
      </w:pPr>
      <w:r>
        <w:rPr>
          <w:rFonts w:eastAsia="方正书宋_GBK"/>
          <w:color w:val="000000"/>
          <w:kern w:val="0"/>
          <w:sz w:val="20"/>
          <w:szCs w:val="20"/>
        </w:rPr>
        <w:t>#p=np.array([0.01, 0.0195,0.0121 , 0.0089 , 0.0108 ,0.0041, 0.0080 , 0.0050 , 0.0027 , 0.0027, 0.0010])</w:t>
      </w:r>
    </w:p>
    <w:p w14:paraId="155EF0AC">
      <w:pPr>
        <w:ind w:firstLine="0" w:firstLineChars="0"/>
        <w:rPr>
          <w:rFonts w:eastAsia="方正书宋_GBK"/>
          <w:color w:val="000000"/>
          <w:kern w:val="0"/>
          <w:sz w:val="20"/>
          <w:szCs w:val="20"/>
        </w:rPr>
      </w:pPr>
      <w:r>
        <w:rPr>
          <w:rFonts w:eastAsia="方正书宋_GBK"/>
          <w:color w:val="000000"/>
          <w:kern w:val="0"/>
          <w:sz w:val="20"/>
          <w:szCs w:val="20"/>
        </w:rPr>
        <w:t>#</w:t>
      </w:r>
      <w:r>
        <w:rPr>
          <w:rFonts w:ascii="方正书宋_GBK" w:hAnsi="方正书宋_GBK" w:eastAsia="方正书宋_GBK"/>
          <w:color w:val="000000"/>
          <w:kern w:val="0"/>
          <w:sz w:val="20"/>
          <w:szCs w:val="20"/>
        </w:rPr>
        <w:t>人口乘数</w:t>
      </w:r>
    </w:p>
    <w:p w14:paraId="7643B02D">
      <w:pPr>
        <w:ind w:firstLine="0" w:firstLineChars="0"/>
        <w:rPr>
          <w:rFonts w:eastAsia="方正书宋_GBK"/>
          <w:color w:val="000000"/>
          <w:kern w:val="0"/>
          <w:sz w:val="20"/>
          <w:szCs w:val="20"/>
        </w:rPr>
      </w:pPr>
      <w:r>
        <w:rPr>
          <w:rFonts w:eastAsia="方正书宋_GBK"/>
          <w:color w:val="000000"/>
          <w:kern w:val="0"/>
          <w:sz w:val="20"/>
          <w:szCs w:val="20"/>
        </w:rPr>
        <w:t>p=np.array([1,1.02, 0.62,0.74 , 1.21 , 0.38 ,1.94, 0.63 , 0.54 , 1.01 , 0.36])</w:t>
      </w:r>
    </w:p>
    <w:p w14:paraId="1DCAA94F">
      <w:pPr>
        <w:ind w:firstLine="0" w:firstLineChars="0"/>
        <w:rPr>
          <w:rFonts w:eastAsia="方正书宋_GBK"/>
          <w:color w:val="000000"/>
          <w:kern w:val="0"/>
          <w:sz w:val="20"/>
          <w:szCs w:val="20"/>
        </w:rPr>
      </w:pPr>
      <w:r>
        <w:rPr>
          <w:rFonts w:eastAsia="方正书宋_GBK"/>
          <w:color w:val="000000"/>
          <w:kern w:val="0"/>
          <w:sz w:val="20"/>
          <w:szCs w:val="20"/>
        </w:rPr>
        <w:t xml:space="preserve"># </w:t>
      </w:r>
      <w:r>
        <w:rPr>
          <w:rFonts w:ascii="方正书宋_GBK" w:hAnsi="方正书宋_GBK" w:eastAsia="方正书宋_GBK"/>
          <w:color w:val="000000"/>
          <w:kern w:val="0"/>
          <w:sz w:val="20"/>
          <w:szCs w:val="20"/>
        </w:rPr>
        <w:t>区域工业部门</w:t>
      </w:r>
      <w:r>
        <w:rPr>
          <w:rFonts w:eastAsia="方正书宋_GBK"/>
          <w:color w:val="000000"/>
          <w:kern w:val="0"/>
          <w:sz w:val="20"/>
          <w:szCs w:val="20"/>
        </w:rPr>
        <w:t>GDP</w:t>
      </w:r>
      <w:r>
        <w:rPr>
          <w:rFonts w:ascii="方正书宋_GBK" w:hAnsi="方正书宋_GBK" w:eastAsia="方正书宋_GBK"/>
          <w:color w:val="000000"/>
          <w:kern w:val="0"/>
          <w:sz w:val="20"/>
          <w:szCs w:val="20"/>
        </w:rPr>
        <w:t>占比数据</w:t>
      </w:r>
    </w:p>
    <w:p w14:paraId="02CDF207">
      <w:pPr>
        <w:ind w:firstLine="0" w:firstLineChars="0"/>
        <w:rPr>
          <w:rFonts w:eastAsia="方正书宋_GBK"/>
          <w:color w:val="000000"/>
          <w:kern w:val="0"/>
          <w:sz w:val="20"/>
          <w:szCs w:val="20"/>
        </w:rPr>
      </w:pPr>
      <w:r>
        <w:rPr>
          <w:rFonts w:eastAsia="方正书宋_GBK"/>
          <w:color w:val="000000"/>
          <w:kern w:val="0"/>
          <w:sz w:val="20"/>
          <w:szCs w:val="20"/>
        </w:rPr>
        <w:t>a=np.array([0.55,0.51  , 0.50  ,0.48  ,0.47  , 0.46 , 0.45  , 0.43  ,0.40 , 0.43 ,0.4113 ])</w:t>
      </w:r>
    </w:p>
    <w:p w14:paraId="31CA9E1B">
      <w:pPr>
        <w:ind w:firstLine="0" w:firstLineChars="0"/>
        <w:rPr>
          <w:rFonts w:eastAsia="方正书宋_GBK"/>
          <w:color w:val="000000"/>
          <w:kern w:val="0"/>
          <w:sz w:val="20"/>
          <w:szCs w:val="20"/>
        </w:rPr>
      </w:pPr>
      <w:r>
        <w:rPr>
          <w:rFonts w:eastAsia="方正书宋_GBK"/>
          <w:color w:val="000000"/>
          <w:kern w:val="0"/>
          <w:sz w:val="20"/>
          <w:szCs w:val="20"/>
        </w:rPr>
        <w:t xml:space="preserve"># </w:t>
      </w:r>
      <w:r>
        <w:rPr>
          <w:rFonts w:ascii="方正书宋_GBK" w:hAnsi="方正书宋_GBK" w:eastAsia="方正书宋_GBK"/>
          <w:color w:val="000000"/>
          <w:kern w:val="0"/>
          <w:sz w:val="20"/>
          <w:szCs w:val="20"/>
        </w:rPr>
        <w:t>区域能源供应部门能源活动</w:t>
      </w:r>
    </w:p>
    <w:p w14:paraId="4520480E">
      <w:pPr>
        <w:ind w:firstLine="0" w:firstLineChars="0"/>
        <w:rPr>
          <w:rFonts w:eastAsia="方正书宋_GBK"/>
          <w:color w:val="000000"/>
          <w:kern w:val="0"/>
          <w:sz w:val="20"/>
          <w:szCs w:val="20"/>
        </w:rPr>
      </w:pPr>
      <w:r>
        <w:rPr>
          <w:rFonts w:eastAsia="方正书宋_GBK"/>
          <w:color w:val="000000"/>
          <w:kern w:val="0"/>
          <w:sz w:val="20"/>
          <w:szCs w:val="20"/>
        </w:rPr>
        <w:t>u=np.array([11202.09, 13919.43, 14632.96, 14246.39, 14246.39,13201.16, 13755.52, 14359.98, 15059.63, 14608.89, 13915.33])</w:t>
      </w:r>
    </w:p>
    <w:p w14:paraId="02790E31">
      <w:pPr>
        <w:ind w:firstLine="0" w:firstLineChars="0"/>
        <w:rPr>
          <w:rFonts w:eastAsia="方正书宋_GBK"/>
          <w:color w:val="000000"/>
          <w:kern w:val="0"/>
          <w:sz w:val="20"/>
          <w:szCs w:val="20"/>
        </w:rPr>
      </w:pPr>
      <w:r>
        <w:rPr>
          <w:rFonts w:eastAsia="方正书宋_GBK"/>
          <w:color w:val="000000"/>
          <w:kern w:val="0"/>
          <w:sz w:val="20"/>
          <w:szCs w:val="20"/>
        </w:rPr>
        <w:t xml:space="preserve"># </w:t>
      </w:r>
      <w:r>
        <w:rPr>
          <w:rFonts w:ascii="方正书宋_GBK" w:hAnsi="方正书宋_GBK" w:eastAsia="方正书宋_GBK"/>
          <w:color w:val="000000"/>
          <w:kern w:val="0"/>
          <w:sz w:val="20"/>
          <w:szCs w:val="20"/>
        </w:rPr>
        <w:t>区域部门清洁能源占比均值</w:t>
      </w:r>
    </w:p>
    <w:p w14:paraId="79221DC0">
      <w:pPr>
        <w:ind w:firstLine="0" w:firstLineChars="0"/>
        <w:rPr>
          <w:rFonts w:eastAsia="方正书宋_GBK"/>
          <w:color w:val="000000"/>
          <w:kern w:val="0"/>
          <w:sz w:val="20"/>
          <w:szCs w:val="20"/>
        </w:rPr>
      </w:pPr>
      <w:r>
        <w:rPr>
          <w:rFonts w:eastAsia="方正书宋_GBK"/>
          <w:color w:val="000000"/>
          <w:kern w:val="0"/>
          <w:sz w:val="20"/>
          <w:szCs w:val="20"/>
        </w:rPr>
        <w:t>i3=np.array([0.32, 0.33 ,0.33 , 0.36 ,0.36 , 0.37 ,0.39 , 0.41 , 0.42 , 0.43 , 0.44 ])</w:t>
      </w:r>
    </w:p>
    <w:p w14:paraId="2CDC588C">
      <w:pPr>
        <w:ind w:firstLine="0" w:firstLineChars="0"/>
        <w:rPr>
          <w:rFonts w:eastAsia="方正书宋_GBK"/>
          <w:color w:val="000000"/>
          <w:kern w:val="0"/>
          <w:sz w:val="20"/>
          <w:szCs w:val="20"/>
        </w:rPr>
      </w:pPr>
      <w:r>
        <w:rPr>
          <w:rFonts w:eastAsia="方正书宋_GBK"/>
          <w:color w:val="000000"/>
          <w:kern w:val="0"/>
          <w:sz w:val="20"/>
          <w:szCs w:val="20"/>
        </w:rPr>
        <w:t xml:space="preserve"># </w:t>
      </w:r>
      <w:r>
        <w:rPr>
          <w:rFonts w:ascii="方正书宋_GBK" w:hAnsi="方正书宋_GBK" w:eastAsia="方正书宋_GBK"/>
          <w:color w:val="000000"/>
          <w:kern w:val="0"/>
          <w:sz w:val="20"/>
          <w:szCs w:val="20"/>
        </w:rPr>
        <w:t>区域石化能源消费总量</w:t>
      </w:r>
    </w:p>
    <w:p w14:paraId="1C3DBEC4">
      <w:pPr>
        <w:ind w:firstLine="0" w:firstLineChars="0"/>
        <w:rPr>
          <w:rFonts w:eastAsia="方正书宋_GBK"/>
          <w:color w:val="000000"/>
          <w:kern w:val="0"/>
          <w:sz w:val="20"/>
          <w:szCs w:val="20"/>
        </w:rPr>
      </w:pPr>
      <w:r>
        <w:rPr>
          <w:rFonts w:eastAsia="方正书宋_GBK"/>
          <w:color w:val="000000"/>
          <w:kern w:val="0"/>
          <w:sz w:val="20"/>
          <w:szCs w:val="20"/>
        </w:rPr>
        <w:t>e=np.array([21839.31, 24883.94, 25607.44, 25513.70, 25179.45, 25575.04, 26318.78, 25875.79, 25718.84, 26204.14, 25447.70])</w:t>
      </w:r>
    </w:p>
    <w:p w14:paraId="07CC18C2">
      <w:pPr>
        <w:ind w:firstLine="0" w:firstLineChars="0"/>
        <w:rPr>
          <w:rFonts w:eastAsia="方正书宋_GBK"/>
          <w:color w:val="000000"/>
          <w:kern w:val="0"/>
          <w:sz w:val="20"/>
          <w:szCs w:val="20"/>
        </w:rPr>
      </w:pPr>
      <w:r>
        <w:rPr>
          <w:rFonts w:eastAsia="方正书宋_GBK"/>
          <w:color w:val="000000"/>
          <w:kern w:val="0"/>
          <w:sz w:val="20"/>
          <w:szCs w:val="20"/>
        </w:rPr>
        <w:t xml:space="preserve"># </w:t>
      </w:r>
      <w:r>
        <w:rPr>
          <w:rFonts w:ascii="方正书宋_GBK" w:hAnsi="方正书宋_GBK" w:eastAsia="方正书宋_GBK"/>
          <w:color w:val="000000"/>
          <w:kern w:val="0"/>
          <w:sz w:val="20"/>
          <w:szCs w:val="20"/>
        </w:rPr>
        <w:t>区域单位</w:t>
      </w:r>
      <w:r>
        <w:rPr>
          <w:rFonts w:eastAsia="方正书宋_GBK"/>
          <w:color w:val="000000"/>
          <w:kern w:val="0"/>
          <w:sz w:val="20"/>
          <w:szCs w:val="20"/>
        </w:rPr>
        <w:t>GDP</w:t>
      </w:r>
      <w:r>
        <w:rPr>
          <w:rFonts w:ascii="方正书宋_GBK" w:hAnsi="方正书宋_GBK" w:eastAsia="方正书宋_GBK"/>
          <w:color w:val="000000"/>
          <w:kern w:val="0"/>
          <w:sz w:val="20"/>
          <w:szCs w:val="20"/>
        </w:rPr>
        <w:t xml:space="preserve">能耗  </w:t>
      </w:r>
      <w:r>
        <w:rPr>
          <w:rFonts w:eastAsia="方正书宋_GBK"/>
          <w:color w:val="000000"/>
          <w:kern w:val="0"/>
          <w:sz w:val="20"/>
          <w:szCs w:val="20"/>
        </w:rPr>
        <w:t>X15</w:t>
      </w:r>
    </w:p>
    <w:p w14:paraId="3BDE7CC1">
      <w:pPr>
        <w:ind w:firstLine="0" w:firstLineChars="0"/>
        <w:rPr>
          <w:rFonts w:eastAsia="方正书宋_GBK"/>
          <w:color w:val="000000"/>
          <w:kern w:val="0"/>
          <w:sz w:val="20"/>
          <w:szCs w:val="20"/>
        </w:rPr>
      </w:pPr>
      <w:r>
        <w:rPr>
          <w:rFonts w:eastAsia="方正书宋_GBK"/>
          <w:color w:val="000000"/>
          <w:kern w:val="0"/>
          <w:sz w:val="20"/>
          <w:szCs w:val="20"/>
        </w:rPr>
        <w:t>ei=np.array([0.57, 0.58, 0.55, 0.51,0.47, 0.44, 0.42 , 0.40,0.39, 0.38 , 0.35])</w:t>
      </w:r>
    </w:p>
    <w:p w14:paraId="6164CD61">
      <w:pPr>
        <w:ind w:firstLine="0" w:firstLineChars="0"/>
        <w:rPr>
          <w:rFonts w:eastAsia="方正书宋_GBK"/>
          <w:color w:val="000000"/>
          <w:kern w:val="0"/>
          <w:sz w:val="20"/>
          <w:szCs w:val="20"/>
        </w:rPr>
      </w:pPr>
      <w:r>
        <w:rPr>
          <w:rFonts w:eastAsia="方正书宋_GBK"/>
          <w:color w:val="000000"/>
          <w:kern w:val="0"/>
          <w:sz w:val="20"/>
          <w:szCs w:val="20"/>
        </w:rPr>
        <w:t>#A</w:t>
      </w:r>
      <w:r>
        <w:rPr>
          <w:rFonts w:ascii="方正书宋_GBK" w:hAnsi="方正书宋_GBK" w:eastAsia="方正书宋_GBK"/>
          <w:color w:val="000000"/>
          <w:kern w:val="0"/>
          <w:sz w:val="20"/>
          <w:szCs w:val="20"/>
        </w:rPr>
        <w:t>市能源强度</w:t>
      </w:r>
    </w:p>
    <w:p w14:paraId="7327F733">
      <w:pPr>
        <w:ind w:firstLine="0" w:firstLineChars="0"/>
        <w:rPr>
          <w:rFonts w:eastAsia="方正书宋_GBK"/>
          <w:color w:val="000000"/>
          <w:kern w:val="0"/>
          <w:sz w:val="20"/>
          <w:szCs w:val="20"/>
        </w:rPr>
      </w:pPr>
      <w:r>
        <w:rPr>
          <w:rFonts w:eastAsia="方正书宋_GBK"/>
          <w:color w:val="000000"/>
          <w:kern w:val="0"/>
          <w:sz w:val="20"/>
          <w:szCs w:val="20"/>
        </w:rPr>
        <w:t>#ei=np.array([0.70, 0.71, 0.67, 0.56, 0.50, 0.48, 0.43, 0.41, 0.39, 0.30, 0.28, 0.27])</w:t>
      </w:r>
    </w:p>
    <w:p w14:paraId="5F434E1F">
      <w:pPr>
        <w:ind w:firstLine="0" w:firstLineChars="0"/>
        <w:rPr>
          <w:rFonts w:eastAsia="方正书宋_GBK"/>
          <w:color w:val="000000"/>
          <w:kern w:val="0"/>
          <w:sz w:val="20"/>
          <w:szCs w:val="20"/>
        </w:rPr>
      </w:pPr>
      <w:r>
        <w:rPr>
          <w:rFonts w:eastAsia="方正书宋_GBK"/>
          <w:color w:val="000000"/>
          <w:kern w:val="0"/>
          <w:sz w:val="20"/>
          <w:szCs w:val="20"/>
        </w:rPr>
        <w:t xml:space="preserve"># </w:t>
      </w:r>
      <w:r>
        <w:rPr>
          <w:rFonts w:ascii="方正书宋_GBK" w:hAnsi="方正书宋_GBK" w:eastAsia="方正书宋_GBK"/>
          <w:color w:val="000000"/>
          <w:kern w:val="0"/>
          <w:sz w:val="20"/>
          <w:szCs w:val="20"/>
        </w:rPr>
        <w:t>取对数</w:t>
      </w:r>
    </w:p>
    <w:p w14:paraId="3418D900">
      <w:pPr>
        <w:ind w:firstLine="0" w:firstLineChars="0"/>
        <w:rPr>
          <w:rFonts w:eastAsia="方正书宋_GBK"/>
          <w:color w:val="000000"/>
          <w:kern w:val="0"/>
          <w:sz w:val="20"/>
          <w:szCs w:val="20"/>
        </w:rPr>
      </w:pPr>
      <w:r>
        <w:rPr>
          <w:rFonts w:eastAsia="方正书宋_GBK"/>
          <w:color w:val="000000"/>
          <w:kern w:val="0"/>
          <w:sz w:val="20"/>
          <w:szCs w:val="20"/>
        </w:rPr>
        <w:t>gI=np.log(I)</w:t>
      </w:r>
    </w:p>
    <w:p w14:paraId="38499165">
      <w:pPr>
        <w:ind w:firstLine="0" w:firstLineChars="0"/>
        <w:rPr>
          <w:rFonts w:eastAsia="方正书宋_GBK"/>
          <w:color w:val="000000"/>
          <w:kern w:val="0"/>
          <w:sz w:val="20"/>
          <w:szCs w:val="20"/>
        </w:rPr>
      </w:pPr>
      <w:r>
        <w:rPr>
          <w:rFonts w:eastAsia="方正书宋_GBK"/>
          <w:color w:val="000000"/>
          <w:kern w:val="0"/>
          <w:sz w:val="20"/>
          <w:szCs w:val="20"/>
        </w:rPr>
        <w:t>gp=np.log(p)</w:t>
      </w:r>
    </w:p>
    <w:p w14:paraId="795B9299">
      <w:pPr>
        <w:ind w:firstLine="0" w:firstLineChars="0"/>
        <w:rPr>
          <w:rFonts w:eastAsia="方正书宋_GBK"/>
          <w:color w:val="000000"/>
          <w:kern w:val="0"/>
          <w:sz w:val="20"/>
          <w:szCs w:val="20"/>
        </w:rPr>
      </w:pPr>
      <w:r>
        <w:rPr>
          <w:rFonts w:eastAsia="方正书宋_GBK"/>
          <w:color w:val="000000"/>
          <w:kern w:val="0"/>
          <w:sz w:val="20"/>
          <w:szCs w:val="20"/>
        </w:rPr>
        <w:t>ga=np.log(a)</w:t>
      </w:r>
    </w:p>
    <w:p w14:paraId="4913FFA7">
      <w:pPr>
        <w:ind w:firstLine="0" w:firstLineChars="0"/>
        <w:rPr>
          <w:rFonts w:eastAsia="方正书宋_GBK"/>
          <w:color w:val="000000"/>
          <w:kern w:val="0"/>
          <w:sz w:val="20"/>
          <w:szCs w:val="20"/>
        </w:rPr>
      </w:pPr>
      <w:r>
        <w:rPr>
          <w:rFonts w:eastAsia="方正书宋_GBK"/>
          <w:color w:val="000000"/>
          <w:kern w:val="0"/>
          <w:sz w:val="20"/>
          <w:szCs w:val="20"/>
        </w:rPr>
        <w:t>gu=np.log(u)</w:t>
      </w:r>
    </w:p>
    <w:p w14:paraId="1F437E1D">
      <w:pPr>
        <w:ind w:firstLine="0" w:firstLineChars="0"/>
        <w:rPr>
          <w:rFonts w:eastAsia="方正书宋_GBK"/>
          <w:color w:val="000000"/>
          <w:kern w:val="0"/>
          <w:sz w:val="20"/>
          <w:szCs w:val="20"/>
        </w:rPr>
      </w:pPr>
      <w:r>
        <w:rPr>
          <w:rFonts w:eastAsia="方正书宋_GBK"/>
          <w:color w:val="000000"/>
          <w:kern w:val="0"/>
          <w:sz w:val="20"/>
          <w:szCs w:val="20"/>
        </w:rPr>
        <w:t>gi3=np.log(i3)</w:t>
      </w:r>
    </w:p>
    <w:p w14:paraId="7B49ED35">
      <w:pPr>
        <w:ind w:firstLine="0" w:firstLineChars="0"/>
        <w:rPr>
          <w:rFonts w:eastAsia="方正书宋_GBK"/>
          <w:color w:val="000000"/>
          <w:kern w:val="0"/>
          <w:sz w:val="20"/>
          <w:szCs w:val="20"/>
        </w:rPr>
      </w:pPr>
      <w:r>
        <w:rPr>
          <w:rFonts w:eastAsia="方正书宋_GBK"/>
          <w:color w:val="000000"/>
          <w:kern w:val="0"/>
          <w:sz w:val="20"/>
          <w:szCs w:val="20"/>
        </w:rPr>
        <w:t>ge=np.log(e)</w:t>
      </w:r>
    </w:p>
    <w:p w14:paraId="5E1DFFD1">
      <w:pPr>
        <w:ind w:firstLine="0" w:firstLineChars="0"/>
        <w:rPr>
          <w:rFonts w:eastAsia="方正书宋_GBK"/>
          <w:color w:val="000000"/>
          <w:kern w:val="0"/>
          <w:sz w:val="20"/>
          <w:szCs w:val="20"/>
        </w:rPr>
      </w:pPr>
      <w:r>
        <w:rPr>
          <w:rFonts w:eastAsia="方正书宋_GBK"/>
          <w:color w:val="000000"/>
          <w:kern w:val="0"/>
          <w:sz w:val="20"/>
          <w:szCs w:val="20"/>
        </w:rPr>
        <w:t>gei=np.log(ei)</w:t>
      </w:r>
    </w:p>
    <w:p w14:paraId="3FEBCE9E">
      <w:pPr>
        <w:ind w:firstLine="0" w:firstLineChars="0"/>
        <w:rPr>
          <w:rFonts w:eastAsia="方正书宋_GBK"/>
          <w:color w:val="000000"/>
          <w:kern w:val="0"/>
          <w:sz w:val="20"/>
          <w:szCs w:val="20"/>
        </w:rPr>
      </w:pPr>
      <w:r>
        <w:rPr>
          <w:rFonts w:eastAsia="方正书宋_GBK"/>
          <w:color w:val="000000"/>
          <w:kern w:val="0"/>
          <w:sz w:val="20"/>
          <w:szCs w:val="20"/>
        </w:rPr>
        <w:t xml:space="preserve"># </w:t>
      </w:r>
      <w:r>
        <w:rPr>
          <w:rFonts w:ascii="方正书宋_GBK" w:hAnsi="方正书宋_GBK" w:eastAsia="方正书宋_GBK"/>
          <w:color w:val="000000"/>
          <w:kern w:val="0"/>
          <w:sz w:val="20"/>
          <w:szCs w:val="20"/>
        </w:rPr>
        <w:t>由于每个数据的单位不一样，先将数据进行均值为</w:t>
      </w:r>
      <w:r>
        <w:rPr>
          <w:rFonts w:eastAsia="方正书宋_GBK"/>
          <w:color w:val="000000"/>
          <w:kern w:val="0"/>
          <w:sz w:val="20"/>
          <w:szCs w:val="20"/>
        </w:rPr>
        <w:t>0</w:t>
      </w:r>
      <w:r>
        <w:rPr>
          <w:rFonts w:ascii="方正书宋_GBK" w:hAnsi="方正书宋_GBK" w:eastAsia="方正书宋_GBK"/>
          <w:color w:val="000000"/>
          <w:kern w:val="0"/>
          <w:sz w:val="20"/>
          <w:szCs w:val="20"/>
        </w:rPr>
        <w:t>，方差为</w:t>
      </w:r>
      <w:r>
        <w:rPr>
          <w:rFonts w:eastAsia="方正书宋_GBK"/>
          <w:color w:val="000000"/>
          <w:kern w:val="0"/>
          <w:sz w:val="20"/>
          <w:szCs w:val="20"/>
        </w:rPr>
        <w:t>1</w:t>
      </w:r>
      <w:r>
        <w:rPr>
          <w:rFonts w:ascii="方正书宋_GBK" w:hAnsi="方正书宋_GBK" w:eastAsia="方正书宋_GBK"/>
          <w:color w:val="000000"/>
          <w:kern w:val="0"/>
          <w:sz w:val="20"/>
          <w:szCs w:val="20"/>
        </w:rPr>
        <w:t>的标准化处理</w:t>
      </w:r>
    </w:p>
    <w:p w14:paraId="54624722">
      <w:pPr>
        <w:ind w:firstLine="0" w:firstLineChars="0"/>
        <w:rPr>
          <w:rFonts w:eastAsia="方正书宋_GBK"/>
          <w:color w:val="000000"/>
          <w:kern w:val="0"/>
          <w:sz w:val="20"/>
          <w:szCs w:val="20"/>
        </w:rPr>
      </w:pPr>
      <w:r>
        <w:rPr>
          <w:rFonts w:eastAsia="方正书宋_GBK"/>
          <w:color w:val="000000"/>
          <w:kern w:val="0"/>
          <w:sz w:val="20"/>
          <w:szCs w:val="20"/>
        </w:rPr>
        <w:t>gI = (gI-np.mean(gI))/np.std(gI)</w:t>
      </w:r>
    </w:p>
    <w:p w14:paraId="594FC4FB">
      <w:pPr>
        <w:ind w:firstLine="0" w:firstLineChars="0"/>
        <w:rPr>
          <w:rFonts w:eastAsia="方正书宋_GBK"/>
          <w:color w:val="000000"/>
          <w:kern w:val="0"/>
          <w:sz w:val="20"/>
          <w:szCs w:val="20"/>
        </w:rPr>
      </w:pPr>
      <w:r>
        <w:rPr>
          <w:rFonts w:eastAsia="方正书宋_GBK"/>
          <w:color w:val="000000"/>
          <w:kern w:val="0"/>
          <w:sz w:val="20"/>
          <w:szCs w:val="20"/>
        </w:rPr>
        <w:t>gp = (gp-np.mean(gp))/np.std(gp)</w:t>
      </w:r>
    </w:p>
    <w:p w14:paraId="6444C505">
      <w:pPr>
        <w:ind w:firstLine="0" w:firstLineChars="0"/>
        <w:rPr>
          <w:rFonts w:eastAsia="方正书宋_GBK"/>
          <w:color w:val="000000"/>
          <w:kern w:val="0"/>
          <w:sz w:val="20"/>
          <w:szCs w:val="20"/>
        </w:rPr>
      </w:pPr>
      <w:r>
        <w:rPr>
          <w:rFonts w:eastAsia="方正书宋_GBK"/>
          <w:color w:val="000000"/>
          <w:kern w:val="0"/>
          <w:sz w:val="20"/>
          <w:szCs w:val="20"/>
        </w:rPr>
        <w:t>ga = (ga-np.mean(ga))/np.std(ga)</w:t>
      </w:r>
    </w:p>
    <w:p w14:paraId="3D4749FA">
      <w:pPr>
        <w:ind w:firstLine="0" w:firstLineChars="0"/>
        <w:rPr>
          <w:rFonts w:eastAsia="方正书宋_GBK"/>
          <w:color w:val="000000"/>
          <w:kern w:val="0"/>
          <w:sz w:val="20"/>
          <w:szCs w:val="20"/>
        </w:rPr>
      </w:pPr>
      <w:r>
        <w:rPr>
          <w:rFonts w:eastAsia="方正书宋_GBK"/>
          <w:color w:val="000000"/>
          <w:kern w:val="0"/>
          <w:sz w:val="20"/>
          <w:szCs w:val="20"/>
        </w:rPr>
        <w:t>gu = (gu-np.mean(gu))/np.std(gu)</w:t>
      </w:r>
    </w:p>
    <w:p w14:paraId="72EDCAA4">
      <w:pPr>
        <w:ind w:firstLine="0" w:firstLineChars="0"/>
        <w:rPr>
          <w:rFonts w:eastAsia="方正书宋_GBK"/>
          <w:color w:val="000000"/>
          <w:kern w:val="0"/>
          <w:sz w:val="20"/>
          <w:szCs w:val="20"/>
        </w:rPr>
      </w:pPr>
      <w:r>
        <w:rPr>
          <w:rFonts w:eastAsia="方正书宋_GBK"/>
          <w:color w:val="000000"/>
          <w:kern w:val="0"/>
          <w:sz w:val="20"/>
          <w:szCs w:val="20"/>
        </w:rPr>
        <w:t>gi3 = (gi3-np.mean(gi3))/np.std(gi3)</w:t>
      </w:r>
    </w:p>
    <w:p w14:paraId="2783F914">
      <w:pPr>
        <w:ind w:firstLine="0" w:firstLineChars="0"/>
        <w:rPr>
          <w:rFonts w:eastAsia="方正书宋_GBK"/>
          <w:color w:val="000000"/>
          <w:kern w:val="0"/>
          <w:sz w:val="20"/>
          <w:szCs w:val="20"/>
        </w:rPr>
      </w:pPr>
      <w:r>
        <w:rPr>
          <w:rFonts w:eastAsia="方正书宋_GBK"/>
          <w:color w:val="000000"/>
          <w:kern w:val="0"/>
          <w:sz w:val="20"/>
          <w:szCs w:val="20"/>
        </w:rPr>
        <w:t>ge = (ge-np.mean(ge))/np.std(ge)</w:t>
      </w:r>
    </w:p>
    <w:p w14:paraId="0CF745B7">
      <w:pPr>
        <w:ind w:firstLine="0" w:firstLineChars="0"/>
        <w:rPr>
          <w:rFonts w:eastAsia="方正书宋_GBK"/>
          <w:color w:val="000000"/>
          <w:kern w:val="0"/>
          <w:sz w:val="20"/>
          <w:szCs w:val="20"/>
        </w:rPr>
      </w:pPr>
      <w:r>
        <w:rPr>
          <w:rFonts w:eastAsia="方正书宋_GBK"/>
          <w:color w:val="000000"/>
          <w:kern w:val="0"/>
          <w:sz w:val="20"/>
          <w:szCs w:val="20"/>
        </w:rPr>
        <w:t>gei = (gei-np.mean(gei))/np.std(gei)</w:t>
      </w:r>
    </w:p>
    <w:p w14:paraId="053A41F8">
      <w:pPr>
        <w:ind w:firstLine="0" w:firstLineChars="0"/>
        <w:rPr>
          <w:rFonts w:eastAsia="方正书宋_GBK"/>
          <w:color w:val="000000"/>
          <w:kern w:val="0"/>
          <w:sz w:val="20"/>
          <w:szCs w:val="20"/>
        </w:rPr>
      </w:pPr>
      <w:r>
        <w:rPr>
          <w:rFonts w:eastAsia="方正书宋_GBK"/>
          <w:color w:val="000000"/>
          <w:kern w:val="0"/>
          <w:sz w:val="20"/>
          <w:szCs w:val="20"/>
        </w:rPr>
        <w:t xml:space="preserve"> </w:t>
      </w:r>
    </w:p>
    <w:p w14:paraId="27017B52">
      <w:pPr>
        <w:ind w:firstLine="0" w:firstLineChars="0"/>
        <w:rPr>
          <w:rFonts w:eastAsia="方正书宋_GBK"/>
          <w:color w:val="000000"/>
          <w:kern w:val="0"/>
          <w:sz w:val="20"/>
          <w:szCs w:val="20"/>
        </w:rPr>
      </w:pPr>
      <w:r>
        <w:rPr>
          <w:rFonts w:eastAsia="方正书宋_GBK"/>
          <w:color w:val="000000"/>
          <w:kern w:val="0"/>
          <w:sz w:val="20"/>
          <w:szCs w:val="20"/>
        </w:rPr>
        <w:t>from patsy import dmatrices</w:t>
      </w:r>
    </w:p>
    <w:p w14:paraId="7EE4C36A">
      <w:pPr>
        <w:ind w:firstLine="0" w:firstLineChars="0"/>
        <w:rPr>
          <w:rFonts w:eastAsia="方正书宋_GBK"/>
          <w:color w:val="000000"/>
          <w:kern w:val="0"/>
          <w:sz w:val="20"/>
          <w:szCs w:val="20"/>
        </w:rPr>
      </w:pPr>
      <w:r>
        <w:rPr>
          <w:rFonts w:eastAsia="方正书宋_GBK"/>
          <w:color w:val="000000"/>
          <w:kern w:val="0"/>
          <w:sz w:val="20"/>
          <w:szCs w:val="20"/>
        </w:rPr>
        <w:t>from statsmodels.stats.outliers_influence import variance_inflation_factor</w:t>
      </w:r>
    </w:p>
    <w:p w14:paraId="2929B66A">
      <w:pPr>
        <w:ind w:firstLine="0" w:firstLineChars="0"/>
        <w:rPr>
          <w:rFonts w:eastAsia="方正书宋_GBK"/>
          <w:color w:val="000000"/>
          <w:kern w:val="0"/>
          <w:sz w:val="20"/>
          <w:szCs w:val="20"/>
        </w:rPr>
      </w:pPr>
      <w:r>
        <w:rPr>
          <w:rFonts w:eastAsia="方正书宋_GBK"/>
          <w:color w:val="000000"/>
          <w:kern w:val="0"/>
          <w:sz w:val="20"/>
          <w:szCs w:val="20"/>
        </w:rPr>
        <w:t>import pandas as pd</w:t>
      </w:r>
    </w:p>
    <w:p w14:paraId="4047D28E">
      <w:pPr>
        <w:ind w:firstLine="0" w:firstLineChars="0"/>
        <w:rPr>
          <w:rFonts w:eastAsia="方正书宋_GBK"/>
          <w:color w:val="000000"/>
          <w:kern w:val="0"/>
          <w:sz w:val="20"/>
          <w:szCs w:val="20"/>
        </w:rPr>
      </w:pPr>
      <w:r>
        <w:rPr>
          <w:rFonts w:eastAsia="方正书宋_GBK"/>
          <w:color w:val="000000"/>
          <w:kern w:val="0"/>
          <w:sz w:val="20"/>
          <w:szCs w:val="20"/>
        </w:rPr>
        <w:t>df = pd.DataFrame({'I': gI,'p': gp,'a': ga, 'u': gu, 'i3': gi3, 'e': ge, 'ei': gei})</w:t>
      </w:r>
    </w:p>
    <w:p w14:paraId="1E656775">
      <w:pPr>
        <w:ind w:firstLine="0" w:firstLineChars="0"/>
        <w:rPr>
          <w:rFonts w:eastAsia="方正书宋_GBK"/>
          <w:color w:val="000000"/>
          <w:kern w:val="0"/>
          <w:sz w:val="20"/>
          <w:szCs w:val="20"/>
        </w:rPr>
      </w:pPr>
      <w:r>
        <w:rPr>
          <w:rFonts w:eastAsia="方正书宋_GBK"/>
          <w:color w:val="000000"/>
          <w:kern w:val="0"/>
          <w:sz w:val="20"/>
          <w:szCs w:val="20"/>
        </w:rPr>
        <w:t># build design matrix for linear regression model</w:t>
      </w:r>
      <w:r>
        <w:rPr>
          <w:rFonts w:ascii="方正书宋_GBK" w:hAnsi="方正书宋_GBK" w:eastAsia="方正书宋_GBK"/>
          <w:color w:val="000000"/>
          <w:kern w:val="0"/>
          <w:sz w:val="20"/>
          <w:szCs w:val="20"/>
        </w:rPr>
        <w:t>（将</w:t>
      </w:r>
      <w:r>
        <w:rPr>
          <w:rFonts w:eastAsia="方正书宋_GBK"/>
          <w:color w:val="000000"/>
          <w:kern w:val="0"/>
          <w:sz w:val="20"/>
          <w:szCs w:val="20"/>
        </w:rPr>
        <w:t>dataframe</w:t>
      </w:r>
      <w:r>
        <w:rPr>
          <w:rFonts w:ascii="方正书宋_GBK" w:hAnsi="方正书宋_GBK" w:eastAsia="方正书宋_GBK"/>
          <w:color w:val="000000"/>
          <w:kern w:val="0"/>
          <w:sz w:val="20"/>
          <w:szCs w:val="20"/>
        </w:rPr>
        <w:t>格式数据整理成回归算法可用的格式（包含</w:t>
      </w:r>
      <w:r>
        <w:rPr>
          <w:rFonts w:eastAsia="方正书宋_GBK"/>
          <w:color w:val="000000"/>
          <w:kern w:val="0"/>
          <w:sz w:val="20"/>
          <w:szCs w:val="20"/>
        </w:rPr>
        <w:t>intercept</w:t>
      </w:r>
      <w:r>
        <w:rPr>
          <w:rFonts w:ascii="方正书宋_GBK" w:hAnsi="方正书宋_GBK" w:eastAsia="方正书宋_GBK"/>
          <w:color w:val="000000"/>
          <w:kern w:val="0"/>
          <w:sz w:val="20"/>
          <w:szCs w:val="20"/>
        </w:rPr>
        <w:t>项））</w:t>
      </w:r>
    </w:p>
    <w:p w14:paraId="333EAD20">
      <w:pPr>
        <w:ind w:firstLine="0" w:firstLineChars="0"/>
        <w:rPr>
          <w:rFonts w:eastAsia="方正书宋_GBK"/>
          <w:color w:val="000000"/>
          <w:kern w:val="0"/>
          <w:sz w:val="20"/>
          <w:szCs w:val="20"/>
        </w:rPr>
      </w:pPr>
      <w:r>
        <w:rPr>
          <w:rFonts w:eastAsia="方正书宋_GBK"/>
          <w:color w:val="000000"/>
          <w:kern w:val="0"/>
          <w:sz w:val="20"/>
          <w:szCs w:val="20"/>
        </w:rPr>
        <w:t xml:space="preserve">Y, X = dmatrices('I ~ p+a+u+i3+e+ei', data=df, return_type='dataframe') </w:t>
      </w:r>
    </w:p>
    <w:p w14:paraId="06847241">
      <w:pPr>
        <w:ind w:firstLine="0" w:firstLineChars="0"/>
        <w:rPr>
          <w:rFonts w:eastAsia="方正书宋_GBK"/>
          <w:color w:val="000000"/>
          <w:kern w:val="0"/>
          <w:sz w:val="20"/>
          <w:szCs w:val="20"/>
        </w:rPr>
      </w:pPr>
      <w:r>
        <w:rPr>
          <w:rFonts w:eastAsia="方正书宋_GBK"/>
          <w:color w:val="000000"/>
          <w:kern w:val="0"/>
          <w:sz w:val="20"/>
          <w:szCs w:val="20"/>
        </w:rPr>
        <w:t>#calculate VIF for each explanatory variable</w:t>
      </w:r>
    </w:p>
    <w:p w14:paraId="221FE1FC">
      <w:pPr>
        <w:ind w:firstLine="0" w:firstLineChars="0"/>
        <w:rPr>
          <w:rFonts w:eastAsia="方正书宋_GBK"/>
          <w:color w:val="000000"/>
          <w:kern w:val="0"/>
          <w:sz w:val="20"/>
          <w:szCs w:val="20"/>
        </w:rPr>
      </w:pPr>
      <w:r>
        <w:rPr>
          <w:rFonts w:eastAsia="方正书宋_GBK"/>
          <w:color w:val="000000"/>
          <w:kern w:val="0"/>
          <w:sz w:val="20"/>
          <w:szCs w:val="20"/>
        </w:rPr>
        <w:t>vif = pd.DataFrame()</w:t>
      </w:r>
    </w:p>
    <w:p w14:paraId="3C2D4721">
      <w:pPr>
        <w:ind w:firstLine="0" w:firstLineChars="0"/>
        <w:rPr>
          <w:rFonts w:eastAsia="方正书宋_GBK"/>
          <w:color w:val="000000"/>
          <w:kern w:val="0"/>
          <w:sz w:val="20"/>
          <w:szCs w:val="20"/>
        </w:rPr>
      </w:pPr>
      <w:r>
        <w:rPr>
          <w:rFonts w:eastAsia="方正书宋_GBK"/>
          <w:color w:val="000000"/>
          <w:kern w:val="0"/>
          <w:sz w:val="20"/>
          <w:szCs w:val="20"/>
        </w:rPr>
        <w:t>vif['VIF'] = [variance_inflation_factor(X.values, i) for i in range(X.shape[1])]</w:t>
      </w:r>
    </w:p>
    <w:p w14:paraId="300E9AE0">
      <w:pPr>
        <w:ind w:firstLine="0" w:firstLineChars="0"/>
        <w:rPr>
          <w:rFonts w:eastAsia="方正书宋_GBK"/>
          <w:color w:val="000000"/>
          <w:kern w:val="0"/>
          <w:sz w:val="20"/>
          <w:szCs w:val="20"/>
        </w:rPr>
      </w:pPr>
      <w:r>
        <w:rPr>
          <w:rFonts w:eastAsia="方正书宋_GBK"/>
          <w:color w:val="000000"/>
          <w:kern w:val="0"/>
          <w:sz w:val="20"/>
          <w:szCs w:val="20"/>
        </w:rPr>
        <w:t>vif['variable'] = X.columns</w:t>
      </w:r>
    </w:p>
    <w:p w14:paraId="3B584DB4">
      <w:pPr>
        <w:ind w:firstLine="0" w:firstLineChars="0"/>
        <w:rPr>
          <w:rFonts w:eastAsia="方正书宋_GBK"/>
          <w:color w:val="000000"/>
          <w:kern w:val="0"/>
          <w:sz w:val="20"/>
          <w:szCs w:val="20"/>
        </w:rPr>
      </w:pPr>
      <w:r>
        <w:rPr>
          <w:rFonts w:eastAsia="方正书宋_GBK"/>
          <w:color w:val="000000"/>
          <w:kern w:val="0"/>
          <w:sz w:val="20"/>
          <w:szCs w:val="20"/>
        </w:rPr>
        <w:t xml:space="preserve">#view VIF for each explanatory variable </w:t>
      </w:r>
    </w:p>
    <w:p w14:paraId="45A9D36C">
      <w:pPr>
        <w:ind w:firstLine="0" w:firstLineChars="0"/>
        <w:rPr>
          <w:rFonts w:eastAsia="方正书宋_GBK"/>
          <w:color w:val="000000"/>
          <w:kern w:val="0"/>
          <w:sz w:val="20"/>
          <w:szCs w:val="20"/>
        </w:rPr>
      </w:pPr>
      <w:r>
        <w:rPr>
          <w:rFonts w:eastAsia="方正书宋_GBK"/>
          <w:color w:val="000000"/>
          <w:kern w:val="0"/>
          <w:sz w:val="20"/>
          <w:szCs w:val="20"/>
        </w:rPr>
        <w:t xml:space="preserve">print(vif)  # </w:t>
      </w:r>
      <w:r>
        <w:rPr>
          <w:rFonts w:ascii="方正书宋_GBK" w:hAnsi="方正书宋_GBK" w:eastAsia="方正书宋_GBK"/>
          <w:color w:val="000000"/>
          <w:kern w:val="0"/>
          <w:sz w:val="20"/>
          <w:szCs w:val="20"/>
        </w:rPr>
        <w:t>除</w:t>
      </w:r>
      <w:r>
        <w:rPr>
          <w:rFonts w:eastAsia="方正书宋_GBK"/>
          <w:color w:val="000000"/>
          <w:kern w:val="0"/>
          <w:sz w:val="20"/>
          <w:szCs w:val="20"/>
        </w:rPr>
        <w:t>e</w:t>
      </w:r>
      <w:r>
        <w:rPr>
          <w:rFonts w:ascii="方正书宋_GBK" w:hAnsi="方正书宋_GBK" w:eastAsia="方正书宋_GBK"/>
          <w:color w:val="000000"/>
          <w:kern w:val="0"/>
          <w:sz w:val="20"/>
          <w:szCs w:val="20"/>
        </w:rPr>
        <w:t>外，每个待选自变量均具有严重的多重共线性问题（</w:t>
      </w:r>
      <w:r>
        <w:rPr>
          <w:rFonts w:eastAsia="方正书宋_GBK"/>
          <w:color w:val="000000"/>
          <w:kern w:val="0"/>
          <w:sz w:val="20"/>
          <w:szCs w:val="20"/>
        </w:rPr>
        <w:t>intercept</w:t>
      </w:r>
      <w:r>
        <w:rPr>
          <w:rFonts w:ascii="方正书宋_GBK" w:hAnsi="方正书宋_GBK" w:eastAsia="方正书宋_GBK"/>
          <w:color w:val="000000"/>
          <w:kern w:val="0"/>
          <w:sz w:val="20"/>
          <w:szCs w:val="20"/>
        </w:rPr>
        <w:t>项不用管）</w:t>
      </w:r>
    </w:p>
    <w:p w14:paraId="1F20B8B1">
      <w:pPr>
        <w:ind w:firstLine="0" w:firstLineChars="0"/>
        <w:rPr>
          <w:rFonts w:eastAsia="方正书宋_GBK"/>
          <w:color w:val="000000"/>
          <w:kern w:val="0"/>
          <w:sz w:val="20"/>
          <w:szCs w:val="20"/>
        </w:rPr>
      </w:pPr>
      <w:r>
        <w:rPr>
          <w:rFonts w:eastAsia="方正书宋_GBK"/>
          <w:color w:val="000000"/>
          <w:kern w:val="0"/>
          <w:sz w:val="20"/>
          <w:szCs w:val="20"/>
        </w:rPr>
        <w:t>print('————————————')</w:t>
      </w:r>
    </w:p>
    <w:p w14:paraId="455A2BB4">
      <w:pPr>
        <w:ind w:firstLine="0" w:firstLineChars="0"/>
        <w:rPr>
          <w:rFonts w:eastAsia="方正书宋_GBK"/>
          <w:color w:val="000000"/>
          <w:kern w:val="0"/>
          <w:sz w:val="20"/>
          <w:szCs w:val="20"/>
        </w:rPr>
      </w:pPr>
      <w:r>
        <w:rPr>
          <w:rFonts w:eastAsia="方正书宋_GBK"/>
          <w:color w:val="000000"/>
          <w:kern w:val="0"/>
          <w:sz w:val="20"/>
          <w:szCs w:val="20"/>
        </w:rPr>
        <w:t>from abess import LinearRegression</w:t>
      </w:r>
    </w:p>
    <w:p w14:paraId="2F4B6438">
      <w:pPr>
        <w:ind w:firstLine="0" w:firstLineChars="0"/>
        <w:rPr>
          <w:rFonts w:eastAsia="方正书宋_GBK"/>
          <w:color w:val="000000"/>
          <w:kern w:val="0"/>
          <w:sz w:val="20"/>
          <w:szCs w:val="20"/>
        </w:rPr>
      </w:pPr>
      <w:r>
        <w:rPr>
          <w:rFonts w:eastAsia="方正书宋_GBK"/>
          <w:color w:val="000000"/>
          <w:kern w:val="0"/>
          <w:sz w:val="20"/>
          <w:szCs w:val="20"/>
        </w:rPr>
        <w:t xml:space="preserve"># </w:t>
      </w:r>
      <w:r>
        <w:rPr>
          <w:rFonts w:ascii="方正书宋_GBK" w:hAnsi="方正书宋_GBK" w:eastAsia="方正书宋_GBK"/>
          <w:color w:val="000000"/>
          <w:kern w:val="0"/>
          <w:sz w:val="20"/>
          <w:szCs w:val="20"/>
        </w:rPr>
        <w:t>构造自变量矩阵：矩阵行坐标是时间，列坐标是不同变量</w:t>
      </w:r>
    </w:p>
    <w:p w14:paraId="7A508B49">
      <w:pPr>
        <w:ind w:firstLine="0" w:firstLineChars="0"/>
        <w:rPr>
          <w:rFonts w:eastAsia="方正书宋_GBK"/>
          <w:color w:val="000000"/>
          <w:kern w:val="0"/>
          <w:sz w:val="20"/>
          <w:szCs w:val="20"/>
        </w:rPr>
      </w:pPr>
      <w:r>
        <w:rPr>
          <w:rFonts w:eastAsia="方正书宋_GBK"/>
          <w:color w:val="000000"/>
          <w:kern w:val="0"/>
          <w:sz w:val="20"/>
          <w:szCs w:val="20"/>
        </w:rPr>
        <w:t>x=np.vstack((gp,ga,gu,gi3,ge,gei)).T</w:t>
      </w:r>
    </w:p>
    <w:p w14:paraId="7EFC72A4">
      <w:pPr>
        <w:ind w:firstLine="0" w:firstLineChars="0"/>
        <w:rPr>
          <w:rFonts w:eastAsia="方正书宋_GBK"/>
          <w:color w:val="000000"/>
          <w:kern w:val="0"/>
          <w:sz w:val="20"/>
          <w:szCs w:val="20"/>
        </w:rPr>
      </w:pPr>
      <w:r>
        <w:rPr>
          <w:rFonts w:eastAsia="方正书宋_GBK"/>
          <w:color w:val="000000"/>
          <w:kern w:val="0"/>
          <w:sz w:val="20"/>
          <w:szCs w:val="20"/>
        </w:rPr>
        <w:t xml:space="preserve"># </w:t>
      </w:r>
      <w:r>
        <w:rPr>
          <w:rFonts w:ascii="方正书宋_GBK" w:hAnsi="方正书宋_GBK" w:eastAsia="方正书宋_GBK"/>
          <w:color w:val="000000"/>
          <w:kern w:val="0"/>
          <w:sz w:val="20"/>
          <w:szCs w:val="20"/>
        </w:rPr>
        <w:t>构造因变量矩阵：矩阵行坐标是时间</w:t>
      </w:r>
    </w:p>
    <w:p w14:paraId="35C6F8FC">
      <w:pPr>
        <w:ind w:firstLine="0" w:firstLineChars="0"/>
        <w:rPr>
          <w:rFonts w:eastAsia="方正书宋_GBK"/>
          <w:color w:val="000000"/>
          <w:kern w:val="0"/>
          <w:sz w:val="20"/>
          <w:szCs w:val="20"/>
        </w:rPr>
      </w:pPr>
      <w:r>
        <w:rPr>
          <w:rFonts w:eastAsia="方正书宋_GBK"/>
          <w:color w:val="000000"/>
          <w:kern w:val="0"/>
          <w:sz w:val="20"/>
          <w:szCs w:val="20"/>
        </w:rPr>
        <w:t>y=gI.</w:t>
      </w:r>
    </w:p>
    <w:p w14:paraId="2D4ABBAE">
      <w:pPr>
        <w:ind w:firstLine="0" w:firstLineChars="0"/>
        <w:rPr>
          <w:rFonts w:eastAsia="方正书宋_GBK"/>
          <w:color w:val="000000"/>
          <w:kern w:val="0"/>
          <w:sz w:val="20"/>
          <w:szCs w:val="20"/>
        </w:rPr>
      </w:pPr>
      <w:r>
        <w:rPr>
          <w:rFonts w:eastAsia="方正书宋_GBK"/>
          <w:color w:val="000000"/>
          <w:kern w:val="0"/>
          <w:sz w:val="20"/>
          <w:szCs w:val="20"/>
        </w:rPr>
        <w:t xml:space="preserve"># </w:t>
      </w:r>
      <w:r>
        <w:rPr>
          <w:rFonts w:ascii="方正书宋_GBK" w:hAnsi="方正书宋_GBK" w:eastAsia="方正书宋_GBK"/>
          <w:color w:val="000000"/>
          <w:kern w:val="0"/>
          <w:sz w:val="20"/>
          <w:szCs w:val="20"/>
        </w:rPr>
        <w:t>利用</w:t>
      </w:r>
      <w:r>
        <w:rPr>
          <w:rFonts w:eastAsia="方正书宋_GBK"/>
          <w:color w:val="000000"/>
          <w:kern w:val="0"/>
          <w:sz w:val="20"/>
          <w:szCs w:val="20"/>
        </w:rPr>
        <w:t>abess</w:t>
      </w:r>
      <w:r>
        <w:rPr>
          <w:rFonts w:ascii="方正书宋_GBK" w:hAnsi="方正书宋_GBK" w:eastAsia="方正书宋_GBK"/>
          <w:color w:val="000000"/>
          <w:kern w:val="0"/>
          <w:sz w:val="20"/>
          <w:szCs w:val="20"/>
        </w:rPr>
        <w:t>寻找最优自变量组合并求出相应的回归系数</w:t>
      </w:r>
    </w:p>
    <w:p w14:paraId="270EDDC6">
      <w:pPr>
        <w:ind w:firstLine="0" w:firstLineChars="0"/>
        <w:rPr>
          <w:rFonts w:eastAsia="方正书宋_GBK"/>
          <w:color w:val="000000"/>
          <w:kern w:val="0"/>
          <w:sz w:val="20"/>
          <w:szCs w:val="20"/>
        </w:rPr>
      </w:pPr>
      <w:r>
        <w:rPr>
          <w:rFonts w:eastAsia="方正书宋_GBK"/>
          <w:color w:val="000000"/>
          <w:kern w:val="0"/>
          <w:sz w:val="20"/>
          <w:szCs w:val="20"/>
        </w:rPr>
        <w:t xml:space="preserve"># support_size: </w:t>
      </w:r>
      <w:r>
        <w:rPr>
          <w:rFonts w:ascii="方正书宋_GBK" w:hAnsi="方正书宋_GBK" w:eastAsia="方正书宋_GBK"/>
          <w:color w:val="000000"/>
          <w:kern w:val="0"/>
          <w:sz w:val="20"/>
          <w:szCs w:val="20"/>
        </w:rPr>
        <w:t>最优自变量个数的搜寻值，</w:t>
      </w:r>
      <w:r>
        <w:rPr>
          <w:rFonts w:eastAsia="方正书宋_GBK"/>
          <w:color w:val="000000"/>
          <w:kern w:val="0"/>
          <w:sz w:val="20"/>
          <w:szCs w:val="20"/>
        </w:rPr>
        <w:t>support_size=range(7)</w:t>
      </w:r>
      <w:r>
        <w:rPr>
          <w:rFonts w:ascii="方正书宋_GBK" w:hAnsi="方正书宋_GBK" w:eastAsia="方正书宋_GBK"/>
          <w:color w:val="000000"/>
          <w:kern w:val="0"/>
          <w:sz w:val="20"/>
          <w:szCs w:val="20"/>
        </w:rPr>
        <w:t>表示从</w:t>
      </w:r>
      <w:r>
        <w:rPr>
          <w:rFonts w:eastAsia="方正书宋_GBK"/>
          <w:color w:val="000000"/>
          <w:kern w:val="0"/>
          <w:sz w:val="20"/>
          <w:szCs w:val="20"/>
        </w:rPr>
        <w:t>0</w:t>
      </w:r>
      <w:r>
        <w:rPr>
          <w:rFonts w:ascii="方正书宋_GBK" w:hAnsi="方正书宋_GBK" w:eastAsia="方正书宋_GBK"/>
          <w:color w:val="000000"/>
          <w:kern w:val="0"/>
          <w:sz w:val="20"/>
          <w:szCs w:val="20"/>
        </w:rPr>
        <w:t>个自变量组合开始搜寻，直至搜寻到</w:t>
      </w:r>
      <w:r>
        <w:rPr>
          <w:rFonts w:eastAsia="方正书宋_GBK"/>
          <w:color w:val="000000"/>
          <w:kern w:val="0"/>
          <w:sz w:val="20"/>
          <w:szCs w:val="20"/>
        </w:rPr>
        <w:t>6</w:t>
      </w:r>
      <w:r>
        <w:rPr>
          <w:rFonts w:ascii="方正书宋_GBK" w:hAnsi="方正书宋_GBK" w:eastAsia="方正书宋_GBK"/>
          <w:color w:val="000000"/>
          <w:kern w:val="0"/>
          <w:sz w:val="20"/>
          <w:szCs w:val="20"/>
        </w:rPr>
        <w:t>个自变量的组合</w:t>
      </w:r>
    </w:p>
    <w:p w14:paraId="005ECD6D">
      <w:pPr>
        <w:ind w:firstLine="0" w:firstLineChars="0"/>
        <w:rPr>
          <w:rFonts w:eastAsia="方正书宋_GBK"/>
          <w:color w:val="000000"/>
          <w:kern w:val="0"/>
          <w:sz w:val="20"/>
          <w:szCs w:val="20"/>
        </w:rPr>
      </w:pPr>
      <w:r>
        <w:rPr>
          <w:rFonts w:eastAsia="方正书宋_GBK"/>
          <w:color w:val="000000"/>
          <w:kern w:val="0"/>
          <w:sz w:val="20"/>
          <w:szCs w:val="20"/>
        </w:rPr>
        <w:t xml:space="preserve"># ic_type='aic': </w:t>
      </w:r>
      <w:r>
        <w:rPr>
          <w:rFonts w:ascii="方正书宋_GBK" w:hAnsi="方正书宋_GBK" w:eastAsia="方正书宋_GBK"/>
          <w:color w:val="000000"/>
          <w:kern w:val="0"/>
          <w:sz w:val="20"/>
          <w:szCs w:val="20"/>
        </w:rPr>
        <w:t>搜寻准则选为</w:t>
      </w:r>
      <w:r>
        <w:rPr>
          <w:rFonts w:eastAsia="方正书宋_GBK"/>
          <w:color w:val="000000"/>
          <w:kern w:val="0"/>
          <w:sz w:val="20"/>
          <w:szCs w:val="20"/>
        </w:rPr>
        <w:t>aic</w:t>
      </w:r>
    </w:p>
    <w:p w14:paraId="4FFB6F91">
      <w:pPr>
        <w:ind w:firstLine="0" w:firstLineChars="0"/>
        <w:rPr>
          <w:rFonts w:eastAsia="方正书宋_GBK"/>
          <w:color w:val="000000"/>
          <w:kern w:val="0"/>
          <w:sz w:val="20"/>
          <w:szCs w:val="20"/>
        </w:rPr>
      </w:pPr>
      <w:r>
        <w:rPr>
          <w:rFonts w:eastAsia="方正书宋_GBK"/>
          <w:color w:val="000000"/>
          <w:kern w:val="0"/>
          <w:sz w:val="20"/>
          <w:szCs w:val="20"/>
        </w:rPr>
        <w:t xml:space="preserve"># LinearRegression </w:t>
      </w:r>
      <w:r>
        <w:rPr>
          <w:rFonts w:ascii="方正书宋_GBK" w:hAnsi="方正书宋_GBK" w:eastAsia="方正书宋_GBK"/>
          <w:color w:val="000000"/>
          <w:kern w:val="0"/>
          <w:sz w:val="20"/>
          <w:szCs w:val="20"/>
        </w:rPr>
        <w:t>自动考虑了常数项（</w:t>
      </w:r>
      <w:r>
        <w:rPr>
          <w:rFonts w:eastAsia="方正书宋_GBK"/>
          <w:color w:val="000000"/>
          <w:kern w:val="0"/>
          <w:sz w:val="20"/>
          <w:szCs w:val="20"/>
        </w:rPr>
        <w:t>Intercept</w:t>
      </w:r>
      <w:r>
        <w:rPr>
          <w:rFonts w:ascii="方正书宋_GBK" w:hAnsi="方正书宋_GBK" w:eastAsia="方正书宋_GBK"/>
          <w:color w:val="000000"/>
          <w:kern w:val="0"/>
          <w:sz w:val="20"/>
          <w:szCs w:val="20"/>
        </w:rPr>
        <w:t>），可以调用</w:t>
      </w:r>
      <w:r>
        <w:rPr>
          <w:rFonts w:eastAsia="方正书宋_GBK"/>
          <w:color w:val="000000"/>
          <w:kern w:val="0"/>
          <w:sz w:val="20"/>
          <w:szCs w:val="20"/>
        </w:rPr>
        <w:t>model.intercept_</w:t>
      </w:r>
      <w:r>
        <w:rPr>
          <w:rFonts w:ascii="方正书宋_GBK" w:hAnsi="方正书宋_GBK" w:eastAsia="方正书宋_GBK"/>
          <w:color w:val="000000"/>
          <w:kern w:val="0"/>
          <w:sz w:val="20"/>
          <w:szCs w:val="20"/>
        </w:rPr>
        <w:t>查看常数项拟合结果</w:t>
      </w:r>
    </w:p>
    <w:p w14:paraId="7BF3E484">
      <w:pPr>
        <w:ind w:firstLine="0" w:firstLineChars="0"/>
        <w:rPr>
          <w:rFonts w:eastAsia="方正书宋_GBK"/>
          <w:color w:val="000000"/>
          <w:kern w:val="0"/>
          <w:sz w:val="20"/>
          <w:szCs w:val="20"/>
        </w:rPr>
      </w:pPr>
      <w:r>
        <w:rPr>
          <w:rFonts w:eastAsia="方正书宋_GBK"/>
          <w:color w:val="000000"/>
          <w:kern w:val="0"/>
          <w:sz w:val="20"/>
          <w:szCs w:val="20"/>
        </w:rPr>
        <w:t xml:space="preserve">model = LinearRegression(support_size=range(7), ic_type='aic') </w:t>
      </w:r>
    </w:p>
    <w:p w14:paraId="5692982F">
      <w:pPr>
        <w:ind w:firstLine="0" w:firstLineChars="0"/>
        <w:rPr>
          <w:rFonts w:eastAsia="方正书宋_GBK"/>
          <w:color w:val="000000"/>
          <w:kern w:val="0"/>
          <w:sz w:val="20"/>
          <w:szCs w:val="20"/>
        </w:rPr>
      </w:pPr>
      <w:r>
        <w:rPr>
          <w:rFonts w:eastAsia="方正书宋_GBK"/>
          <w:color w:val="000000"/>
          <w:kern w:val="0"/>
          <w:sz w:val="20"/>
          <w:szCs w:val="20"/>
        </w:rPr>
        <w:t>model.fit(x, y)</w:t>
      </w:r>
    </w:p>
    <w:p w14:paraId="50E52335">
      <w:pPr>
        <w:ind w:firstLine="0" w:firstLineChars="0"/>
        <w:rPr>
          <w:rFonts w:eastAsia="方正书宋_GBK"/>
          <w:color w:val="000000"/>
          <w:kern w:val="0"/>
          <w:sz w:val="20"/>
          <w:szCs w:val="20"/>
        </w:rPr>
      </w:pPr>
      <w:r>
        <w:rPr>
          <w:rFonts w:eastAsia="方正书宋_GBK"/>
          <w:color w:val="000000"/>
          <w:kern w:val="0"/>
          <w:sz w:val="20"/>
          <w:szCs w:val="20"/>
        </w:rPr>
        <w:t xml:space="preserve"># </w:t>
      </w:r>
      <w:r>
        <w:rPr>
          <w:rFonts w:ascii="方正书宋_GBK" w:hAnsi="方正书宋_GBK" w:eastAsia="方正书宋_GBK"/>
          <w:color w:val="000000"/>
          <w:kern w:val="0"/>
          <w:sz w:val="20"/>
          <w:szCs w:val="20"/>
        </w:rPr>
        <w:t>输出最优自变量组合及其相关系数</w:t>
      </w:r>
    </w:p>
    <w:p w14:paraId="018483D2">
      <w:pPr>
        <w:ind w:firstLine="0" w:firstLineChars="0"/>
        <w:rPr>
          <w:rFonts w:eastAsia="方正书宋_GBK"/>
          <w:color w:val="000000"/>
          <w:kern w:val="0"/>
          <w:sz w:val="20"/>
          <w:szCs w:val="20"/>
        </w:rPr>
      </w:pPr>
      <w:r>
        <w:rPr>
          <w:rFonts w:eastAsia="方正书宋_GBK"/>
          <w:color w:val="000000"/>
          <w:kern w:val="0"/>
          <w:sz w:val="20"/>
          <w:szCs w:val="20"/>
        </w:rPr>
        <w:t>ind = np.nonzero(model.coef_)</w:t>
      </w:r>
    </w:p>
    <w:p w14:paraId="53C1C16A">
      <w:pPr>
        <w:ind w:firstLine="0" w:firstLineChars="0"/>
        <w:rPr>
          <w:rFonts w:eastAsia="方正书宋_GBK"/>
          <w:color w:val="000000"/>
          <w:kern w:val="0"/>
          <w:sz w:val="20"/>
          <w:szCs w:val="20"/>
        </w:rPr>
      </w:pPr>
      <w:r>
        <w:rPr>
          <w:rFonts w:eastAsia="方正书宋_GBK"/>
          <w:color w:val="000000"/>
          <w:kern w:val="0"/>
          <w:sz w:val="20"/>
          <w:szCs w:val="20"/>
        </w:rPr>
        <w:t xml:space="preserve">print('ic_type=aic:')            # p,a,i3,ei </w:t>
      </w:r>
      <w:r>
        <w:rPr>
          <w:rFonts w:ascii="方正书宋_GBK" w:hAnsi="方正书宋_GBK" w:eastAsia="方正书宋_GBK"/>
          <w:color w:val="000000"/>
          <w:kern w:val="0"/>
          <w:sz w:val="20"/>
          <w:szCs w:val="20"/>
        </w:rPr>
        <w:t>作为最优变量组合</w:t>
      </w:r>
    </w:p>
    <w:p w14:paraId="4B25ED34">
      <w:pPr>
        <w:ind w:firstLine="0" w:firstLineChars="0"/>
        <w:rPr>
          <w:rFonts w:eastAsia="方正书宋_GBK"/>
          <w:color w:val="000000"/>
          <w:kern w:val="0"/>
          <w:sz w:val="20"/>
          <w:szCs w:val="20"/>
        </w:rPr>
      </w:pPr>
      <w:r>
        <w:rPr>
          <w:rFonts w:eastAsia="方正书宋_GBK"/>
          <w:color w:val="000000"/>
          <w:kern w:val="0"/>
          <w:sz w:val="20"/>
          <w:szCs w:val="20"/>
        </w:rPr>
        <w:t xml:space="preserve">print("non-zero:\n", ind)   </w:t>
      </w:r>
    </w:p>
    <w:p w14:paraId="0909C633">
      <w:pPr>
        <w:ind w:firstLine="0" w:firstLineChars="0"/>
        <w:rPr>
          <w:rFonts w:eastAsia="方正书宋_GBK"/>
          <w:color w:val="000000"/>
          <w:kern w:val="0"/>
          <w:sz w:val="20"/>
          <w:szCs w:val="20"/>
        </w:rPr>
      </w:pPr>
      <w:r>
        <w:rPr>
          <w:rFonts w:eastAsia="方正书宋_GBK"/>
          <w:color w:val="000000"/>
          <w:kern w:val="0"/>
          <w:sz w:val="20"/>
          <w:szCs w:val="20"/>
        </w:rPr>
        <w:t>print("coef:\n", model.coef_)</w:t>
      </w:r>
    </w:p>
    <w:p w14:paraId="570551FE">
      <w:pPr>
        <w:ind w:firstLine="0" w:firstLineChars="0"/>
        <w:rPr>
          <w:rFonts w:eastAsia="方正书宋_GBK"/>
          <w:color w:val="000000"/>
          <w:kern w:val="0"/>
          <w:sz w:val="20"/>
          <w:szCs w:val="20"/>
        </w:rPr>
      </w:pPr>
      <w:r>
        <w:rPr>
          <w:rFonts w:eastAsia="方正书宋_GBK"/>
          <w:color w:val="000000"/>
          <w:kern w:val="0"/>
          <w:sz w:val="20"/>
          <w:szCs w:val="20"/>
        </w:rPr>
        <w:t>print("coef2:\n", model.intercept_)</w:t>
      </w:r>
    </w:p>
    <w:p w14:paraId="02275159">
      <w:pPr>
        <w:ind w:firstLine="0" w:firstLineChars="0"/>
        <w:rPr>
          <w:rFonts w:eastAsia="方正书宋_GBK"/>
          <w:color w:val="000000"/>
          <w:kern w:val="0"/>
          <w:sz w:val="20"/>
          <w:szCs w:val="20"/>
        </w:rPr>
      </w:pPr>
      <w:r>
        <w:rPr>
          <w:rFonts w:eastAsia="方正书宋_GBK"/>
          <w:color w:val="000000"/>
          <w:kern w:val="0"/>
          <w:sz w:val="20"/>
          <w:szCs w:val="20"/>
        </w:rPr>
        <w:t>print('-----------')</w:t>
      </w:r>
    </w:p>
    <w:p w14:paraId="39686F2A">
      <w:pPr>
        <w:ind w:firstLine="0" w:firstLineChars="0"/>
        <w:rPr>
          <w:rFonts w:eastAsia="方正书宋_GBK"/>
          <w:color w:val="000000"/>
          <w:kern w:val="0"/>
          <w:sz w:val="20"/>
          <w:szCs w:val="20"/>
        </w:rPr>
      </w:pPr>
      <w:r>
        <w:rPr>
          <w:rFonts w:eastAsia="方正书宋_GBK"/>
          <w:color w:val="000000"/>
          <w:kern w:val="0"/>
          <w:sz w:val="20"/>
          <w:szCs w:val="20"/>
        </w:rPr>
        <w:t xml:space="preserve"> </w:t>
      </w:r>
    </w:p>
    <w:p w14:paraId="767D8210">
      <w:pPr>
        <w:ind w:firstLine="0" w:firstLineChars="0"/>
        <w:rPr>
          <w:rFonts w:eastAsia="方正书宋_GBK"/>
          <w:color w:val="000000"/>
          <w:kern w:val="0"/>
          <w:sz w:val="20"/>
          <w:szCs w:val="20"/>
        </w:rPr>
      </w:pPr>
      <w:r>
        <w:rPr>
          <w:rFonts w:eastAsia="方正书宋_GBK"/>
          <w:color w:val="000000"/>
          <w:kern w:val="0"/>
          <w:sz w:val="20"/>
          <w:szCs w:val="20"/>
        </w:rPr>
        <w:t xml:space="preserve"># </w:t>
      </w:r>
      <w:r>
        <w:rPr>
          <w:rFonts w:ascii="方正书宋_GBK" w:hAnsi="方正书宋_GBK" w:eastAsia="方正书宋_GBK"/>
          <w:color w:val="000000"/>
          <w:kern w:val="0"/>
          <w:sz w:val="20"/>
          <w:szCs w:val="20"/>
        </w:rPr>
        <w:t>如果搜寻准则改变，结果可能有很大不同</w:t>
      </w:r>
    </w:p>
    <w:p w14:paraId="47F38E8E">
      <w:pPr>
        <w:ind w:firstLine="0" w:firstLineChars="0"/>
        <w:rPr>
          <w:rFonts w:eastAsia="方正书宋_GBK"/>
          <w:color w:val="000000"/>
          <w:kern w:val="0"/>
          <w:sz w:val="20"/>
          <w:szCs w:val="20"/>
        </w:rPr>
      </w:pPr>
      <w:r>
        <w:rPr>
          <w:rFonts w:eastAsia="方正书宋_GBK"/>
          <w:color w:val="000000"/>
          <w:kern w:val="0"/>
          <w:sz w:val="20"/>
          <w:szCs w:val="20"/>
        </w:rPr>
        <w:t xml:space="preserve"># ic_type='aic': </w:t>
      </w:r>
      <w:r>
        <w:rPr>
          <w:rFonts w:ascii="方正书宋_GBK" w:hAnsi="方正书宋_GBK" w:eastAsia="方正书宋_GBK"/>
          <w:color w:val="000000"/>
          <w:kern w:val="0"/>
          <w:sz w:val="20"/>
          <w:szCs w:val="20"/>
        </w:rPr>
        <w:t>搜寻准则选为</w:t>
      </w:r>
      <w:r>
        <w:rPr>
          <w:rFonts w:eastAsia="方正书宋_GBK"/>
          <w:color w:val="000000"/>
          <w:kern w:val="0"/>
          <w:sz w:val="20"/>
          <w:szCs w:val="20"/>
        </w:rPr>
        <w:t>ebic</w:t>
      </w:r>
    </w:p>
    <w:p w14:paraId="65B0C968">
      <w:pPr>
        <w:ind w:firstLine="0" w:firstLineChars="0"/>
        <w:rPr>
          <w:rFonts w:eastAsia="方正书宋_GBK"/>
          <w:color w:val="000000"/>
          <w:kern w:val="0"/>
          <w:sz w:val="20"/>
          <w:szCs w:val="20"/>
        </w:rPr>
      </w:pPr>
      <w:r>
        <w:rPr>
          <w:rFonts w:eastAsia="方正书宋_GBK"/>
          <w:color w:val="000000"/>
          <w:kern w:val="0"/>
          <w:sz w:val="20"/>
          <w:szCs w:val="20"/>
        </w:rPr>
        <w:t xml:space="preserve">model1 = LinearRegression(support_size=range(7), ic_type='ebic') </w:t>
      </w:r>
    </w:p>
    <w:p w14:paraId="4A2B833B">
      <w:pPr>
        <w:ind w:firstLine="0" w:firstLineChars="0"/>
        <w:rPr>
          <w:rFonts w:eastAsia="方正书宋_GBK"/>
          <w:color w:val="000000"/>
          <w:kern w:val="0"/>
          <w:sz w:val="20"/>
          <w:szCs w:val="20"/>
        </w:rPr>
      </w:pPr>
      <w:r>
        <w:rPr>
          <w:rFonts w:eastAsia="方正书宋_GBK"/>
          <w:color w:val="000000"/>
          <w:kern w:val="0"/>
          <w:sz w:val="20"/>
          <w:szCs w:val="20"/>
        </w:rPr>
        <w:t>model1.fit(x, y)</w:t>
      </w:r>
    </w:p>
    <w:p w14:paraId="02565038">
      <w:pPr>
        <w:ind w:firstLine="0" w:firstLineChars="0"/>
        <w:rPr>
          <w:rFonts w:eastAsia="方正书宋_GBK"/>
          <w:color w:val="000000"/>
          <w:kern w:val="0"/>
          <w:sz w:val="20"/>
          <w:szCs w:val="20"/>
        </w:rPr>
      </w:pPr>
      <w:r>
        <w:rPr>
          <w:rFonts w:eastAsia="方正书宋_GBK"/>
          <w:color w:val="000000"/>
          <w:kern w:val="0"/>
          <w:sz w:val="20"/>
          <w:szCs w:val="20"/>
        </w:rPr>
        <w:t xml:space="preserve"># </w:t>
      </w:r>
      <w:r>
        <w:rPr>
          <w:rFonts w:ascii="方正书宋_GBK" w:hAnsi="方正书宋_GBK" w:eastAsia="方正书宋_GBK"/>
          <w:color w:val="000000"/>
          <w:kern w:val="0"/>
          <w:sz w:val="20"/>
          <w:szCs w:val="20"/>
        </w:rPr>
        <w:t>输出最优自变量组合及其相关系数</w:t>
      </w:r>
    </w:p>
    <w:p w14:paraId="44502965">
      <w:pPr>
        <w:ind w:firstLine="0" w:firstLineChars="0"/>
        <w:rPr>
          <w:rFonts w:eastAsia="方正书宋_GBK"/>
          <w:color w:val="000000"/>
          <w:kern w:val="0"/>
          <w:sz w:val="20"/>
          <w:szCs w:val="20"/>
        </w:rPr>
      </w:pPr>
      <w:r>
        <w:rPr>
          <w:rFonts w:eastAsia="方正书宋_GBK"/>
          <w:color w:val="000000"/>
          <w:kern w:val="0"/>
          <w:sz w:val="20"/>
          <w:szCs w:val="20"/>
        </w:rPr>
        <w:t>ind1 = np.nonzero(model1.coef_)</w:t>
      </w:r>
    </w:p>
    <w:p w14:paraId="5250D23F">
      <w:pPr>
        <w:ind w:firstLine="0" w:firstLineChars="0"/>
        <w:rPr>
          <w:rFonts w:eastAsia="方正书宋_GBK"/>
          <w:color w:val="000000"/>
          <w:kern w:val="0"/>
          <w:sz w:val="20"/>
          <w:szCs w:val="20"/>
        </w:rPr>
      </w:pPr>
      <w:r>
        <w:rPr>
          <w:rFonts w:eastAsia="方正书宋_GBK"/>
          <w:color w:val="000000"/>
          <w:kern w:val="0"/>
          <w:sz w:val="20"/>
          <w:szCs w:val="20"/>
        </w:rPr>
        <w:t>print('ic_type=ebic:')</w:t>
      </w:r>
    </w:p>
    <w:p w14:paraId="019EA178">
      <w:pPr>
        <w:ind w:firstLine="0" w:firstLineChars="0"/>
        <w:rPr>
          <w:rFonts w:eastAsia="方正书宋_GBK"/>
          <w:color w:val="000000"/>
          <w:kern w:val="0"/>
          <w:sz w:val="20"/>
          <w:szCs w:val="20"/>
        </w:rPr>
      </w:pPr>
      <w:r>
        <w:rPr>
          <w:rFonts w:eastAsia="方正书宋_GBK"/>
          <w:color w:val="000000"/>
          <w:kern w:val="0"/>
          <w:sz w:val="20"/>
          <w:szCs w:val="20"/>
        </w:rPr>
        <w:t>print("non-zero:\n", ind1)   #  a,i3</w:t>
      </w:r>
      <w:r>
        <w:rPr>
          <w:rFonts w:ascii="方正书宋_GBK" w:hAnsi="方正书宋_GBK" w:eastAsia="方正书宋_GBK"/>
          <w:color w:val="000000"/>
          <w:kern w:val="0"/>
          <w:sz w:val="20"/>
          <w:szCs w:val="20"/>
        </w:rPr>
        <w:t>为最优自变量组合</w:t>
      </w:r>
    </w:p>
    <w:p w14:paraId="3DA51F42">
      <w:pPr>
        <w:ind w:firstLine="0" w:firstLineChars="0"/>
        <w:rPr>
          <w:rFonts w:eastAsia="方正书宋_GBK"/>
          <w:color w:val="000000"/>
          <w:kern w:val="0"/>
          <w:sz w:val="20"/>
          <w:szCs w:val="20"/>
        </w:rPr>
      </w:pPr>
      <w:r>
        <w:rPr>
          <w:rFonts w:eastAsia="方正书宋_GBK"/>
          <w:color w:val="000000"/>
          <w:kern w:val="0"/>
          <w:sz w:val="20"/>
          <w:szCs w:val="20"/>
        </w:rPr>
        <w:t>print("coef:\n", model1.coef_)</w:t>
      </w:r>
    </w:p>
    <w:p w14:paraId="02ACF655">
      <w:pPr>
        <w:ind w:firstLine="0" w:firstLineChars="0"/>
        <w:rPr>
          <w:rFonts w:eastAsia="方正书宋_GBK"/>
          <w:color w:val="000000"/>
          <w:kern w:val="0"/>
          <w:sz w:val="20"/>
          <w:szCs w:val="20"/>
        </w:rPr>
      </w:pPr>
      <w:r>
        <w:rPr>
          <w:rFonts w:eastAsia="方正书宋_GBK"/>
          <w:color w:val="000000"/>
          <w:kern w:val="0"/>
          <w:sz w:val="20"/>
          <w:szCs w:val="20"/>
        </w:rPr>
        <w:t>print("coef2:\n", model1.intercept_)</w:t>
      </w:r>
    </w:p>
    <w:p w14:paraId="4072C12B">
      <w:pPr>
        <w:ind w:firstLine="0" w:firstLineChars="0"/>
        <w:rPr>
          <w:rFonts w:eastAsia="方正书宋_GBK"/>
          <w:color w:val="000000"/>
          <w:kern w:val="0"/>
          <w:sz w:val="20"/>
          <w:szCs w:val="20"/>
        </w:rPr>
      </w:pPr>
      <w:r>
        <w:rPr>
          <w:rFonts w:eastAsia="方正书宋_GBK"/>
          <w:color w:val="000000"/>
          <w:kern w:val="0"/>
          <w:sz w:val="20"/>
          <w:szCs w:val="20"/>
        </w:rPr>
        <w:t>print('-----------')</w:t>
      </w:r>
    </w:p>
    <w:p w14:paraId="0D69617F">
      <w:pPr>
        <w:ind w:firstLine="0" w:firstLineChars="0"/>
        <w:rPr>
          <w:rFonts w:eastAsia="方正书宋_GBK"/>
          <w:color w:val="000000"/>
          <w:kern w:val="0"/>
          <w:sz w:val="20"/>
          <w:szCs w:val="20"/>
        </w:rPr>
      </w:pPr>
      <w:r>
        <w:rPr>
          <w:rFonts w:eastAsia="方正书宋_GBK"/>
          <w:color w:val="000000"/>
          <w:kern w:val="0"/>
          <w:sz w:val="20"/>
          <w:szCs w:val="20"/>
        </w:rPr>
        <w:t>from numpy import arange</w:t>
      </w:r>
    </w:p>
    <w:p w14:paraId="1ECE0B92">
      <w:pPr>
        <w:ind w:firstLine="0" w:firstLineChars="0"/>
        <w:rPr>
          <w:rFonts w:eastAsia="方正书宋_GBK"/>
          <w:color w:val="000000"/>
          <w:kern w:val="0"/>
          <w:sz w:val="20"/>
          <w:szCs w:val="20"/>
        </w:rPr>
      </w:pPr>
      <w:r>
        <w:rPr>
          <w:rFonts w:eastAsia="方正书宋_GBK"/>
          <w:color w:val="000000"/>
          <w:kern w:val="0"/>
          <w:sz w:val="20"/>
          <w:szCs w:val="20"/>
        </w:rPr>
        <w:t>from sklearn import linear_model</w:t>
      </w:r>
    </w:p>
    <w:p w14:paraId="619EAFFC">
      <w:pPr>
        <w:ind w:firstLine="0" w:firstLineChars="0"/>
        <w:rPr>
          <w:rFonts w:eastAsia="方正书宋_GBK"/>
          <w:color w:val="000000"/>
          <w:kern w:val="0"/>
          <w:sz w:val="20"/>
          <w:szCs w:val="20"/>
        </w:rPr>
      </w:pPr>
      <w:r>
        <w:rPr>
          <w:rFonts w:eastAsia="方正书宋_GBK"/>
          <w:color w:val="000000"/>
          <w:kern w:val="0"/>
          <w:sz w:val="20"/>
          <w:szCs w:val="20"/>
        </w:rPr>
        <w:t># alphas</w:t>
      </w:r>
      <w:r>
        <w:rPr>
          <w:rFonts w:ascii="方正书宋_GBK" w:hAnsi="方正书宋_GBK" w:eastAsia="方正书宋_GBK"/>
          <w:color w:val="000000"/>
          <w:kern w:val="0"/>
          <w:sz w:val="20"/>
          <w:szCs w:val="20"/>
        </w:rPr>
        <w:t>：复杂度参数的搜索范围</w:t>
      </w:r>
    </w:p>
    <w:p w14:paraId="1FD24F7C">
      <w:pPr>
        <w:ind w:firstLine="0" w:firstLineChars="0"/>
        <w:rPr>
          <w:rFonts w:eastAsia="方正书宋_GBK"/>
          <w:color w:val="000000"/>
          <w:kern w:val="0"/>
          <w:sz w:val="20"/>
          <w:szCs w:val="20"/>
        </w:rPr>
      </w:pPr>
      <w:r>
        <w:rPr>
          <w:rFonts w:eastAsia="方正书宋_GBK"/>
          <w:color w:val="000000"/>
          <w:kern w:val="0"/>
          <w:sz w:val="20"/>
          <w:szCs w:val="20"/>
        </w:rPr>
        <w:t xml:space="preserve"># cv: </w:t>
      </w:r>
      <w:r>
        <w:rPr>
          <w:rFonts w:ascii="方正书宋_GBK" w:hAnsi="方正书宋_GBK" w:eastAsia="方正书宋_GBK"/>
          <w:color w:val="000000"/>
          <w:kern w:val="0"/>
          <w:sz w:val="20"/>
          <w:szCs w:val="20"/>
        </w:rPr>
        <w:t>交叉验证策略，</w:t>
      </w:r>
      <w:r>
        <w:rPr>
          <w:rFonts w:eastAsia="方正书宋_GBK"/>
          <w:color w:val="000000"/>
          <w:kern w:val="0"/>
          <w:sz w:val="20"/>
          <w:szCs w:val="20"/>
        </w:rPr>
        <w:t>cv=None</w:t>
      </w:r>
      <w:r>
        <w:rPr>
          <w:rFonts w:ascii="方正书宋_GBK" w:hAnsi="方正书宋_GBK" w:eastAsia="方正书宋_GBK"/>
          <w:color w:val="000000"/>
          <w:kern w:val="0"/>
          <w:sz w:val="20"/>
          <w:szCs w:val="20"/>
        </w:rPr>
        <w:t>，则采用留一法交叉验证（</w:t>
      </w:r>
      <w:r>
        <w:rPr>
          <w:rFonts w:eastAsia="方正书宋_GBK"/>
          <w:color w:val="000000"/>
          <w:kern w:val="0"/>
          <w:sz w:val="20"/>
          <w:szCs w:val="20"/>
        </w:rPr>
        <w:t>Leave-One-Out cross-validation</w:t>
      </w:r>
      <w:r>
        <w:rPr>
          <w:rFonts w:ascii="方正书宋_GBK" w:hAnsi="方正书宋_GBK" w:eastAsia="方正书宋_GBK"/>
          <w:color w:val="000000"/>
          <w:kern w:val="0"/>
          <w:sz w:val="20"/>
          <w:szCs w:val="20"/>
        </w:rPr>
        <w:t>）</w:t>
      </w:r>
    </w:p>
    <w:p w14:paraId="624001F7">
      <w:pPr>
        <w:ind w:firstLine="0" w:firstLineChars="0"/>
        <w:rPr>
          <w:rFonts w:eastAsia="方正书宋_GBK"/>
          <w:color w:val="000000"/>
          <w:kern w:val="0"/>
          <w:sz w:val="20"/>
          <w:szCs w:val="20"/>
        </w:rPr>
      </w:pPr>
      <w:r>
        <w:rPr>
          <w:rFonts w:eastAsia="方正书宋_GBK"/>
          <w:color w:val="000000"/>
          <w:kern w:val="0"/>
          <w:sz w:val="20"/>
          <w:szCs w:val="20"/>
        </w:rPr>
        <w:t xml:space="preserve"># scoring: </w:t>
      </w:r>
      <w:r>
        <w:rPr>
          <w:rFonts w:ascii="方正书宋_GBK" w:hAnsi="方正书宋_GBK" w:eastAsia="方正书宋_GBK"/>
          <w:color w:val="000000"/>
          <w:kern w:val="0"/>
          <w:sz w:val="20"/>
          <w:szCs w:val="20"/>
        </w:rPr>
        <w:t>筛选最优</w:t>
      </w:r>
      <w:r>
        <w:rPr>
          <w:rFonts w:eastAsia="方正书宋_GBK"/>
          <w:color w:val="000000"/>
          <w:kern w:val="0"/>
          <w:sz w:val="20"/>
          <w:szCs w:val="20"/>
        </w:rPr>
        <w:t>alpha</w:t>
      </w:r>
      <w:r>
        <w:rPr>
          <w:rFonts w:ascii="方正书宋_GBK" w:hAnsi="方正书宋_GBK" w:eastAsia="方正书宋_GBK"/>
          <w:color w:val="000000"/>
          <w:kern w:val="0"/>
          <w:sz w:val="20"/>
          <w:szCs w:val="20"/>
        </w:rPr>
        <w:t>值的评分标准，</w:t>
      </w:r>
      <w:r>
        <w:rPr>
          <w:rFonts w:eastAsia="方正书宋_GBK"/>
          <w:color w:val="000000"/>
          <w:kern w:val="0"/>
          <w:sz w:val="20"/>
          <w:szCs w:val="20"/>
        </w:rPr>
        <w:t>If None, the negative mean squared error if cv is ‘auto’ or None (i.e. when using leave-one-out cross-validation), and r2 score otherwise.</w:t>
      </w:r>
    </w:p>
    <w:p w14:paraId="4C984A3B">
      <w:pPr>
        <w:ind w:firstLine="0" w:firstLineChars="0"/>
        <w:rPr>
          <w:rFonts w:eastAsia="方正书宋_GBK"/>
          <w:color w:val="000000"/>
          <w:kern w:val="0"/>
          <w:sz w:val="20"/>
          <w:szCs w:val="20"/>
        </w:rPr>
      </w:pPr>
      <w:r>
        <w:rPr>
          <w:rFonts w:eastAsia="方正书宋_GBK"/>
          <w:color w:val="000000"/>
          <w:kern w:val="0"/>
          <w:sz w:val="20"/>
          <w:szCs w:val="20"/>
        </w:rPr>
        <w:t xml:space="preserve">reg = linear_model.RidgeCV(alphas=arange(0.01, 1, 0.01), cv=None, scoring=None) </w:t>
      </w:r>
    </w:p>
    <w:p w14:paraId="096489AF">
      <w:pPr>
        <w:ind w:firstLine="0" w:firstLineChars="0"/>
        <w:rPr>
          <w:rFonts w:eastAsia="方正书宋_GBK"/>
          <w:color w:val="000000"/>
          <w:kern w:val="0"/>
          <w:sz w:val="20"/>
          <w:szCs w:val="20"/>
        </w:rPr>
      </w:pPr>
      <w:r>
        <w:rPr>
          <w:rFonts w:eastAsia="方正书宋_GBK"/>
          <w:color w:val="000000"/>
          <w:kern w:val="0"/>
          <w:sz w:val="20"/>
          <w:szCs w:val="20"/>
        </w:rPr>
        <w:t>reg.fit(X,Y)</w:t>
      </w:r>
    </w:p>
    <w:p w14:paraId="7102C6A7">
      <w:pPr>
        <w:ind w:firstLine="0" w:firstLineChars="0"/>
        <w:rPr>
          <w:rFonts w:eastAsia="方正书宋_GBK"/>
          <w:color w:val="000000"/>
          <w:kern w:val="0"/>
          <w:sz w:val="20"/>
          <w:szCs w:val="20"/>
        </w:rPr>
      </w:pPr>
      <w:r>
        <w:rPr>
          <w:rFonts w:eastAsia="方正书宋_GBK"/>
          <w:color w:val="000000"/>
          <w:kern w:val="0"/>
          <w:sz w:val="20"/>
          <w:szCs w:val="20"/>
        </w:rPr>
        <w:t>print(reg.alpha_)</w:t>
      </w:r>
    </w:p>
    <w:p w14:paraId="128BEAD5">
      <w:pPr>
        <w:ind w:firstLine="0" w:firstLineChars="0"/>
        <w:rPr>
          <w:rFonts w:eastAsia="方正书宋_GBK"/>
          <w:color w:val="000000"/>
          <w:kern w:val="0"/>
          <w:sz w:val="20"/>
          <w:szCs w:val="20"/>
        </w:rPr>
      </w:pPr>
      <w:r>
        <w:rPr>
          <w:rFonts w:eastAsia="方正书宋_GBK"/>
          <w:color w:val="000000"/>
          <w:kern w:val="0"/>
          <w:sz w:val="20"/>
          <w:szCs w:val="20"/>
        </w:rPr>
        <w:t>print(reg.coef_)</w:t>
      </w:r>
    </w:p>
    <w:p w14:paraId="1CBCB217">
      <w:pPr>
        <w:ind w:firstLine="0" w:firstLineChars="0"/>
        <w:rPr>
          <w:rFonts w:eastAsia="方正书宋_GBK"/>
          <w:color w:val="000000"/>
          <w:kern w:val="0"/>
          <w:sz w:val="20"/>
          <w:szCs w:val="20"/>
        </w:rPr>
      </w:pPr>
      <w:r>
        <w:rPr>
          <w:rFonts w:eastAsia="方正书宋_GBK"/>
          <w:color w:val="000000"/>
          <w:kern w:val="0"/>
          <w:sz w:val="20"/>
          <w:szCs w:val="20"/>
        </w:rPr>
        <w:t>print(reg.intercept_)</w:t>
      </w:r>
    </w:p>
    <w:p w14:paraId="0E08E57D">
      <w:pPr>
        <w:ind w:firstLine="0" w:firstLineChars="0"/>
        <w:rPr>
          <w:rFonts w:eastAsia="等线"/>
          <w:b/>
          <w:bCs/>
          <w:sz w:val="21"/>
          <w:szCs w:val="21"/>
        </w:rPr>
      </w:pPr>
      <w:r>
        <w:rPr>
          <w:rFonts w:ascii="等线" w:hAnsi="等线" w:eastAsia="等线"/>
          <w:b/>
          <w:bCs/>
          <w:sz w:val="21"/>
          <w:szCs w:val="21"/>
        </w:rPr>
        <w:t>问题一数据：</w:t>
      </w:r>
    </w:p>
    <w:tbl>
      <w:tblPr>
        <w:tblStyle w:val="19"/>
        <w:tblW w:w="0" w:type="auto"/>
        <w:tblInd w:w="0" w:type="dxa"/>
        <w:tblLayout w:type="autofit"/>
        <w:tblCellMar>
          <w:top w:w="0" w:type="dxa"/>
          <w:left w:w="108" w:type="dxa"/>
          <w:bottom w:w="0" w:type="dxa"/>
          <w:right w:w="108" w:type="dxa"/>
        </w:tblCellMar>
      </w:tblPr>
      <w:tblGrid>
        <w:gridCol w:w="1728"/>
        <w:gridCol w:w="713"/>
        <w:gridCol w:w="713"/>
        <w:gridCol w:w="713"/>
        <w:gridCol w:w="713"/>
        <w:gridCol w:w="713"/>
        <w:gridCol w:w="713"/>
        <w:gridCol w:w="713"/>
        <w:gridCol w:w="713"/>
        <w:gridCol w:w="713"/>
        <w:gridCol w:w="713"/>
        <w:gridCol w:w="714"/>
      </w:tblGrid>
      <w:tr w14:paraId="443D1F5D">
        <w:tblPrEx>
          <w:tblCellMar>
            <w:top w:w="0" w:type="dxa"/>
            <w:left w:w="108" w:type="dxa"/>
            <w:bottom w:w="0" w:type="dxa"/>
            <w:right w:w="108" w:type="dxa"/>
          </w:tblCellMar>
        </w:tblPrEx>
        <w:trPr>
          <w:trHeight w:val="280" w:hRule="atLeast"/>
        </w:trPr>
        <w:tc>
          <w:tcPr>
            <w:tcW w:w="0" w:type="auto"/>
            <w:tcBorders>
              <w:top w:val="single" w:color="000000" w:sz="4" w:space="0"/>
              <w:left w:val="nil"/>
              <w:bottom w:val="single" w:color="000000" w:sz="4" w:space="0"/>
              <w:right w:val="single" w:color="000000" w:sz="4" w:space="0"/>
            </w:tcBorders>
            <w:noWrap/>
            <w:vAlign w:val="bottom"/>
          </w:tcPr>
          <w:p w14:paraId="0658AAAE">
            <w:pPr>
              <w:widowControl/>
              <w:ind w:firstLine="0" w:firstLineChars="0"/>
              <w:jc w:val="center"/>
              <w:textAlignment w:val="bottom"/>
              <w:rPr>
                <w:rFonts w:eastAsia="仿宋"/>
                <w:color w:val="000000"/>
                <w:sz w:val="22"/>
              </w:rPr>
            </w:pPr>
            <w:r>
              <w:rPr>
                <w:rFonts w:ascii="仿宋" w:hAnsi="仿宋" w:eastAsia="仿宋"/>
                <w:color w:val="000000"/>
                <w:kern w:val="0"/>
                <w:sz w:val="22"/>
              </w:rPr>
              <w:t>人口增长率</w:t>
            </w:r>
            <w:r>
              <w:rPr>
                <w:rFonts w:eastAsia="仿宋"/>
                <w:color w:val="000000"/>
                <w:kern w:val="0"/>
                <w:sz w:val="22"/>
              </w:rPr>
              <w:t>x1</w:t>
            </w:r>
          </w:p>
        </w:tc>
        <w:tc>
          <w:tcPr>
            <w:tcW w:w="0" w:type="auto"/>
            <w:tcBorders>
              <w:top w:val="single" w:color="000000" w:sz="4" w:space="0"/>
              <w:left w:val="nil"/>
              <w:bottom w:val="single" w:color="000000" w:sz="4" w:space="0"/>
              <w:right w:val="single" w:color="000000" w:sz="4" w:space="0"/>
            </w:tcBorders>
            <w:noWrap/>
            <w:vAlign w:val="bottom"/>
          </w:tcPr>
          <w:p w14:paraId="12988684">
            <w:pPr>
              <w:ind w:firstLine="0" w:firstLineChars="0"/>
              <w:rPr>
                <w:rFonts w:eastAsia="仿宋"/>
                <w:color w:val="000000"/>
                <w:sz w:val="22"/>
              </w:rPr>
            </w:pPr>
          </w:p>
        </w:tc>
        <w:tc>
          <w:tcPr>
            <w:tcW w:w="0" w:type="auto"/>
            <w:tcBorders>
              <w:top w:val="single" w:color="000000" w:sz="4" w:space="0"/>
              <w:left w:val="nil"/>
              <w:bottom w:val="single" w:color="000000" w:sz="4" w:space="0"/>
              <w:right w:val="single" w:color="000000" w:sz="4" w:space="0"/>
            </w:tcBorders>
            <w:noWrap/>
            <w:vAlign w:val="bottom"/>
          </w:tcPr>
          <w:p w14:paraId="006D3D5D">
            <w:pPr>
              <w:widowControl/>
              <w:ind w:firstLine="0" w:firstLineChars="0"/>
              <w:jc w:val="right"/>
              <w:textAlignment w:val="bottom"/>
              <w:rPr>
                <w:rFonts w:eastAsia="仿宋"/>
                <w:color w:val="000000"/>
                <w:sz w:val="22"/>
              </w:rPr>
            </w:pPr>
            <w:r>
              <w:rPr>
                <w:rFonts w:eastAsia="仿宋"/>
                <w:color w:val="000000"/>
                <w:kern w:val="0"/>
                <w:sz w:val="22"/>
              </w:rPr>
              <w:t xml:space="preserve">0.0195 </w:t>
            </w:r>
          </w:p>
        </w:tc>
        <w:tc>
          <w:tcPr>
            <w:tcW w:w="0" w:type="auto"/>
            <w:tcBorders>
              <w:top w:val="single" w:color="000000" w:sz="4" w:space="0"/>
              <w:left w:val="nil"/>
              <w:bottom w:val="single" w:color="000000" w:sz="4" w:space="0"/>
              <w:right w:val="single" w:color="000000" w:sz="4" w:space="0"/>
            </w:tcBorders>
            <w:noWrap/>
            <w:vAlign w:val="bottom"/>
          </w:tcPr>
          <w:p w14:paraId="79D7D03B">
            <w:pPr>
              <w:widowControl/>
              <w:ind w:firstLine="0" w:firstLineChars="0"/>
              <w:jc w:val="right"/>
              <w:textAlignment w:val="bottom"/>
              <w:rPr>
                <w:rFonts w:eastAsia="仿宋"/>
                <w:color w:val="000000"/>
                <w:sz w:val="22"/>
              </w:rPr>
            </w:pPr>
            <w:r>
              <w:rPr>
                <w:rFonts w:eastAsia="仿宋"/>
                <w:color w:val="000000"/>
                <w:kern w:val="0"/>
                <w:sz w:val="22"/>
              </w:rPr>
              <w:t xml:space="preserve">0.0121 </w:t>
            </w:r>
          </w:p>
        </w:tc>
        <w:tc>
          <w:tcPr>
            <w:tcW w:w="0" w:type="auto"/>
            <w:tcBorders>
              <w:top w:val="single" w:color="000000" w:sz="4" w:space="0"/>
              <w:left w:val="nil"/>
              <w:bottom w:val="single" w:color="000000" w:sz="4" w:space="0"/>
              <w:right w:val="single" w:color="000000" w:sz="4" w:space="0"/>
            </w:tcBorders>
            <w:noWrap/>
            <w:vAlign w:val="bottom"/>
          </w:tcPr>
          <w:p w14:paraId="675C5128">
            <w:pPr>
              <w:widowControl/>
              <w:ind w:firstLine="0" w:firstLineChars="0"/>
              <w:jc w:val="right"/>
              <w:textAlignment w:val="bottom"/>
              <w:rPr>
                <w:rFonts w:eastAsia="仿宋"/>
                <w:color w:val="000000"/>
                <w:sz w:val="22"/>
              </w:rPr>
            </w:pPr>
            <w:r>
              <w:rPr>
                <w:rFonts w:eastAsia="仿宋"/>
                <w:color w:val="000000"/>
                <w:kern w:val="0"/>
                <w:sz w:val="22"/>
              </w:rPr>
              <w:t xml:space="preserve">0.0089 </w:t>
            </w:r>
          </w:p>
        </w:tc>
        <w:tc>
          <w:tcPr>
            <w:tcW w:w="0" w:type="auto"/>
            <w:tcBorders>
              <w:top w:val="single" w:color="000000" w:sz="4" w:space="0"/>
              <w:left w:val="nil"/>
              <w:bottom w:val="single" w:color="000000" w:sz="4" w:space="0"/>
              <w:right w:val="single" w:color="000000" w:sz="4" w:space="0"/>
            </w:tcBorders>
            <w:noWrap/>
            <w:vAlign w:val="bottom"/>
          </w:tcPr>
          <w:p w14:paraId="5BA25C4C">
            <w:pPr>
              <w:widowControl/>
              <w:ind w:firstLine="0" w:firstLineChars="0"/>
              <w:jc w:val="right"/>
              <w:textAlignment w:val="bottom"/>
              <w:rPr>
                <w:rFonts w:eastAsia="仿宋"/>
                <w:color w:val="000000"/>
                <w:sz w:val="22"/>
              </w:rPr>
            </w:pPr>
            <w:r>
              <w:rPr>
                <w:rFonts w:eastAsia="仿宋"/>
                <w:color w:val="000000"/>
                <w:kern w:val="0"/>
                <w:sz w:val="22"/>
              </w:rPr>
              <w:t xml:space="preserve">0.0108 </w:t>
            </w:r>
          </w:p>
        </w:tc>
        <w:tc>
          <w:tcPr>
            <w:tcW w:w="0" w:type="auto"/>
            <w:tcBorders>
              <w:top w:val="single" w:color="000000" w:sz="4" w:space="0"/>
              <w:left w:val="nil"/>
              <w:bottom w:val="single" w:color="000000" w:sz="4" w:space="0"/>
              <w:right w:val="single" w:color="000000" w:sz="4" w:space="0"/>
            </w:tcBorders>
            <w:noWrap/>
            <w:vAlign w:val="bottom"/>
          </w:tcPr>
          <w:p w14:paraId="7EBBB79B">
            <w:pPr>
              <w:widowControl/>
              <w:ind w:firstLine="0" w:firstLineChars="0"/>
              <w:jc w:val="right"/>
              <w:textAlignment w:val="bottom"/>
              <w:rPr>
                <w:rFonts w:eastAsia="仿宋"/>
                <w:color w:val="000000"/>
                <w:sz w:val="22"/>
              </w:rPr>
            </w:pPr>
            <w:r>
              <w:rPr>
                <w:rFonts w:eastAsia="仿宋"/>
                <w:color w:val="000000"/>
                <w:kern w:val="0"/>
                <w:sz w:val="22"/>
              </w:rPr>
              <w:t xml:space="preserve">0.0041 </w:t>
            </w:r>
          </w:p>
        </w:tc>
        <w:tc>
          <w:tcPr>
            <w:tcW w:w="0" w:type="auto"/>
            <w:tcBorders>
              <w:top w:val="single" w:color="000000" w:sz="4" w:space="0"/>
              <w:left w:val="nil"/>
              <w:bottom w:val="single" w:color="000000" w:sz="4" w:space="0"/>
              <w:right w:val="single" w:color="000000" w:sz="4" w:space="0"/>
            </w:tcBorders>
            <w:noWrap/>
            <w:vAlign w:val="bottom"/>
          </w:tcPr>
          <w:p w14:paraId="027FBA03">
            <w:pPr>
              <w:widowControl/>
              <w:ind w:firstLine="0" w:firstLineChars="0"/>
              <w:jc w:val="right"/>
              <w:textAlignment w:val="bottom"/>
              <w:rPr>
                <w:rFonts w:eastAsia="仿宋"/>
                <w:color w:val="000000"/>
                <w:sz w:val="22"/>
              </w:rPr>
            </w:pPr>
            <w:r>
              <w:rPr>
                <w:rFonts w:eastAsia="仿宋"/>
                <w:color w:val="000000"/>
                <w:kern w:val="0"/>
                <w:sz w:val="22"/>
              </w:rPr>
              <w:t xml:space="preserve">0.0080 </w:t>
            </w:r>
          </w:p>
        </w:tc>
        <w:tc>
          <w:tcPr>
            <w:tcW w:w="0" w:type="auto"/>
            <w:tcBorders>
              <w:top w:val="single" w:color="000000" w:sz="4" w:space="0"/>
              <w:left w:val="nil"/>
              <w:bottom w:val="single" w:color="000000" w:sz="4" w:space="0"/>
              <w:right w:val="single" w:color="000000" w:sz="4" w:space="0"/>
            </w:tcBorders>
            <w:noWrap/>
            <w:vAlign w:val="bottom"/>
          </w:tcPr>
          <w:p w14:paraId="790FAC93">
            <w:pPr>
              <w:widowControl/>
              <w:ind w:firstLine="0" w:firstLineChars="0"/>
              <w:jc w:val="right"/>
              <w:textAlignment w:val="bottom"/>
              <w:rPr>
                <w:rFonts w:eastAsia="仿宋"/>
                <w:color w:val="000000"/>
                <w:sz w:val="22"/>
              </w:rPr>
            </w:pPr>
            <w:r>
              <w:rPr>
                <w:rFonts w:eastAsia="仿宋"/>
                <w:color w:val="000000"/>
                <w:kern w:val="0"/>
                <w:sz w:val="22"/>
              </w:rPr>
              <w:t xml:space="preserve">0.0050 </w:t>
            </w:r>
          </w:p>
        </w:tc>
        <w:tc>
          <w:tcPr>
            <w:tcW w:w="0" w:type="auto"/>
            <w:tcBorders>
              <w:top w:val="single" w:color="000000" w:sz="4" w:space="0"/>
              <w:left w:val="nil"/>
              <w:bottom w:val="single" w:color="000000" w:sz="4" w:space="0"/>
              <w:right w:val="single" w:color="000000" w:sz="4" w:space="0"/>
            </w:tcBorders>
            <w:noWrap/>
            <w:vAlign w:val="bottom"/>
          </w:tcPr>
          <w:p w14:paraId="695C790A">
            <w:pPr>
              <w:widowControl/>
              <w:ind w:firstLine="0" w:firstLineChars="0"/>
              <w:jc w:val="right"/>
              <w:textAlignment w:val="bottom"/>
              <w:rPr>
                <w:rFonts w:eastAsia="仿宋"/>
                <w:color w:val="000000"/>
                <w:sz w:val="22"/>
              </w:rPr>
            </w:pPr>
            <w:r>
              <w:rPr>
                <w:rFonts w:eastAsia="仿宋"/>
                <w:color w:val="000000"/>
                <w:kern w:val="0"/>
                <w:sz w:val="22"/>
              </w:rPr>
              <w:t xml:space="preserve">0.0027 </w:t>
            </w:r>
          </w:p>
        </w:tc>
        <w:tc>
          <w:tcPr>
            <w:tcW w:w="0" w:type="auto"/>
            <w:tcBorders>
              <w:top w:val="single" w:color="000000" w:sz="4" w:space="0"/>
              <w:left w:val="nil"/>
              <w:bottom w:val="single" w:color="000000" w:sz="4" w:space="0"/>
              <w:right w:val="single" w:color="000000" w:sz="4" w:space="0"/>
            </w:tcBorders>
            <w:noWrap/>
            <w:vAlign w:val="bottom"/>
          </w:tcPr>
          <w:p w14:paraId="1B9C6C4C">
            <w:pPr>
              <w:widowControl/>
              <w:ind w:firstLine="0" w:firstLineChars="0"/>
              <w:jc w:val="right"/>
              <w:textAlignment w:val="bottom"/>
              <w:rPr>
                <w:rFonts w:eastAsia="仿宋"/>
                <w:color w:val="000000"/>
                <w:sz w:val="22"/>
              </w:rPr>
            </w:pPr>
            <w:r>
              <w:rPr>
                <w:rFonts w:eastAsia="仿宋"/>
                <w:color w:val="000000"/>
                <w:kern w:val="0"/>
                <w:sz w:val="22"/>
              </w:rPr>
              <w:t xml:space="preserve">0.0027 </w:t>
            </w:r>
          </w:p>
        </w:tc>
        <w:tc>
          <w:tcPr>
            <w:tcW w:w="0" w:type="auto"/>
            <w:tcBorders>
              <w:top w:val="single" w:color="000000" w:sz="4" w:space="0"/>
              <w:left w:val="nil"/>
              <w:bottom w:val="single" w:color="000000" w:sz="4" w:space="0"/>
              <w:right w:val="single" w:color="000000" w:sz="4" w:space="0"/>
            </w:tcBorders>
            <w:noWrap/>
            <w:vAlign w:val="bottom"/>
          </w:tcPr>
          <w:p w14:paraId="5AF35628">
            <w:pPr>
              <w:widowControl/>
              <w:ind w:firstLine="0" w:firstLineChars="0"/>
              <w:jc w:val="right"/>
              <w:textAlignment w:val="bottom"/>
              <w:rPr>
                <w:rFonts w:eastAsia="仿宋"/>
                <w:color w:val="000000"/>
                <w:sz w:val="22"/>
              </w:rPr>
            </w:pPr>
            <w:r>
              <w:rPr>
                <w:rFonts w:eastAsia="仿宋"/>
                <w:color w:val="000000"/>
                <w:kern w:val="0"/>
                <w:sz w:val="22"/>
              </w:rPr>
              <w:t xml:space="preserve">0.0010 </w:t>
            </w:r>
          </w:p>
        </w:tc>
      </w:tr>
      <w:tr w14:paraId="6A5904F6">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bottom"/>
          </w:tcPr>
          <w:p w14:paraId="77E8FCA9">
            <w:pPr>
              <w:widowControl/>
              <w:ind w:firstLine="0" w:firstLineChars="0"/>
              <w:jc w:val="center"/>
              <w:textAlignment w:val="bottom"/>
              <w:rPr>
                <w:rFonts w:eastAsia="仿宋"/>
                <w:color w:val="000000"/>
                <w:sz w:val="22"/>
              </w:rPr>
            </w:pPr>
            <w:r>
              <w:rPr>
                <w:rFonts w:ascii="仿宋" w:hAnsi="仿宋" w:eastAsia="仿宋"/>
                <w:color w:val="000000"/>
                <w:kern w:val="0"/>
                <w:sz w:val="22"/>
              </w:rPr>
              <w:t>人口乘数</w:t>
            </w:r>
            <w:r>
              <w:rPr>
                <w:rFonts w:eastAsia="仿宋"/>
                <w:color w:val="000000"/>
                <w:kern w:val="0"/>
                <w:sz w:val="22"/>
              </w:rPr>
              <w:t>x2</w:t>
            </w:r>
          </w:p>
        </w:tc>
        <w:tc>
          <w:tcPr>
            <w:tcW w:w="0" w:type="auto"/>
            <w:tcBorders>
              <w:top w:val="single" w:color="000000" w:sz="4" w:space="0"/>
              <w:left w:val="nil"/>
              <w:bottom w:val="single" w:color="000000" w:sz="4" w:space="0"/>
              <w:right w:val="single" w:color="000000" w:sz="4" w:space="0"/>
            </w:tcBorders>
            <w:noWrap/>
            <w:vAlign w:val="bottom"/>
          </w:tcPr>
          <w:p w14:paraId="4031E358">
            <w:pPr>
              <w:ind w:firstLine="0" w:firstLineChars="0"/>
              <w:rPr>
                <w:rFonts w:eastAsia="仿宋"/>
                <w:color w:val="000000"/>
                <w:sz w:val="22"/>
              </w:rPr>
            </w:pPr>
          </w:p>
        </w:tc>
        <w:tc>
          <w:tcPr>
            <w:tcW w:w="0" w:type="auto"/>
            <w:tcBorders>
              <w:top w:val="single" w:color="000000" w:sz="4" w:space="0"/>
              <w:left w:val="nil"/>
              <w:bottom w:val="single" w:color="000000" w:sz="4" w:space="0"/>
              <w:right w:val="single" w:color="000000" w:sz="4" w:space="0"/>
            </w:tcBorders>
            <w:noWrap/>
            <w:vAlign w:val="bottom"/>
          </w:tcPr>
          <w:p w14:paraId="54EB7BDD">
            <w:pPr>
              <w:widowControl/>
              <w:ind w:firstLine="0" w:firstLineChars="0"/>
              <w:jc w:val="right"/>
              <w:textAlignment w:val="bottom"/>
              <w:rPr>
                <w:rFonts w:eastAsia="仿宋"/>
                <w:color w:val="000000"/>
                <w:sz w:val="22"/>
              </w:rPr>
            </w:pPr>
            <w:r>
              <w:rPr>
                <w:rFonts w:eastAsia="仿宋"/>
                <w:color w:val="000000"/>
                <w:kern w:val="0"/>
                <w:sz w:val="22"/>
              </w:rPr>
              <w:t>1.02</w:t>
            </w:r>
          </w:p>
        </w:tc>
        <w:tc>
          <w:tcPr>
            <w:tcW w:w="0" w:type="auto"/>
            <w:tcBorders>
              <w:top w:val="single" w:color="000000" w:sz="4" w:space="0"/>
              <w:left w:val="nil"/>
              <w:bottom w:val="single" w:color="000000" w:sz="4" w:space="0"/>
              <w:right w:val="single" w:color="000000" w:sz="4" w:space="0"/>
            </w:tcBorders>
            <w:noWrap/>
            <w:vAlign w:val="bottom"/>
          </w:tcPr>
          <w:p w14:paraId="68FB9F68">
            <w:pPr>
              <w:widowControl/>
              <w:ind w:firstLine="0" w:firstLineChars="0"/>
              <w:jc w:val="right"/>
              <w:textAlignment w:val="bottom"/>
              <w:rPr>
                <w:rFonts w:eastAsia="仿宋"/>
                <w:color w:val="000000"/>
                <w:sz w:val="22"/>
              </w:rPr>
            </w:pPr>
            <w:r>
              <w:rPr>
                <w:rFonts w:eastAsia="仿宋"/>
                <w:color w:val="000000"/>
                <w:kern w:val="0"/>
                <w:sz w:val="22"/>
              </w:rPr>
              <w:t>0.62</w:t>
            </w:r>
          </w:p>
        </w:tc>
        <w:tc>
          <w:tcPr>
            <w:tcW w:w="0" w:type="auto"/>
            <w:tcBorders>
              <w:top w:val="single" w:color="000000" w:sz="4" w:space="0"/>
              <w:left w:val="nil"/>
              <w:bottom w:val="single" w:color="000000" w:sz="4" w:space="0"/>
              <w:right w:val="single" w:color="000000" w:sz="4" w:space="0"/>
            </w:tcBorders>
            <w:noWrap/>
            <w:vAlign w:val="bottom"/>
          </w:tcPr>
          <w:p w14:paraId="181F359F">
            <w:pPr>
              <w:widowControl/>
              <w:ind w:firstLine="0" w:firstLineChars="0"/>
              <w:jc w:val="right"/>
              <w:textAlignment w:val="bottom"/>
              <w:rPr>
                <w:rFonts w:eastAsia="仿宋"/>
                <w:color w:val="000000"/>
                <w:sz w:val="22"/>
              </w:rPr>
            </w:pPr>
            <w:r>
              <w:rPr>
                <w:rFonts w:eastAsia="仿宋"/>
                <w:color w:val="000000"/>
                <w:kern w:val="0"/>
                <w:sz w:val="22"/>
              </w:rPr>
              <w:t>0.74</w:t>
            </w:r>
          </w:p>
        </w:tc>
        <w:tc>
          <w:tcPr>
            <w:tcW w:w="0" w:type="auto"/>
            <w:tcBorders>
              <w:top w:val="single" w:color="000000" w:sz="4" w:space="0"/>
              <w:left w:val="nil"/>
              <w:bottom w:val="single" w:color="000000" w:sz="4" w:space="0"/>
              <w:right w:val="single" w:color="000000" w:sz="4" w:space="0"/>
            </w:tcBorders>
            <w:noWrap/>
            <w:vAlign w:val="bottom"/>
          </w:tcPr>
          <w:p w14:paraId="0058CA44">
            <w:pPr>
              <w:widowControl/>
              <w:ind w:firstLine="0" w:firstLineChars="0"/>
              <w:jc w:val="right"/>
              <w:textAlignment w:val="bottom"/>
              <w:rPr>
                <w:rFonts w:eastAsia="仿宋"/>
                <w:color w:val="000000"/>
                <w:sz w:val="22"/>
              </w:rPr>
            </w:pPr>
            <w:r>
              <w:rPr>
                <w:rFonts w:eastAsia="仿宋"/>
                <w:color w:val="000000"/>
                <w:kern w:val="0"/>
                <w:sz w:val="22"/>
              </w:rPr>
              <w:t>1.21</w:t>
            </w:r>
          </w:p>
        </w:tc>
        <w:tc>
          <w:tcPr>
            <w:tcW w:w="0" w:type="auto"/>
            <w:tcBorders>
              <w:top w:val="single" w:color="000000" w:sz="4" w:space="0"/>
              <w:left w:val="nil"/>
              <w:bottom w:val="single" w:color="000000" w:sz="4" w:space="0"/>
              <w:right w:val="single" w:color="000000" w:sz="4" w:space="0"/>
            </w:tcBorders>
            <w:noWrap/>
            <w:vAlign w:val="bottom"/>
          </w:tcPr>
          <w:p w14:paraId="69543A57">
            <w:pPr>
              <w:widowControl/>
              <w:ind w:firstLine="0" w:firstLineChars="0"/>
              <w:jc w:val="right"/>
              <w:textAlignment w:val="bottom"/>
              <w:rPr>
                <w:rFonts w:eastAsia="仿宋"/>
                <w:color w:val="000000"/>
                <w:sz w:val="22"/>
              </w:rPr>
            </w:pPr>
            <w:r>
              <w:rPr>
                <w:rFonts w:eastAsia="仿宋"/>
                <w:color w:val="000000"/>
                <w:kern w:val="0"/>
                <w:sz w:val="22"/>
              </w:rPr>
              <w:t>0.38</w:t>
            </w:r>
          </w:p>
        </w:tc>
        <w:tc>
          <w:tcPr>
            <w:tcW w:w="0" w:type="auto"/>
            <w:tcBorders>
              <w:top w:val="single" w:color="000000" w:sz="4" w:space="0"/>
              <w:left w:val="nil"/>
              <w:bottom w:val="single" w:color="000000" w:sz="4" w:space="0"/>
              <w:right w:val="single" w:color="000000" w:sz="4" w:space="0"/>
            </w:tcBorders>
            <w:noWrap/>
            <w:vAlign w:val="bottom"/>
          </w:tcPr>
          <w:p w14:paraId="5F4EF8D1">
            <w:pPr>
              <w:widowControl/>
              <w:ind w:firstLine="0" w:firstLineChars="0"/>
              <w:jc w:val="right"/>
              <w:textAlignment w:val="bottom"/>
              <w:rPr>
                <w:rFonts w:eastAsia="仿宋"/>
                <w:color w:val="000000"/>
                <w:sz w:val="22"/>
              </w:rPr>
            </w:pPr>
            <w:r>
              <w:rPr>
                <w:rFonts w:eastAsia="仿宋"/>
                <w:color w:val="000000"/>
                <w:kern w:val="0"/>
                <w:sz w:val="22"/>
              </w:rPr>
              <w:t>1.94</w:t>
            </w:r>
          </w:p>
        </w:tc>
        <w:tc>
          <w:tcPr>
            <w:tcW w:w="0" w:type="auto"/>
            <w:tcBorders>
              <w:top w:val="single" w:color="000000" w:sz="4" w:space="0"/>
              <w:left w:val="nil"/>
              <w:bottom w:val="single" w:color="000000" w:sz="4" w:space="0"/>
              <w:right w:val="single" w:color="000000" w:sz="4" w:space="0"/>
            </w:tcBorders>
            <w:noWrap/>
            <w:vAlign w:val="bottom"/>
          </w:tcPr>
          <w:p w14:paraId="73AC50A6">
            <w:pPr>
              <w:widowControl/>
              <w:ind w:firstLine="0" w:firstLineChars="0"/>
              <w:jc w:val="right"/>
              <w:textAlignment w:val="bottom"/>
              <w:rPr>
                <w:rFonts w:eastAsia="仿宋"/>
                <w:color w:val="000000"/>
                <w:sz w:val="22"/>
              </w:rPr>
            </w:pPr>
            <w:r>
              <w:rPr>
                <w:rFonts w:eastAsia="仿宋"/>
                <w:color w:val="000000"/>
                <w:kern w:val="0"/>
                <w:sz w:val="22"/>
              </w:rPr>
              <w:t>0.63</w:t>
            </w:r>
          </w:p>
        </w:tc>
        <w:tc>
          <w:tcPr>
            <w:tcW w:w="0" w:type="auto"/>
            <w:tcBorders>
              <w:top w:val="single" w:color="000000" w:sz="4" w:space="0"/>
              <w:left w:val="nil"/>
              <w:bottom w:val="single" w:color="000000" w:sz="4" w:space="0"/>
              <w:right w:val="single" w:color="000000" w:sz="4" w:space="0"/>
            </w:tcBorders>
            <w:noWrap/>
            <w:vAlign w:val="bottom"/>
          </w:tcPr>
          <w:p w14:paraId="349EF1A2">
            <w:pPr>
              <w:widowControl/>
              <w:ind w:firstLine="0" w:firstLineChars="0"/>
              <w:jc w:val="right"/>
              <w:textAlignment w:val="bottom"/>
              <w:rPr>
                <w:rFonts w:eastAsia="仿宋"/>
                <w:color w:val="000000"/>
                <w:sz w:val="22"/>
              </w:rPr>
            </w:pPr>
            <w:r>
              <w:rPr>
                <w:rFonts w:eastAsia="仿宋"/>
                <w:color w:val="000000"/>
                <w:kern w:val="0"/>
                <w:sz w:val="22"/>
              </w:rPr>
              <w:t>0.54</w:t>
            </w:r>
          </w:p>
        </w:tc>
        <w:tc>
          <w:tcPr>
            <w:tcW w:w="0" w:type="auto"/>
            <w:tcBorders>
              <w:top w:val="single" w:color="000000" w:sz="4" w:space="0"/>
              <w:left w:val="nil"/>
              <w:bottom w:val="single" w:color="000000" w:sz="4" w:space="0"/>
              <w:right w:val="single" w:color="000000" w:sz="4" w:space="0"/>
            </w:tcBorders>
            <w:noWrap/>
            <w:vAlign w:val="bottom"/>
          </w:tcPr>
          <w:p w14:paraId="50A89B1C">
            <w:pPr>
              <w:widowControl/>
              <w:ind w:firstLine="0" w:firstLineChars="0"/>
              <w:jc w:val="right"/>
              <w:textAlignment w:val="bottom"/>
              <w:rPr>
                <w:rFonts w:eastAsia="仿宋"/>
                <w:color w:val="000000"/>
                <w:sz w:val="22"/>
              </w:rPr>
            </w:pPr>
            <w:r>
              <w:rPr>
                <w:rFonts w:eastAsia="仿宋"/>
                <w:color w:val="000000"/>
                <w:kern w:val="0"/>
                <w:sz w:val="22"/>
              </w:rPr>
              <w:t>1.01</w:t>
            </w:r>
          </w:p>
        </w:tc>
        <w:tc>
          <w:tcPr>
            <w:tcW w:w="0" w:type="auto"/>
            <w:tcBorders>
              <w:top w:val="single" w:color="000000" w:sz="4" w:space="0"/>
              <w:left w:val="nil"/>
              <w:bottom w:val="single" w:color="000000" w:sz="4" w:space="0"/>
              <w:right w:val="single" w:color="000000" w:sz="4" w:space="0"/>
            </w:tcBorders>
            <w:noWrap/>
            <w:vAlign w:val="bottom"/>
          </w:tcPr>
          <w:p w14:paraId="6F53510B">
            <w:pPr>
              <w:widowControl/>
              <w:ind w:firstLine="0" w:firstLineChars="0"/>
              <w:jc w:val="right"/>
              <w:textAlignment w:val="bottom"/>
              <w:rPr>
                <w:rFonts w:eastAsia="仿宋"/>
                <w:color w:val="000000"/>
                <w:sz w:val="22"/>
              </w:rPr>
            </w:pPr>
            <w:r>
              <w:rPr>
                <w:rFonts w:eastAsia="仿宋"/>
                <w:color w:val="000000"/>
                <w:kern w:val="0"/>
                <w:sz w:val="22"/>
              </w:rPr>
              <w:t>0.36</w:t>
            </w:r>
          </w:p>
        </w:tc>
      </w:tr>
      <w:tr w14:paraId="48D022E7">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bottom"/>
          </w:tcPr>
          <w:p w14:paraId="742035D8">
            <w:pPr>
              <w:widowControl/>
              <w:ind w:firstLine="0" w:firstLineChars="0"/>
              <w:jc w:val="center"/>
              <w:textAlignment w:val="bottom"/>
              <w:rPr>
                <w:rFonts w:eastAsia="仿宋"/>
                <w:color w:val="000000"/>
                <w:sz w:val="22"/>
              </w:rPr>
            </w:pPr>
            <w:r>
              <w:rPr>
                <w:rFonts w:ascii="仿宋" w:hAnsi="仿宋" w:eastAsia="仿宋"/>
                <w:color w:val="000000"/>
                <w:kern w:val="0"/>
                <w:sz w:val="22"/>
              </w:rPr>
              <w:t>农林消费部门经济增加值占比</w:t>
            </w:r>
            <w:r>
              <w:rPr>
                <w:rFonts w:eastAsia="仿宋"/>
                <w:color w:val="000000"/>
                <w:kern w:val="0"/>
                <w:sz w:val="22"/>
              </w:rPr>
              <w:t>x3-1</w:t>
            </w:r>
          </w:p>
        </w:tc>
        <w:tc>
          <w:tcPr>
            <w:tcW w:w="0" w:type="auto"/>
            <w:tcBorders>
              <w:top w:val="single" w:color="000000" w:sz="4" w:space="0"/>
              <w:left w:val="nil"/>
              <w:bottom w:val="single" w:color="000000" w:sz="4" w:space="0"/>
              <w:right w:val="single" w:color="000000" w:sz="4" w:space="0"/>
            </w:tcBorders>
            <w:noWrap/>
            <w:vAlign w:val="bottom"/>
          </w:tcPr>
          <w:p w14:paraId="12BE8F91">
            <w:pPr>
              <w:ind w:firstLine="0" w:firstLineChars="0"/>
              <w:rPr>
                <w:rFonts w:eastAsia="仿宋"/>
                <w:color w:val="000000"/>
                <w:sz w:val="22"/>
              </w:rPr>
            </w:pPr>
          </w:p>
        </w:tc>
        <w:tc>
          <w:tcPr>
            <w:tcW w:w="0" w:type="auto"/>
            <w:tcBorders>
              <w:top w:val="single" w:color="000000" w:sz="4" w:space="0"/>
              <w:left w:val="nil"/>
              <w:bottom w:val="single" w:color="000000" w:sz="4" w:space="0"/>
              <w:right w:val="single" w:color="000000" w:sz="4" w:space="0"/>
            </w:tcBorders>
            <w:noWrap/>
            <w:vAlign w:val="bottom"/>
          </w:tcPr>
          <w:p w14:paraId="339656F6">
            <w:pPr>
              <w:widowControl/>
              <w:ind w:firstLine="0" w:firstLineChars="0"/>
              <w:jc w:val="right"/>
              <w:textAlignment w:val="bottom"/>
              <w:rPr>
                <w:rFonts w:eastAsia="仿宋"/>
                <w:color w:val="000000"/>
                <w:sz w:val="22"/>
              </w:rPr>
            </w:pPr>
            <w:r>
              <w:rPr>
                <w:rFonts w:eastAsia="仿宋"/>
                <w:color w:val="000000"/>
                <w:kern w:val="0"/>
                <w:sz w:val="22"/>
              </w:rPr>
              <w:t xml:space="preserve">0.06 </w:t>
            </w:r>
          </w:p>
        </w:tc>
        <w:tc>
          <w:tcPr>
            <w:tcW w:w="0" w:type="auto"/>
            <w:tcBorders>
              <w:top w:val="single" w:color="000000" w:sz="4" w:space="0"/>
              <w:left w:val="nil"/>
              <w:bottom w:val="single" w:color="000000" w:sz="4" w:space="0"/>
              <w:right w:val="single" w:color="000000" w:sz="4" w:space="0"/>
            </w:tcBorders>
            <w:noWrap/>
            <w:vAlign w:val="bottom"/>
          </w:tcPr>
          <w:p w14:paraId="2992F86E">
            <w:pPr>
              <w:widowControl/>
              <w:ind w:firstLine="0" w:firstLineChars="0"/>
              <w:jc w:val="right"/>
              <w:textAlignment w:val="bottom"/>
              <w:rPr>
                <w:rFonts w:eastAsia="仿宋"/>
                <w:color w:val="000000"/>
                <w:sz w:val="22"/>
              </w:rPr>
            </w:pPr>
            <w:r>
              <w:rPr>
                <w:rFonts w:eastAsia="仿宋"/>
                <w:color w:val="000000"/>
                <w:kern w:val="0"/>
                <w:sz w:val="22"/>
              </w:rPr>
              <w:t xml:space="preserve">0.06 </w:t>
            </w:r>
          </w:p>
        </w:tc>
        <w:tc>
          <w:tcPr>
            <w:tcW w:w="0" w:type="auto"/>
            <w:tcBorders>
              <w:top w:val="single" w:color="000000" w:sz="4" w:space="0"/>
              <w:left w:val="nil"/>
              <w:bottom w:val="single" w:color="000000" w:sz="4" w:space="0"/>
              <w:right w:val="single" w:color="000000" w:sz="4" w:space="0"/>
            </w:tcBorders>
            <w:noWrap/>
            <w:vAlign w:val="bottom"/>
          </w:tcPr>
          <w:p w14:paraId="06515E5E">
            <w:pPr>
              <w:widowControl/>
              <w:ind w:firstLine="0" w:firstLineChars="0"/>
              <w:jc w:val="right"/>
              <w:textAlignment w:val="bottom"/>
              <w:rPr>
                <w:rFonts w:eastAsia="仿宋"/>
                <w:color w:val="000000"/>
                <w:sz w:val="22"/>
              </w:rPr>
            </w:pPr>
            <w:r>
              <w:rPr>
                <w:rFonts w:eastAsia="仿宋"/>
                <w:color w:val="000000"/>
                <w:kern w:val="0"/>
                <w:sz w:val="22"/>
              </w:rPr>
              <w:t xml:space="preserve">0.06 </w:t>
            </w:r>
          </w:p>
        </w:tc>
        <w:tc>
          <w:tcPr>
            <w:tcW w:w="0" w:type="auto"/>
            <w:tcBorders>
              <w:top w:val="single" w:color="000000" w:sz="4" w:space="0"/>
              <w:left w:val="nil"/>
              <w:bottom w:val="single" w:color="000000" w:sz="4" w:space="0"/>
              <w:right w:val="single" w:color="000000" w:sz="4" w:space="0"/>
            </w:tcBorders>
            <w:noWrap/>
            <w:vAlign w:val="bottom"/>
          </w:tcPr>
          <w:p w14:paraId="7A9DFDC8">
            <w:pPr>
              <w:widowControl/>
              <w:ind w:firstLine="0" w:firstLineChars="0"/>
              <w:jc w:val="right"/>
              <w:textAlignment w:val="bottom"/>
              <w:rPr>
                <w:rFonts w:eastAsia="仿宋"/>
                <w:color w:val="000000"/>
                <w:sz w:val="22"/>
              </w:rPr>
            </w:pPr>
            <w:r>
              <w:rPr>
                <w:rFonts w:eastAsia="仿宋"/>
                <w:color w:val="000000"/>
                <w:kern w:val="0"/>
                <w:sz w:val="22"/>
              </w:rPr>
              <w:t xml:space="preserve">0.06 </w:t>
            </w:r>
          </w:p>
        </w:tc>
        <w:tc>
          <w:tcPr>
            <w:tcW w:w="0" w:type="auto"/>
            <w:tcBorders>
              <w:top w:val="single" w:color="000000" w:sz="4" w:space="0"/>
              <w:left w:val="nil"/>
              <w:bottom w:val="single" w:color="000000" w:sz="4" w:space="0"/>
              <w:right w:val="single" w:color="000000" w:sz="4" w:space="0"/>
            </w:tcBorders>
            <w:noWrap/>
            <w:vAlign w:val="bottom"/>
          </w:tcPr>
          <w:p w14:paraId="1A1DE65B">
            <w:pPr>
              <w:widowControl/>
              <w:ind w:firstLine="0" w:firstLineChars="0"/>
              <w:jc w:val="right"/>
              <w:textAlignment w:val="bottom"/>
              <w:rPr>
                <w:rFonts w:eastAsia="仿宋"/>
                <w:color w:val="000000"/>
                <w:sz w:val="22"/>
              </w:rPr>
            </w:pPr>
            <w:r>
              <w:rPr>
                <w:rFonts w:eastAsia="仿宋"/>
                <w:color w:val="000000"/>
                <w:kern w:val="0"/>
                <w:sz w:val="22"/>
              </w:rPr>
              <w:t xml:space="preserve">0.06 </w:t>
            </w:r>
          </w:p>
        </w:tc>
        <w:tc>
          <w:tcPr>
            <w:tcW w:w="0" w:type="auto"/>
            <w:tcBorders>
              <w:top w:val="single" w:color="000000" w:sz="4" w:space="0"/>
              <w:left w:val="nil"/>
              <w:bottom w:val="single" w:color="000000" w:sz="4" w:space="0"/>
              <w:right w:val="single" w:color="000000" w:sz="4" w:space="0"/>
            </w:tcBorders>
            <w:noWrap/>
            <w:vAlign w:val="bottom"/>
          </w:tcPr>
          <w:p w14:paraId="081AFEEA">
            <w:pPr>
              <w:widowControl/>
              <w:ind w:firstLine="0" w:firstLineChars="0"/>
              <w:jc w:val="right"/>
              <w:textAlignment w:val="bottom"/>
              <w:rPr>
                <w:rFonts w:eastAsia="仿宋"/>
                <w:color w:val="000000"/>
                <w:sz w:val="22"/>
              </w:rPr>
            </w:pPr>
            <w:r>
              <w:rPr>
                <w:rFonts w:eastAsia="仿宋"/>
                <w:color w:val="000000"/>
                <w:kern w:val="0"/>
                <w:sz w:val="22"/>
              </w:rPr>
              <w:t xml:space="preserve">0.06 </w:t>
            </w:r>
          </w:p>
        </w:tc>
        <w:tc>
          <w:tcPr>
            <w:tcW w:w="0" w:type="auto"/>
            <w:tcBorders>
              <w:top w:val="single" w:color="000000" w:sz="4" w:space="0"/>
              <w:left w:val="nil"/>
              <w:bottom w:val="single" w:color="000000" w:sz="4" w:space="0"/>
              <w:right w:val="single" w:color="000000" w:sz="4" w:space="0"/>
            </w:tcBorders>
            <w:noWrap/>
            <w:vAlign w:val="bottom"/>
          </w:tcPr>
          <w:p w14:paraId="0EB1FFEC">
            <w:pPr>
              <w:widowControl/>
              <w:ind w:firstLine="0" w:firstLineChars="0"/>
              <w:jc w:val="right"/>
              <w:textAlignment w:val="bottom"/>
              <w:rPr>
                <w:rFonts w:eastAsia="仿宋"/>
                <w:color w:val="000000"/>
                <w:sz w:val="22"/>
              </w:rPr>
            </w:pPr>
            <w:r>
              <w:rPr>
                <w:rFonts w:eastAsia="仿宋"/>
                <w:color w:val="000000"/>
                <w:kern w:val="0"/>
                <w:sz w:val="22"/>
              </w:rPr>
              <w:t xml:space="preserve">0.05 </w:t>
            </w:r>
          </w:p>
        </w:tc>
        <w:tc>
          <w:tcPr>
            <w:tcW w:w="0" w:type="auto"/>
            <w:tcBorders>
              <w:top w:val="single" w:color="000000" w:sz="4" w:space="0"/>
              <w:left w:val="nil"/>
              <w:bottom w:val="single" w:color="000000" w:sz="4" w:space="0"/>
              <w:right w:val="single" w:color="000000" w:sz="4" w:space="0"/>
            </w:tcBorders>
            <w:noWrap/>
            <w:vAlign w:val="bottom"/>
          </w:tcPr>
          <w:p w14:paraId="5DB3BAF4">
            <w:pPr>
              <w:widowControl/>
              <w:ind w:firstLine="0" w:firstLineChars="0"/>
              <w:jc w:val="right"/>
              <w:textAlignment w:val="bottom"/>
              <w:rPr>
                <w:rFonts w:eastAsia="仿宋"/>
                <w:color w:val="000000"/>
                <w:sz w:val="22"/>
              </w:rPr>
            </w:pPr>
            <w:r>
              <w:rPr>
                <w:rFonts w:eastAsia="仿宋"/>
                <w:color w:val="000000"/>
                <w:kern w:val="0"/>
                <w:sz w:val="22"/>
              </w:rPr>
              <w:t xml:space="preserve">0.05 </w:t>
            </w:r>
          </w:p>
        </w:tc>
        <w:tc>
          <w:tcPr>
            <w:tcW w:w="0" w:type="auto"/>
            <w:tcBorders>
              <w:top w:val="single" w:color="000000" w:sz="4" w:space="0"/>
              <w:left w:val="nil"/>
              <w:bottom w:val="single" w:color="000000" w:sz="4" w:space="0"/>
              <w:right w:val="single" w:color="000000" w:sz="4" w:space="0"/>
            </w:tcBorders>
            <w:noWrap/>
            <w:vAlign w:val="bottom"/>
          </w:tcPr>
          <w:p w14:paraId="531801A6">
            <w:pPr>
              <w:widowControl/>
              <w:ind w:firstLine="0" w:firstLineChars="0"/>
              <w:jc w:val="right"/>
              <w:textAlignment w:val="bottom"/>
              <w:rPr>
                <w:rFonts w:eastAsia="仿宋"/>
                <w:color w:val="000000"/>
                <w:sz w:val="22"/>
              </w:rPr>
            </w:pPr>
            <w:r>
              <w:rPr>
                <w:rFonts w:eastAsia="仿宋"/>
                <w:color w:val="000000"/>
                <w:kern w:val="0"/>
                <w:sz w:val="22"/>
              </w:rPr>
              <w:t xml:space="preserve">0.04 </w:t>
            </w:r>
          </w:p>
        </w:tc>
        <w:tc>
          <w:tcPr>
            <w:tcW w:w="0" w:type="auto"/>
            <w:tcBorders>
              <w:top w:val="single" w:color="000000" w:sz="4" w:space="0"/>
              <w:left w:val="nil"/>
              <w:bottom w:val="single" w:color="000000" w:sz="4" w:space="0"/>
              <w:right w:val="single" w:color="000000" w:sz="4" w:space="0"/>
            </w:tcBorders>
            <w:noWrap/>
            <w:vAlign w:val="bottom"/>
          </w:tcPr>
          <w:p w14:paraId="5B04236E">
            <w:pPr>
              <w:widowControl/>
              <w:ind w:firstLine="0" w:firstLineChars="0"/>
              <w:jc w:val="right"/>
              <w:textAlignment w:val="bottom"/>
              <w:rPr>
                <w:rFonts w:eastAsia="仿宋"/>
                <w:color w:val="000000"/>
                <w:sz w:val="22"/>
              </w:rPr>
            </w:pPr>
            <w:r>
              <w:rPr>
                <w:rFonts w:eastAsia="仿宋"/>
                <w:color w:val="000000"/>
                <w:kern w:val="0"/>
                <w:sz w:val="22"/>
              </w:rPr>
              <w:t xml:space="preserve">0.04 </w:t>
            </w:r>
          </w:p>
        </w:tc>
      </w:tr>
      <w:tr w14:paraId="38924916">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bottom"/>
          </w:tcPr>
          <w:p w14:paraId="73D7DFFE">
            <w:pPr>
              <w:widowControl/>
              <w:ind w:firstLine="0" w:firstLineChars="0"/>
              <w:jc w:val="center"/>
              <w:textAlignment w:val="bottom"/>
              <w:rPr>
                <w:rFonts w:eastAsia="仿宋"/>
                <w:color w:val="000000"/>
                <w:sz w:val="22"/>
              </w:rPr>
            </w:pPr>
            <w:r>
              <w:rPr>
                <w:rFonts w:ascii="仿宋" w:hAnsi="仿宋" w:eastAsia="仿宋"/>
                <w:color w:val="000000"/>
                <w:kern w:val="0"/>
                <w:sz w:val="22"/>
              </w:rPr>
              <w:t>能源供应部门经济增加值占比</w:t>
            </w:r>
            <w:r>
              <w:rPr>
                <w:rFonts w:eastAsia="仿宋"/>
                <w:color w:val="000000"/>
                <w:kern w:val="0"/>
                <w:sz w:val="22"/>
              </w:rPr>
              <w:t>x3-2</w:t>
            </w:r>
          </w:p>
        </w:tc>
        <w:tc>
          <w:tcPr>
            <w:tcW w:w="0" w:type="auto"/>
            <w:tcBorders>
              <w:top w:val="single" w:color="000000" w:sz="4" w:space="0"/>
              <w:left w:val="nil"/>
              <w:bottom w:val="single" w:color="000000" w:sz="4" w:space="0"/>
              <w:right w:val="single" w:color="000000" w:sz="4" w:space="0"/>
            </w:tcBorders>
            <w:noWrap/>
            <w:vAlign w:val="bottom"/>
          </w:tcPr>
          <w:p w14:paraId="3BB8F894">
            <w:pPr>
              <w:ind w:firstLine="0" w:firstLineChars="0"/>
              <w:rPr>
                <w:rFonts w:eastAsia="仿宋"/>
                <w:color w:val="000000"/>
                <w:sz w:val="22"/>
              </w:rPr>
            </w:pPr>
          </w:p>
        </w:tc>
        <w:tc>
          <w:tcPr>
            <w:tcW w:w="0" w:type="auto"/>
            <w:tcBorders>
              <w:top w:val="single" w:color="000000" w:sz="4" w:space="0"/>
              <w:left w:val="nil"/>
              <w:bottom w:val="single" w:color="000000" w:sz="4" w:space="0"/>
              <w:right w:val="single" w:color="000000" w:sz="4" w:space="0"/>
            </w:tcBorders>
            <w:noWrap/>
            <w:vAlign w:val="bottom"/>
          </w:tcPr>
          <w:p w14:paraId="42250F6C">
            <w:pPr>
              <w:widowControl/>
              <w:ind w:firstLine="0" w:firstLineChars="0"/>
              <w:jc w:val="right"/>
              <w:textAlignment w:val="bottom"/>
              <w:rPr>
                <w:rFonts w:eastAsia="仿宋"/>
                <w:color w:val="000000"/>
                <w:sz w:val="22"/>
              </w:rPr>
            </w:pPr>
            <w:r>
              <w:rPr>
                <w:rFonts w:eastAsia="仿宋"/>
                <w:color w:val="000000"/>
                <w:kern w:val="0"/>
                <w:sz w:val="22"/>
              </w:rPr>
              <w:t xml:space="preserve">0.02 </w:t>
            </w:r>
          </w:p>
        </w:tc>
        <w:tc>
          <w:tcPr>
            <w:tcW w:w="0" w:type="auto"/>
            <w:tcBorders>
              <w:top w:val="single" w:color="000000" w:sz="4" w:space="0"/>
              <w:left w:val="nil"/>
              <w:bottom w:val="single" w:color="000000" w:sz="4" w:space="0"/>
              <w:right w:val="single" w:color="000000" w:sz="4" w:space="0"/>
            </w:tcBorders>
            <w:noWrap/>
            <w:vAlign w:val="bottom"/>
          </w:tcPr>
          <w:p w14:paraId="22CD6AEB">
            <w:pPr>
              <w:widowControl/>
              <w:ind w:firstLine="0" w:firstLineChars="0"/>
              <w:jc w:val="right"/>
              <w:textAlignment w:val="bottom"/>
              <w:rPr>
                <w:rFonts w:eastAsia="仿宋"/>
                <w:color w:val="000000"/>
                <w:sz w:val="22"/>
              </w:rPr>
            </w:pPr>
            <w:r>
              <w:rPr>
                <w:rFonts w:eastAsia="仿宋"/>
                <w:color w:val="000000"/>
                <w:kern w:val="0"/>
                <w:sz w:val="22"/>
              </w:rPr>
              <w:t xml:space="preserve">0.02 </w:t>
            </w:r>
          </w:p>
        </w:tc>
        <w:tc>
          <w:tcPr>
            <w:tcW w:w="0" w:type="auto"/>
            <w:tcBorders>
              <w:top w:val="single" w:color="000000" w:sz="4" w:space="0"/>
              <w:left w:val="nil"/>
              <w:bottom w:val="single" w:color="000000" w:sz="4" w:space="0"/>
              <w:right w:val="single" w:color="000000" w:sz="4" w:space="0"/>
            </w:tcBorders>
            <w:noWrap/>
            <w:vAlign w:val="bottom"/>
          </w:tcPr>
          <w:p w14:paraId="3D8B7431">
            <w:pPr>
              <w:widowControl/>
              <w:ind w:firstLine="0" w:firstLineChars="0"/>
              <w:jc w:val="right"/>
              <w:textAlignment w:val="bottom"/>
              <w:rPr>
                <w:rFonts w:eastAsia="仿宋"/>
                <w:color w:val="000000"/>
                <w:sz w:val="22"/>
              </w:rPr>
            </w:pPr>
            <w:r>
              <w:rPr>
                <w:rFonts w:eastAsia="仿宋"/>
                <w:color w:val="000000"/>
                <w:kern w:val="0"/>
                <w:sz w:val="22"/>
              </w:rPr>
              <w:t xml:space="preserve">0.02 </w:t>
            </w:r>
          </w:p>
        </w:tc>
        <w:tc>
          <w:tcPr>
            <w:tcW w:w="0" w:type="auto"/>
            <w:tcBorders>
              <w:top w:val="single" w:color="000000" w:sz="4" w:space="0"/>
              <w:left w:val="nil"/>
              <w:bottom w:val="single" w:color="000000" w:sz="4" w:space="0"/>
              <w:right w:val="single" w:color="000000" w:sz="4" w:space="0"/>
            </w:tcBorders>
            <w:noWrap/>
            <w:vAlign w:val="bottom"/>
          </w:tcPr>
          <w:p w14:paraId="29F545D5">
            <w:pPr>
              <w:widowControl/>
              <w:ind w:firstLine="0" w:firstLineChars="0"/>
              <w:jc w:val="right"/>
              <w:textAlignment w:val="bottom"/>
              <w:rPr>
                <w:rFonts w:eastAsia="仿宋"/>
                <w:color w:val="000000"/>
                <w:sz w:val="22"/>
              </w:rPr>
            </w:pPr>
            <w:r>
              <w:rPr>
                <w:rFonts w:eastAsia="仿宋"/>
                <w:color w:val="000000"/>
                <w:kern w:val="0"/>
                <w:sz w:val="22"/>
              </w:rPr>
              <w:t xml:space="preserve">0.02 </w:t>
            </w:r>
          </w:p>
        </w:tc>
        <w:tc>
          <w:tcPr>
            <w:tcW w:w="0" w:type="auto"/>
            <w:tcBorders>
              <w:top w:val="single" w:color="000000" w:sz="4" w:space="0"/>
              <w:left w:val="nil"/>
              <w:bottom w:val="single" w:color="000000" w:sz="4" w:space="0"/>
              <w:right w:val="single" w:color="000000" w:sz="4" w:space="0"/>
            </w:tcBorders>
            <w:noWrap/>
            <w:vAlign w:val="bottom"/>
          </w:tcPr>
          <w:p w14:paraId="4184C18A">
            <w:pPr>
              <w:widowControl/>
              <w:ind w:firstLine="0" w:firstLineChars="0"/>
              <w:jc w:val="right"/>
              <w:textAlignment w:val="bottom"/>
              <w:rPr>
                <w:rFonts w:eastAsia="仿宋"/>
                <w:color w:val="000000"/>
                <w:sz w:val="22"/>
              </w:rPr>
            </w:pPr>
            <w:r>
              <w:rPr>
                <w:rFonts w:eastAsia="仿宋"/>
                <w:color w:val="000000"/>
                <w:kern w:val="0"/>
                <w:sz w:val="22"/>
              </w:rPr>
              <w:t xml:space="preserve">0.02 </w:t>
            </w:r>
          </w:p>
        </w:tc>
        <w:tc>
          <w:tcPr>
            <w:tcW w:w="0" w:type="auto"/>
            <w:tcBorders>
              <w:top w:val="single" w:color="000000" w:sz="4" w:space="0"/>
              <w:left w:val="nil"/>
              <w:bottom w:val="single" w:color="000000" w:sz="4" w:space="0"/>
              <w:right w:val="single" w:color="000000" w:sz="4" w:space="0"/>
            </w:tcBorders>
            <w:noWrap/>
            <w:vAlign w:val="bottom"/>
          </w:tcPr>
          <w:p w14:paraId="1D0197B6">
            <w:pPr>
              <w:widowControl/>
              <w:ind w:firstLine="0" w:firstLineChars="0"/>
              <w:jc w:val="right"/>
              <w:textAlignment w:val="bottom"/>
              <w:rPr>
                <w:rFonts w:eastAsia="仿宋"/>
                <w:color w:val="000000"/>
                <w:sz w:val="22"/>
              </w:rPr>
            </w:pPr>
            <w:r>
              <w:rPr>
                <w:rFonts w:eastAsia="仿宋"/>
                <w:color w:val="000000"/>
                <w:kern w:val="0"/>
                <w:sz w:val="22"/>
              </w:rPr>
              <w:t xml:space="preserve">0.02 </w:t>
            </w:r>
          </w:p>
        </w:tc>
        <w:tc>
          <w:tcPr>
            <w:tcW w:w="0" w:type="auto"/>
            <w:tcBorders>
              <w:top w:val="single" w:color="000000" w:sz="4" w:space="0"/>
              <w:left w:val="nil"/>
              <w:bottom w:val="single" w:color="000000" w:sz="4" w:space="0"/>
              <w:right w:val="single" w:color="000000" w:sz="4" w:space="0"/>
            </w:tcBorders>
            <w:noWrap/>
            <w:vAlign w:val="bottom"/>
          </w:tcPr>
          <w:p w14:paraId="6125ED05">
            <w:pPr>
              <w:widowControl/>
              <w:ind w:firstLine="0" w:firstLineChars="0"/>
              <w:jc w:val="right"/>
              <w:textAlignment w:val="bottom"/>
              <w:rPr>
                <w:rFonts w:eastAsia="仿宋"/>
                <w:color w:val="000000"/>
                <w:sz w:val="22"/>
              </w:rPr>
            </w:pPr>
            <w:r>
              <w:rPr>
                <w:rFonts w:eastAsia="仿宋"/>
                <w:color w:val="000000"/>
                <w:kern w:val="0"/>
                <w:sz w:val="22"/>
              </w:rPr>
              <w:t xml:space="preserve">0.02 </w:t>
            </w:r>
          </w:p>
        </w:tc>
        <w:tc>
          <w:tcPr>
            <w:tcW w:w="0" w:type="auto"/>
            <w:tcBorders>
              <w:top w:val="single" w:color="000000" w:sz="4" w:space="0"/>
              <w:left w:val="nil"/>
              <w:bottom w:val="single" w:color="000000" w:sz="4" w:space="0"/>
              <w:right w:val="single" w:color="000000" w:sz="4" w:space="0"/>
            </w:tcBorders>
            <w:noWrap/>
            <w:vAlign w:val="bottom"/>
          </w:tcPr>
          <w:p w14:paraId="0702B2BC">
            <w:pPr>
              <w:widowControl/>
              <w:ind w:firstLine="0" w:firstLineChars="0"/>
              <w:jc w:val="right"/>
              <w:textAlignment w:val="bottom"/>
              <w:rPr>
                <w:rFonts w:eastAsia="仿宋"/>
                <w:color w:val="000000"/>
                <w:sz w:val="22"/>
              </w:rPr>
            </w:pPr>
            <w:r>
              <w:rPr>
                <w:rFonts w:eastAsia="仿宋"/>
                <w:color w:val="000000"/>
                <w:kern w:val="0"/>
                <w:sz w:val="22"/>
              </w:rPr>
              <w:t xml:space="preserve">0.02 </w:t>
            </w:r>
          </w:p>
        </w:tc>
        <w:tc>
          <w:tcPr>
            <w:tcW w:w="0" w:type="auto"/>
            <w:tcBorders>
              <w:top w:val="single" w:color="000000" w:sz="4" w:space="0"/>
              <w:left w:val="nil"/>
              <w:bottom w:val="single" w:color="000000" w:sz="4" w:space="0"/>
              <w:right w:val="single" w:color="000000" w:sz="4" w:space="0"/>
            </w:tcBorders>
            <w:noWrap/>
            <w:vAlign w:val="bottom"/>
          </w:tcPr>
          <w:p w14:paraId="0D8F8894">
            <w:pPr>
              <w:widowControl/>
              <w:ind w:firstLine="0" w:firstLineChars="0"/>
              <w:jc w:val="right"/>
              <w:textAlignment w:val="bottom"/>
              <w:rPr>
                <w:rFonts w:eastAsia="仿宋"/>
                <w:color w:val="000000"/>
                <w:sz w:val="22"/>
              </w:rPr>
            </w:pPr>
            <w:r>
              <w:rPr>
                <w:rFonts w:eastAsia="仿宋"/>
                <w:color w:val="000000"/>
                <w:kern w:val="0"/>
                <w:sz w:val="22"/>
              </w:rPr>
              <w:t xml:space="preserve">0.02 </w:t>
            </w:r>
          </w:p>
        </w:tc>
        <w:tc>
          <w:tcPr>
            <w:tcW w:w="0" w:type="auto"/>
            <w:tcBorders>
              <w:top w:val="single" w:color="000000" w:sz="4" w:space="0"/>
              <w:left w:val="nil"/>
              <w:bottom w:val="single" w:color="000000" w:sz="4" w:space="0"/>
              <w:right w:val="single" w:color="000000" w:sz="4" w:space="0"/>
            </w:tcBorders>
            <w:noWrap/>
            <w:vAlign w:val="bottom"/>
          </w:tcPr>
          <w:p w14:paraId="567744AB">
            <w:pPr>
              <w:widowControl/>
              <w:ind w:firstLine="0" w:firstLineChars="0"/>
              <w:jc w:val="right"/>
              <w:textAlignment w:val="bottom"/>
              <w:rPr>
                <w:rFonts w:eastAsia="仿宋"/>
                <w:color w:val="000000"/>
                <w:sz w:val="22"/>
              </w:rPr>
            </w:pPr>
            <w:r>
              <w:rPr>
                <w:rFonts w:eastAsia="仿宋"/>
                <w:color w:val="000000"/>
                <w:kern w:val="0"/>
                <w:sz w:val="22"/>
              </w:rPr>
              <w:t xml:space="preserve">0.02 </w:t>
            </w:r>
          </w:p>
        </w:tc>
      </w:tr>
      <w:tr w14:paraId="436592E5">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bottom"/>
          </w:tcPr>
          <w:p w14:paraId="5F0A9939">
            <w:pPr>
              <w:widowControl/>
              <w:ind w:firstLine="0" w:firstLineChars="0"/>
              <w:jc w:val="center"/>
              <w:textAlignment w:val="bottom"/>
              <w:rPr>
                <w:rFonts w:eastAsia="仿宋"/>
                <w:color w:val="000000"/>
                <w:sz w:val="22"/>
              </w:rPr>
            </w:pPr>
            <w:r>
              <w:rPr>
                <w:rFonts w:ascii="仿宋" w:hAnsi="仿宋" w:eastAsia="仿宋"/>
                <w:color w:val="000000"/>
                <w:kern w:val="0"/>
                <w:sz w:val="22"/>
              </w:rPr>
              <w:t>工业消费部门经济增加值占比</w:t>
            </w:r>
            <w:r>
              <w:rPr>
                <w:rFonts w:eastAsia="仿宋"/>
                <w:color w:val="000000"/>
                <w:kern w:val="0"/>
                <w:sz w:val="22"/>
              </w:rPr>
              <w:t>x3-3</w:t>
            </w:r>
          </w:p>
        </w:tc>
        <w:tc>
          <w:tcPr>
            <w:tcW w:w="0" w:type="auto"/>
            <w:tcBorders>
              <w:top w:val="single" w:color="000000" w:sz="4" w:space="0"/>
              <w:left w:val="nil"/>
              <w:bottom w:val="single" w:color="000000" w:sz="4" w:space="0"/>
              <w:right w:val="single" w:color="000000" w:sz="4" w:space="0"/>
            </w:tcBorders>
            <w:noWrap/>
            <w:vAlign w:val="bottom"/>
          </w:tcPr>
          <w:p w14:paraId="34A4FD71">
            <w:pPr>
              <w:ind w:firstLine="0" w:firstLineChars="0"/>
              <w:rPr>
                <w:rFonts w:eastAsia="仿宋"/>
                <w:color w:val="000000"/>
                <w:sz w:val="22"/>
              </w:rPr>
            </w:pPr>
          </w:p>
        </w:tc>
        <w:tc>
          <w:tcPr>
            <w:tcW w:w="0" w:type="auto"/>
            <w:tcBorders>
              <w:top w:val="single" w:color="000000" w:sz="4" w:space="0"/>
              <w:left w:val="nil"/>
              <w:bottom w:val="single" w:color="000000" w:sz="4" w:space="0"/>
              <w:right w:val="single" w:color="000000" w:sz="4" w:space="0"/>
            </w:tcBorders>
            <w:noWrap/>
            <w:vAlign w:val="bottom"/>
          </w:tcPr>
          <w:p w14:paraId="389BBACF">
            <w:pPr>
              <w:widowControl/>
              <w:ind w:firstLine="0" w:firstLineChars="0"/>
              <w:jc w:val="right"/>
              <w:textAlignment w:val="bottom"/>
              <w:rPr>
                <w:rFonts w:eastAsia="仿宋"/>
                <w:color w:val="000000"/>
                <w:sz w:val="22"/>
              </w:rPr>
            </w:pPr>
            <w:r>
              <w:rPr>
                <w:rFonts w:eastAsia="仿宋"/>
                <w:color w:val="000000"/>
                <w:kern w:val="0"/>
                <w:sz w:val="22"/>
              </w:rPr>
              <w:t xml:space="preserve">0.51 </w:t>
            </w:r>
          </w:p>
        </w:tc>
        <w:tc>
          <w:tcPr>
            <w:tcW w:w="0" w:type="auto"/>
            <w:tcBorders>
              <w:top w:val="single" w:color="000000" w:sz="4" w:space="0"/>
              <w:left w:val="nil"/>
              <w:bottom w:val="single" w:color="000000" w:sz="4" w:space="0"/>
              <w:right w:val="single" w:color="000000" w:sz="4" w:space="0"/>
            </w:tcBorders>
            <w:noWrap/>
            <w:vAlign w:val="bottom"/>
          </w:tcPr>
          <w:p w14:paraId="495A5A1C">
            <w:pPr>
              <w:widowControl/>
              <w:ind w:firstLine="0" w:firstLineChars="0"/>
              <w:jc w:val="right"/>
              <w:textAlignment w:val="bottom"/>
              <w:rPr>
                <w:rFonts w:eastAsia="仿宋"/>
                <w:color w:val="000000"/>
                <w:sz w:val="22"/>
              </w:rPr>
            </w:pPr>
            <w:r>
              <w:rPr>
                <w:rFonts w:eastAsia="仿宋"/>
                <w:color w:val="000000"/>
                <w:kern w:val="0"/>
                <w:sz w:val="22"/>
              </w:rPr>
              <w:t xml:space="preserve">0.50 </w:t>
            </w:r>
          </w:p>
        </w:tc>
        <w:tc>
          <w:tcPr>
            <w:tcW w:w="0" w:type="auto"/>
            <w:tcBorders>
              <w:top w:val="single" w:color="000000" w:sz="4" w:space="0"/>
              <w:left w:val="nil"/>
              <w:bottom w:val="single" w:color="000000" w:sz="4" w:space="0"/>
              <w:right w:val="single" w:color="000000" w:sz="4" w:space="0"/>
            </w:tcBorders>
            <w:noWrap/>
            <w:vAlign w:val="bottom"/>
          </w:tcPr>
          <w:p w14:paraId="2A3FC5E1">
            <w:pPr>
              <w:widowControl/>
              <w:ind w:firstLine="0" w:firstLineChars="0"/>
              <w:jc w:val="right"/>
              <w:textAlignment w:val="bottom"/>
              <w:rPr>
                <w:rFonts w:eastAsia="仿宋"/>
                <w:color w:val="000000"/>
                <w:sz w:val="22"/>
              </w:rPr>
            </w:pPr>
            <w:r>
              <w:rPr>
                <w:rFonts w:eastAsia="仿宋"/>
                <w:color w:val="000000"/>
                <w:kern w:val="0"/>
                <w:sz w:val="22"/>
              </w:rPr>
              <w:t xml:space="preserve">0.48 </w:t>
            </w:r>
          </w:p>
        </w:tc>
        <w:tc>
          <w:tcPr>
            <w:tcW w:w="0" w:type="auto"/>
            <w:tcBorders>
              <w:top w:val="single" w:color="000000" w:sz="4" w:space="0"/>
              <w:left w:val="nil"/>
              <w:bottom w:val="single" w:color="000000" w:sz="4" w:space="0"/>
              <w:right w:val="single" w:color="000000" w:sz="4" w:space="0"/>
            </w:tcBorders>
            <w:noWrap/>
            <w:vAlign w:val="bottom"/>
          </w:tcPr>
          <w:p w14:paraId="6B971D2E">
            <w:pPr>
              <w:widowControl/>
              <w:ind w:firstLine="0" w:firstLineChars="0"/>
              <w:jc w:val="right"/>
              <w:textAlignment w:val="bottom"/>
              <w:rPr>
                <w:rFonts w:eastAsia="仿宋"/>
                <w:color w:val="000000"/>
                <w:sz w:val="22"/>
              </w:rPr>
            </w:pPr>
            <w:r>
              <w:rPr>
                <w:rFonts w:eastAsia="仿宋"/>
                <w:color w:val="000000"/>
                <w:kern w:val="0"/>
                <w:sz w:val="22"/>
              </w:rPr>
              <w:t xml:space="preserve">0.47 </w:t>
            </w:r>
          </w:p>
        </w:tc>
        <w:tc>
          <w:tcPr>
            <w:tcW w:w="0" w:type="auto"/>
            <w:tcBorders>
              <w:top w:val="single" w:color="000000" w:sz="4" w:space="0"/>
              <w:left w:val="nil"/>
              <w:bottom w:val="single" w:color="000000" w:sz="4" w:space="0"/>
              <w:right w:val="single" w:color="000000" w:sz="4" w:space="0"/>
            </w:tcBorders>
            <w:noWrap/>
            <w:vAlign w:val="bottom"/>
          </w:tcPr>
          <w:p w14:paraId="1F4762C0">
            <w:pPr>
              <w:widowControl/>
              <w:ind w:firstLine="0" w:firstLineChars="0"/>
              <w:jc w:val="right"/>
              <w:textAlignment w:val="bottom"/>
              <w:rPr>
                <w:rFonts w:eastAsia="仿宋"/>
                <w:color w:val="000000"/>
                <w:sz w:val="22"/>
              </w:rPr>
            </w:pPr>
            <w:r>
              <w:rPr>
                <w:rFonts w:eastAsia="仿宋"/>
                <w:color w:val="000000"/>
                <w:kern w:val="0"/>
                <w:sz w:val="22"/>
              </w:rPr>
              <w:t xml:space="preserve">0.46 </w:t>
            </w:r>
          </w:p>
        </w:tc>
        <w:tc>
          <w:tcPr>
            <w:tcW w:w="0" w:type="auto"/>
            <w:tcBorders>
              <w:top w:val="single" w:color="000000" w:sz="4" w:space="0"/>
              <w:left w:val="nil"/>
              <w:bottom w:val="single" w:color="000000" w:sz="4" w:space="0"/>
              <w:right w:val="single" w:color="000000" w:sz="4" w:space="0"/>
            </w:tcBorders>
            <w:noWrap/>
            <w:vAlign w:val="bottom"/>
          </w:tcPr>
          <w:p w14:paraId="10A42F1A">
            <w:pPr>
              <w:widowControl/>
              <w:ind w:firstLine="0" w:firstLineChars="0"/>
              <w:jc w:val="right"/>
              <w:textAlignment w:val="bottom"/>
              <w:rPr>
                <w:rFonts w:eastAsia="仿宋"/>
                <w:color w:val="000000"/>
                <w:sz w:val="22"/>
              </w:rPr>
            </w:pPr>
            <w:r>
              <w:rPr>
                <w:rFonts w:eastAsia="仿宋"/>
                <w:color w:val="000000"/>
                <w:kern w:val="0"/>
                <w:sz w:val="22"/>
              </w:rPr>
              <w:t xml:space="preserve">0.45 </w:t>
            </w:r>
          </w:p>
        </w:tc>
        <w:tc>
          <w:tcPr>
            <w:tcW w:w="0" w:type="auto"/>
            <w:tcBorders>
              <w:top w:val="single" w:color="000000" w:sz="4" w:space="0"/>
              <w:left w:val="nil"/>
              <w:bottom w:val="single" w:color="000000" w:sz="4" w:space="0"/>
              <w:right w:val="single" w:color="000000" w:sz="4" w:space="0"/>
            </w:tcBorders>
            <w:noWrap/>
            <w:vAlign w:val="bottom"/>
          </w:tcPr>
          <w:p w14:paraId="05AFB9A3">
            <w:pPr>
              <w:widowControl/>
              <w:ind w:firstLine="0" w:firstLineChars="0"/>
              <w:jc w:val="right"/>
              <w:textAlignment w:val="bottom"/>
              <w:rPr>
                <w:rFonts w:eastAsia="仿宋"/>
                <w:color w:val="000000"/>
                <w:sz w:val="22"/>
              </w:rPr>
            </w:pPr>
            <w:r>
              <w:rPr>
                <w:rFonts w:eastAsia="仿宋"/>
                <w:color w:val="000000"/>
                <w:kern w:val="0"/>
                <w:sz w:val="22"/>
              </w:rPr>
              <w:t xml:space="preserve">0.43 </w:t>
            </w:r>
          </w:p>
        </w:tc>
        <w:tc>
          <w:tcPr>
            <w:tcW w:w="0" w:type="auto"/>
            <w:tcBorders>
              <w:top w:val="single" w:color="000000" w:sz="4" w:space="0"/>
              <w:left w:val="nil"/>
              <w:bottom w:val="single" w:color="000000" w:sz="4" w:space="0"/>
              <w:right w:val="single" w:color="000000" w:sz="4" w:space="0"/>
            </w:tcBorders>
            <w:noWrap/>
            <w:vAlign w:val="bottom"/>
          </w:tcPr>
          <w:p w14:paraId="417156BD">
            <w:pPr>
              <w:widowControl/>
              <w:ind w:firstLine="0" w:firstLineChars="0"/>
              <w:jc w:val="right"/>
              <w:textAlignment w:val="bottom"/>
              <w:rPr>
                <w:rFonts w:eastAsia="仿宋"/>
                <w:color w:val="000000"/>
                <w:sz w:val="22"/>
              </w:rPr>
            </w:pPr>
            <w:r>
              <w:rPr>
                <w:rFonts w:eastAsia="仿宋"/>
                <w:color w:val="000000"/>
                <w:kern w:val="0"/>
                <w:sz w:val="22"/>
              </w:rPr>
              <w:t xml:space="preserve">0.44 </w:t>
            </w:r>
          </w:p>
        </w:tc>
        <w:tc>
          <w:tcPr>
            <w:tcW w:w="0" w:type="auto"/>
            <w:tcBorders>
              <w:top w:val="single" w:color="000000" w:sz="4" w:space="0"/>
              <w:left w:val="nil"/>
              <w:bottom w:val="single" w:color="000000" w:sz="4" w:space="0"/>
              <w:right w:val="single" w:color="000000" w:sz="4" w:space="0"/>
            </w:tcBorders>
            <w:noWrap/>
            <w:vAlign w:val="bottom"/>
          </w:tcPr>
          <w:p w14:paraId="3419772A">
            <w:pPr>
              <w:widowControl/>
              <w:ind w:firstLine="0" w:firstLineChars="0"/>
              <w:jc w:val="right"/>
              <w:textAlignment w:val="bottom"/>
              <w:rPr>
                <w:rFonts w:eastAsia="仿宋"/>
                <w:color w:val="000000"/>
                <w:sz w:val="22"/>
              </w:rPr>
            </w:pPr>
            <w:r>
              <w:rPr>
                <w:rFonts w:eastAsia="仿宋"/>
                <w:color w:val="000000"/>
                <w:kern w:val="0"/>
                <w:sz w:val="22"/>
              </w:rPr>
              <w:t xml:space="preserve">0.43 </w:t>
            </w:r>
          </w:p>
        </w:tc>
        <w:tc>
          <w:tcPr>
            <w:tcW w:w="0" w:type="auto"/>
            <w:tcBorders>
              <w:top w:val="single" w:color="000000" w:sz="4" w:space="0"/>
              <w:left w:val="nil"/>
              <w:bottom w:val="single" w:color="000000" w:sz="4" w:space="0"/>
              <w:right w:val="single" w:color="000000" w:sz="4" w:space="0"/>
            </w:tcBorders>
            <w:noWrap/>
            <w:vAlign w:val="bottom"/>
          </w:tcPr>
          <w:p w14:paraId="4FFD4C51">
            <w:pPr>
              <w:widowControl/>
              <w:ind w:firstLine="0" w:firstLineChars="0"/>
              <w:jc w:val="right"/>
              <w:textAlignment w:val="bottom"/>
              <w:rPr>
                <w:rFonts w:eastAsia="仿宋"/>
                <w:color w:val="000000"/>
                <w:sz w:val="22"/>
              </w:rPr>
            </w:pPr>
            <w:r>
              <w:rPr>
                <w:rFonts w:eastAsia="仿宋"/>
                <w:color w:val="000000"/>
                <w:kern w:val="0"/>
                <w:sz w:val="22"/>
              </w:rPr>
              <w:t xml:space="preserve">0.42 </w:t>
            </w:r>
          </w:p>
        </w:tc>
      </w:tr>
      <w:tr w14:paraId="72C0B4CA">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bottom"/>
          </w:tcPr>
          <w:p w14:paraId="2AC1425F">
            <w:pPr>
              <w:widowControl/>
              <w:ind w:firstLine="0" w:firstLineChars="0"/>
              <w:jc w:val="center"/>
              <w:textAlignment w:val="bottom"/>
              <w:rPr>
                <w:rFonts w:eastAsia="仿宋"/>
                <w:color w:val="000000"/>
                <w:sz w:val="22"/>
              </w:rPr>
            </w:pPr>
            <w:r>
              <w:rPr>
                <w:rFonts w:ascii="仿宋" w:hAnsi="仿宋" w:eastAsia="仿宋"/>
                <w:color w:val="000000"/>
                <w:kern w:val="0"/>
                <w:sz w:val="22"/>
              </w:rPr>
              <w:t>交通消费部门经济增加值占比</w:t>
            </w:r>
            <w:r>
              <w:rPr>
                <w:rFonts w:eastAsia="仿宋"/>
                <w:color w:val="000000"/>
                <w:kern w:val="0"/>
                <w:sz w:val="22"/>
              </w:rPr>
              <w:t>x3-4</w:t>
            </w:r>
          </w:p>
        </w:tc>
        <w:tc>
          <w:tcPr>
            <w:tcW w:w="0" w:type="auto"/>
            <w:tcBorders>
              <w:top w:val="single" w:color="000000" w:sz="4" w:space="0"/>
              <w:left w:val="nil"/>
              <w:bottom w:val="single" w:color="000000" w:sz="4" w:space="0"/>
              <w:right w:val="single" w:color="000000" w:sz="4" w:space="0"/>
            </w:tcBorders>
            <w:noWrap/>
            <w:vAlign w:val="bottom"/>
          </w:tcPr>
          <w:p w14:paraId="531BEE8F">
            <w:pPr>
              <w:ind w:firstLine="0" w:firstLineChars="0"/>
              <w:rPr>
                <w:rFonts w:eastAsia="仿宋"/>
                <w:color w:val="000000"/>
                <w:sz w:val="22"/>
              </w:rPr>
            </w:pPr>
          </w:p>
        </w:tc>
        <w:tc>
          <w:tcPr>
            <w:tcW w:w="0" w:type="auto"/>
            <w:tcBorders>
              <w:top w:val="single" w:color="000000" w:sz="4" w:space="0"/>
              <w:left w:val="nil"/>
              <w:bottom w:val="single" w:color="000000" w:sz="4" w:space="0"/>
              <w:right w:val="single" w:color="000000" w:sz="4" w:space="0"/>
            </w:tcBorders>
            <w:noWrap/>
            <w:vAlign w:val="bottom"/>
          </w:tcPr>
          <w:p w14:paraId="719BB8B1">
            <w:pPr>
              <w:widowControl/>
              <w:ind w:firstLine="0" w:firstLineChars="0"/>
              <w:jc w:val="right"/>
              <w:textAlignment w:val="bottom"/>
              <w:rPr>
                <w:rFonts w:eastAsia="仿宋"/>
                <w:color w:val="000000"/>
                <w:sz w:val="22"/>
              </w:rPr>
            </w:pPr>
            <w:r>
              <w:rPr>
                <w:rFonts w:eastAsia="仿宋"/>
                <w:color w:val="000000"/>
                <w:kern w:val="0"/>
                <w:sz w:val="22"/>
              </w:rPr>
              <w:t xml:space="preserve">0.04 </w:t>
            </w:r>
          </w:p>
        </w:tc>
        <w:tc>
          <w:tcPr>
            <w:tcW w:w="0" w:type="auto"/>
            <w:tcBorders>
              <w:top w:val="single" w:color="000000" w:sz="4" w:space="0"/>
              <w:left w:val="nil"/>
              <w:bottom w:val="single" w:color="000000" w:sz="4" w:space="0"/>
              <w:right w:val="single" w:color="000000" w:sz="4" w:space="0"/>
            </w:tcBorders>
            <w:noWrap/>
            <w:vAlign w:val="bottom"/>
          </w:tcPr>
          <w:p w14:paraId="7E0948D8">
            <w:pPr>
              <w:widowControl/>
              <w:ind w:firstLine="0" w:firstLineChars="0"/>
              <w:jc w:val="right"/>
              <w:textAlignment w:val="bottom"/>
              <w:rPr>
                <w:rFonts w:eastAsia="仿宋"/>
                <w:color w:val="000000"/>
                <w:sz w:val="22"/>
              </w:rPr>
            </w:pPr>
            <w:r>
              <w:rPr>
                <w:rFonts w:eastAsia="仿宋"/>
                <w:color w:val="000000"/>
                <w:kern w:val="0"/>
                <w:sz w:val="22"/>
              </w:rPr>
              <w:t xml:space="preserve">0.04 </w:t>
            </w:r>
          </w:p>
        </w:tc>
        <w:tc>
          <w:tcPr>
            <w:tcW w:w="0" w:type="auto"/>
            <w:tcBorders>
              <w:top w:val="single" w:color="000000" w:sz="4" w:space="0"/>
              <w:left w:val="nil"/>
              <w:bottom w:val="single" w:color="000000" w:sz="4" w:space="0"/>
              <w:right w:val="single" w:color="000000" w:sz="4" w:space="0"/>
            </w:tcBorders>
            <w:noWrap/>
            <w:vAlign w:val="bottom"/>
          </w:tcPr>
          <w:p w14:paraId="453C920F">
            <w:pPr>
              <w:widowControl/>
              <w:ind w:firstLine="0" w:firstLineChars="0"/>
              <w:jc w:val="right"/>
              <w:textAlignment w:val="bottom"/>
              <w:rPr>
                <w:rFonts w:eastAsia="仿宋"/>
                <w:color w:val="000000"/>
                <w:sz w:val="22"/>
              </w:rPr>
            </w:pPr>
            <w:r>
              <w:rPr>
                <w:rFonts w:eastAsia="仿宋"/>
                <w:color w:val="000000"/>
                <w:kern w:val="0"/>
                <w:sz w:val="22"/>
              </w:rPr>
              <w:t xml:space="preserve">0.04 </w:t>
            </w:r>
          </w:p>
        </w:tc>
        <w:tc>
          <w:tcPr>
            <w:tcW w:w="0" w:type="auto"/>
            <w:tcBorders>
              <w:top w:val="single" w:color="000000" w:sz="4" w:space="0"/>
              <w:left w:val="nil"/>
              <w:bottom w:val="single" w:color="000000" w:sz="4" w:space="0"/>
              <w:right w:val="single" w:color="000000" w:sz="4" w:space="0"/>
            </w:tcBorders>
            <w:noWrap/>
            <w:vAlign w:val="bottom"/>
          </w:tcPr>
          <w:p w14:paraId="3FBC3293">
            <w:pPr>
              <w:widowControl/>
              <w:ind w:firstLine="0" w:firstLineChars="0"/>
              <w:jc w:val="right"/>
              <w:textAlignment w:val="bottom"/>
              <w:rPr>
                <w:rFonts w:eastAsia="仿宋"/>
                <w:color w:val="000000"/>
                <w:sz w:val="22"/>
              </w:rPr>
            </w:pPr>
            <w:r>
              <w:rPr>
                <w:rFonts w:eastAsia="仿宋"/>
                <w:color w:val="000000"/>
                <w:kern w:val="0"/>
                <w:sz w:val="22"/>
              </w:rPr>
              <w:t xml:space="preserve">0.04 </w:t>
            </w:r>
          </w:p>
        </w:tc>
        <w:tc>
          <w:tcPr>
            <w:tcW w:w="0" w:type="auto"/>
            <w:tcBorders>
              <w:top w:val="single" w:color="000000" w:sz="4" w:space="0"/>
              <w:left w:val="nil"/>
              <w:bottom w:val="single" w:color="000000" w:sz="4" w:space="0"/>
              <w:right w:val="single" w:color="000000" w:sz="4" w:space="0"/>
            </w:tcBorders>
            <w:noWrap/>
            <w:vAlign w:val="bottom"/>
          </w:tcPr>
          <w:p w14:paraId="31ED052C">
            <w:pPr>
              <w:widowControl/>
              <w:ind w:firstLine="0" w:firstLineChars="0"/>
              <w:jc w:val="right"/>
              <w:textAlignment w:val="bottom"/>
              <w:rPr>
                <w:rFonts w:eastAsia="仿宋"/>
                <w:color w:val="000000"/>
                <w:sz w:val="22"/>
              </w:rPr>
            </w:pPr>
            <w:r>
              <w:rPr>
                <w:rFonts w:eastAsia="仿宋"/>
                <w:color w:val="000000"/>
                <w:kern w:val="0"/>
                <w:sz w:val="22"/>
              </w:rPr>
              <w:t xml:space="preserve">0.04 </w:t>
            </w:r>
          </w:p>
        </w:tc>
        <w:tc>
          <w:tcPr>
            <w:tcW w:w="0" w:type="auto"/>
            <w:tcBorders>
              <w:top w:val="single" w:color="000000" w:sz="4" w:space="0"/>
              <w:left w:val="nil"/>
              <w:bottom w:val="single" w:color="000000" w:sz="4" w:space="0"/>
              <w:right w:val="single" w:color="000000" w:sz="4" w:space="0"/>
            </w:tcBorders>
            <w:noWrap/>
            <w:vAlign w:val="bottom"/>
          </w:tcPr>
          <w:p w14:paraId="6CEC45AB">
            <w:pPr>
              <w:widowControl/>
              <w:ind w:firstLine="0" w:firstLineChars="0"/>
              <w:jc w:val="right"/>
              <w:textAlignment w:val="bottom"/>
              <w:rPr>
                <w:rFonts w:eastAsia="仿宋"/>
                <w:color w:val="000000"/>
                <w:sz w:val="22"/>
              </w:rPr>
            </w:pPr>
            <w:r>
              <w:rPr>
                <w:rFonts w:eastAsia="仿宋"/>
                <w:color w:val="000000"/>
                <w:kern w:val="0"/>
                <w:sz w:val="22"/>
              </w:rPr>
              <w:t xml:space="preserve">0.04 </w:t>
            </w:r>
          </w:p>
        </w:tc>
        <w:tc>
          <w:tcPr>
            <w:tcW w:w="0" w:type="auto"/>
            <w:tcBorders>
              <w:top w:val="single" w:color="000000" w:sz="4" w:space="0"/>
              <w:left w:val="nil"/>
              <w:bottom w:val="single" w:color="000000" w:sz="4" w:space="0"/>
              <w:right w:val="single" w:color="000000" w:sz="4" w:space="0"/>
            </w:tcBorders>
            <w:noWrap/>
            <w:vAlign w:val="bottom"/>
          </w:tcPr>
          <w:p w14:paraId="3F39A569">
            <w:pPr>
              <w:widowControl/>
              <w:ind w:firstLine="0" w:firstLineChars="0"/>
              <w:jc w:val="right"/>
              <w:textAlignment w:val="bottom"/>
              <w:rPr>
                <w:rFonts w:eastAsia="仿宋"/>
                <w:color w:val="000000"/>
                <w:sz w:val="22"/>
              </w:rPr>
            </w:pPr>
            <w:r>
              <w:rPr>
                <w:rFonts w:eastAsia="仿宋"/>
                <w:color w:val="000000"/>
                <w:kern w:val="0"/>
                <w:sz w:val="22"/>
              </w:rPr>
              <w:t xml:space="preserve">0.04 </w:t>
            </w:r>
          </w:p>
        </w:tc>
        <w:tc>
          <w:tcPr>
            <w:tcW w:w="0" w:type="auto"/>
            <w:tcBorders>
              <w:top w:val="single" w:color="000000" w:sz="4" w:space="0"/>
              <w:left w:val="nil"/>
              <w:bottom w:val="single" w:color="000000" w:sz="4" w:space="0"/>
              <w:right w:val="single" w:color="000000" w:sz="4" w:space="0"/>
            </w:tcBorders>
            <w:noWrap/>
            <w:vAlign w:val="bottom"/>
          </w:tcPr>
          <w:p w14:paraId="218B8364">
            <w:pPr>
              <w:widowControl/>
              <w:ind w:firstLine="0" w:firstLineChars="0"/>
              <w:jc w:val="right"/>
              <w:textAlignment w:val="bottom"/>
              <w:rPr>
                <w:rFonts w:eastAsia="仿宋"/>
                <w:color w:val="000000"/>
                <w:sz w:val="22"/>
              </w:rPr>
            </w:pPr>
            <w:r>
              <w:rPr>
                <w:rFonts w:eastAsia="仿宋"/>
                <w:color w:val="000000"/>
                <w:kern w:val="0"/>
                <w:sz w:val="22"/>
              </w:rPr>
              <w:t xml:space="preserve">0.04 </w:t>
            </w:r>
          </w:p>
        </w:tc>
        <w:tc>
          <w:tcPr>
            <w:tcW w:w="0" w:type="auto"/>
            <w:tcBorders>
              <w:top w:val="single" w:color="000000" w:sz="4" w:space="0"/>
              <w:left w:val="nil"/>
              <w:bottom w:val="single" w:color="000000" w:sz="4" w:space="0"/>
              <w:right w:val="single" w:color="000000" w:sz="4" w:space="0"/>
            </w:tcBorders>
            <w:noWrap/>
            <w:vAlign w:val="bottom"/>
          </w:tcPr>
          <w:p w14:paraId="003C496E">
            <w:pPr>
              <w:widowControl/>
              <w:ind w:firstLine="0" w:firstLineChars="0"/>
              <w:jc w:val="right"/>
              <w:textAlignment w:val="bottom"/>
              <w:rPr>
                <w:rFonts w:eastAsia="仿宋"/>
                <w:color w:val="000000"/>
                <w:sz w:val="22"/>
              </w:rPr>
            </w:pPr>
            <w:r>
              <w:rPr>
                <w:rFonts w:eastAsia="仿宋"/>
                <w:color w:val="000000"/>
                <w:kern w:val="0"/>
                <w:sz w:val="22"/>
              </w:rPr>
              <w:t xml:space="preserve">0.04 </w:t>
            </w:r>
          </w:p>
        </w:tc>
        <w:tc>
          <w:tcPr>
            <w:tcW w:w="0" w:type="auto"/>
            <w:tcBorders>
              <w:top w:val="single" w:color="000000" w:sz="4" w:space="0"/>
              <w:left w:val="nil"/>
              <w:bottom w:val="single" w:color="000000" w:sz="4" w:space="0"/>
              <w:right w:val="single" w:color="000000" w:sz="4" w:space="0"/>
            </w:tcBorders>
            <w:noWrap/>
            <w:vAlign w:val="bottom"/>
          </w:tcPr>
          <w:p w14:paraId="23D9B9FC">
            <w:pPr>
              <w:widowControl/>
              <w:ind w:firstLine="0" w:firstLineChars="0"/>
              <w:jc w:val="right"/>
              <w:textAlignment w:val="bottom"/>
              <w:rPr>
                <w:rFonts w:eastAsia="仿宋"/>
                <w:color w:val="000000"/>
                <w:sz w:val="22"/>
              </w:rPr>
            </w:pPr>
            <w:r>
              <w:rPr>
                <w:rFonts w:eastAsia="仿宋"/>
                <w:color w:val="000000"/>
                <w:kern w:val="0"/>
                <w:sz w:val="22"/>
              </w:rPr>
              <w:t xml:space="preserve">0.04 </w:t>
            </w:r>
          </w:p>
        </w:tc>
      </w:tr>
      <w:tr w14:paraId="35822192">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bottom"/>
          </w:tcPr>
          <w:p w14:paraId="65E4931B">
            <w:pPr>
              <w:widowControl/>
              <w:ind w:firstLine="0" w:firstLineChars="0"/>
              <w:jc w:val="center"/>
              <w:textAlignment w:val="bottom"/>
              <w:rPr>
                <w:rFonts w:eastAsia="仿宋"/>
                <w:color w:val="000000"/>
                <w:sz w:val="22"/>
              </w:rPr>
            </w:pPr>
            <w:r>
              <w:rPr>
                <w:rFonts w:ascii="仿宋" w:hAnsi="仿宋" w:eastAsia="仿宋"/>
                <w:color w:val="000000"/>
                <w:kern w:val="0"/>
                <w:sz w:val="22"/>
              </w:rPr>
              <w:t>建筑消费部门经济增加值占比</w:t>
            </w:r>
            <w:r>
              <w:rPr>
                <w:rFonts w:eastAsia="仿宋"/>
                <w:color w:val="000000"/>
                <w:kern w:val="0"/>
                <w:sz w:val="22"/>
              </w:rPr>
              <w:t>x3-5</w:t>
            </w:r>
          </w:p>
        </w:tc>
        <w:tc>
          <w:tcPr>
            <w:tcW w:w="0" w:type="auto"/>
            <w:tcBorders>
              <w:top w:val="single" w:color="000000" w:sz="4" w:space="0"/>
              <w:left w:val="nil"/>
              <w:bottom w:val="single" w:color="000000" w:sz="4" w:space="0"/>
              <w:right w:val="single" w:color="000000" w:sz="4" w:space="0"/>
            </w:tcBorders>
            <w:noWrap/>
            <w:vAlign w:val="bottom"/>
          </w:tcPr>
          <w:p w14:paraId="0CEC580A">
            <w:pPr>
              <w:ind w:firstLine="0" w:firstLineChars="0"/>
              <w:rPr>
                <w:rFonts w:eastAsia="仿宋"/>
                <w:color w:val="000000"/>
                <w:sz w:val="22"/>
              </w:rPr>
            </w:pPr>
          </w:p>
        </w:tc>
        <w:tc>
          <w:tcPr>
            <w:tcW w:w="0" w:type="auto"/>
            <w:tcBorders>
              <w:top w:val="single" w:color="000000" w:sz="4" w:space="0"/>
              <w:left w:val="nil"/>
              <w:bottom w:val="single" w:color="000000" w:sz="4" w:space="0"/>
              <w:right w:val="single" w:color="000000" w:sz="4" w:space="0"/>
            </w:tcBorders>
            <w:noWrap/>
            <w:vAlign w:val="bottom"/>
          </w:tcPr>
          <w:p w14:paraId="61FA3A51">
            <w:pPr>
              <w:widowControl/>
              <w:ind w:firstLine="0" w:firstLineChars="0"/>
              <w:jc w:val="right"/>
              <w:textAlignment w:val="bottom"/>
              <w:rPr>
                <w:rFonts w:eastAsia="仿宋"/>
                <w:color w:val="000000"/>
                <w:sz w:val="22"/>
              </w:rPr>
            </w:pPr>
            <w:r>
              <w:rPr>
                <w:rFonts w:eastAsia="仿宋"/>
                <w:color w:val="000000"/>
                <w:kern w:val="0"/>
                <w:sz w:val="22"/>
              </w:rPr>
              <w:t xml:space="preserve">0.37 </w:t>
            </w:r>
          </w:p>
        </w:tc>
        <w:tc>
          <w:tcPr>
            <w:tcW w:w="0" w:type="auto"/>
            <w:tcBorders>
              <w:top w:val="single" w:color="000000" w:sz="4" w:space="0"/>
              <w:left w:val="nil"/>
              <w:bottom w:val="single" w:color="000000" w:sz="4" w:space="0"/>
              <w:right w:val="single" w:color="000000" w:sz="4" w:space="0"/>
            </w:tcBorders>
            <w:noWrap/>
            <w:vAlign w:val="bottom"/>
          </w:tcPr>
          <w:p w14:paraId="579C2897">
            <w:pPr>
              <w:widowControl/>
              <w:ind w:firstLine="0" w:firstLineChars="0"/>
              <w:jc w:val="right"/>
              <w:textAlignment w:val="bottom"/>
              <w:rPr>
                <w:rFonts w:eastAsia="仿宋"/>
                <w:color w:val="000000"/>
                <w:sz w:val="22"/>
              </w:rPr>
            </w:pPr>
            <w:r>
              <w:rPr>
                <w:rFonts w:eastAsia="仿宋"/>
                <w:color w:val="000000"/>
                <w:kern w:val="0"/>
                <w:sz w:val="22"/>
              </w:rPr>
              <w:t xml:space="preserve">0.38 </w:t>
            </w:r>
          </w:p>
        </w:tc>
        <w:tc>
          <w:tcPr>
            <w:tcW w:w="0" w:type="auto"/>
            <w:tcBorders>
              <w:top w:val="single" w:color="000000" w:sz="4" w:space="0"/>
              <w:left w:val="nil"/>
              <w:bottom w:val="single" w:color="000000" w:sz="4" w:space="0"/>
              <w:right w:val="single" w:color="000000" w:sz="4" w:space="0"/>
            </w:tcBorders>
            <w:noWrap/>
            <w:vAlign w:val="bottom"/>
          </w:tcPr>
          <w:p w14:paraId="1CCE09AA">
            <w:pPr>
              <w:widowControl/>
              <w:ind w:firstLine="0" w:firstLineChars="0"/>
              <w:jc w:val="right"/>
              <w:textAlignment w:val="bottom"/>
              <w:rPr>
                <w:rFonts w:eastAsia="仿宋"/>
                <w:color w:val="000000"/>
                <w:sz w:val="22"/>
              </w:rPr>
            </w:pPr>
            <w:r>
              <w:rPr>
                <w:rFonts w:eastAsia="仿宋"/>
                <w:color w:val="000000"/>
                <w:kern w:val="0"/>
                <w:sz w:val="22"/>
              </w:rPr>
              <w:t xml:space="preserve">0.39 </w:t>
            </w:r>
          </w:p>
        </w:tc>
        <w:tc>
          <w:tcPr>
            <w:tcW w:w="0" w:type="auto"/>
            <w:tcBorders>
              <w:top w:val="single" w:color="000000" w:sz="4" w:space="0"/>
              <w:left w:val="nil"/>
              <w:bottom w:val="single" w:color="000000" w:sz="4" w:space="0"/>
              <w:right w:val="single" w:color="000000" w:sz="4" w:space="0"/>
            </w:tcBorders>
            <w:noWrap/>
            <w:vAlign w:val="bottom"/>
          </w:tcPr>
          <w:p w14:paraId="27558C4F">
            <w:pPr>
              <w:widowControl/>
              <w:ind w:firstLine="0" w:firstLineChars="0"/>
              <w:jc w:val="right"/>
              <w:textAlignment w:val="bottom"/>
              <w:rPr>
                <w:rFonts w:eastAsia="仿宋"/>
                <w:color w:val="000000"/>
                <w:sz w:val="22"/>
              </w:rPr>
            </w:pPr>
            <w:r>
              <w:rPr>
                <w:rFonts w:eastAsia="仿宋"/>
                <w:color w:val="000000"/>
                <w:kern w:val="0"/>
                <w:sz w:val="22"/>
              </w:rPr>
              <w:t xml:space="preserve">0.41 </w:t>
            </w:r>
          </w:p>
        </w:tc>
        <w:tc>
          <w:tcPr>
            <w:tcW w:w="0" w:type="auto"/>
            <w:tcBorders>
              <w:top w:val="single" w:color="000000" w:sz="4" w:space="0"/>
              <w:left w:val="nil"/>
              <w:bottom w:val="single" w:color="000000" w:sz="4" w:space="0"/>
              <w:right w:val="single" w:color="000000" w:sz="4" w:space="0"/>
            </w:tcBorders>
            <w:noWrap/>
            <w:vAlign w:val="bottom"/>
          </w:tcPr>
          <w:p w14:paraId="17F48C77">
            <w:pPr>
              <w:widowControl/>
              <w:ind w:firstLine="0" w:firstLineChars="0"/>
              <w:jc w:val="right"/>
              <w:textAlignment w:val="bottom"/>
              <w:rPr>
                <w:rFonts w:eastAsia="仿宋"/>
                <w:color w:val="000000"/>
                <w:sz w:val="22"/>
              </w:rPr>
            </w:pPr>
            <w:r>
              <w:rPr>
                <w:rFonts w:eastAsia="仿宋"/>
                <w:color w:val="000000"/>
                <w:kern w:val="0"/>
                <w:sz w:val="22"/>
              </w:rPr>
              <w:t xml:space="preserve">0.43 </w:t>
            </w:r>
          </w:p>
        </w:tc>
        <w:tc>
          <w:tcPr>
            <w:tcW w:w="0" w:type="auto"/>
            <w:tcBorders>
              <w:top w:val="single" w:color="000000" w:sz="4" w:space="0"/>
              <w:left w:val="nil"/>
              <w:bottom w:val="single" w:color="000000" w:sz="4" w:space="0"/>
              <w:right w:val="single" w:color="000000" w:sz="4" w:space="0"/>
            </w:tcBorders>
            <w:noWrap/>
            <w:vAlign w:val="bottom"/>
          </w:tcPr>
          <w:p w14:paraId="1BBD7BF0">
            <w:pPr>
              <w:widowControl/>
              <w:ind w:firstLine="0" w:firstLineChars="0"/>
              <w:jc w:val="right"/>
              <w:textAlignment w:val="bottom"/>
              <w:rPr>
                <w:rFonts w:eastAsia="仿宋"/>
                <w:color w:val="000000"/>
                <w:sz w:val="22"/>
              </w:rPr>
            </w:pPr>
            <w:r>
              <w:rPr>
                <w:rFonts w:eastAsia="仿宋"/>
                <w:color w:val="000000"/>
                <w:kern w:val="0"/>
                <w:sz w:val="22"/>
              </w:rPr>
              <w:t xml:space="preserve">0.44 </w:t>
            </w:r>
          </w:p>
        </w:tc>
        <w:tc>
          <w:tcPr>
            <w:tcW w:w="0" w:type="auto"/>
            <w:tcBorders>
              <w:top w:val="single" w:color="000000" w:sz="4" w:space="0"/>
              <w:left w:val="nil"/>
              <w:bottom w:val="single" w:color="000000" w:sz="4" w:space="0"/>
              <w:right w:val="single" w:color="000000" w:sz="4" w:space="0"/>
            </w:tcBorders>
            <w:noWrap/>
            <w:vAlign w:val="bottom"/>
          </w:tcPr>
          <w:p w14:paraId="4F485D56">
            <w:pPr>
              <w:widowControl/>
              <w:ind w:firstLine="0" w:firstLineChars="0"/>
              <w:jc w:val="right"/>
              <w:textAlignment w:val="bottom"/>
              <w:rPr>
                <w:rFonts w:eastAsia="仿宋"/>
                <w:color w:val="000000"/>
                <w:sz w:val="22"/>
              </w:rPr>
            </w:pPr>
            <w:r>
              <w:rPr>
                <w:rFonts w:eastAsia="仿宋"/>
                <w:color w:val="000000"/>
                <w:kern w:val="0"/>
                <w:sz w:val="22"/>
              </w:rPr>
              <w:t xml:space="preserve">0.46 </w:t>
            </w:r>
          </w:p>
        </w:tc>
        <w:tc>
          <w:tcPr>
            <w:tcW w:w="0" w:type="auto"/>
            <w:tcBorders>
              <w:top w:val="single" w:color="000000" w:sz="4" w:space="0"/>
              <w:left w:val="nil"/>
              <w:bottom w:val="single" w:color="000000" w:sz="4" w:space="0"/>
              <w:right w:val="single" w:color="000000" w:sz="4" w:space="0"/>
            </w:tcBorders>
            <w:noWrap/>
            <w:vAlign w:val="bottom"/>
          </w:tcPr>
          <w:p w14:paraId="26317A18">
            <w:pPr>
              <w:widowControl/>
              <w:ind w:firstLine="0" w:firstLineChars="0"/>
              <w:jc w:val="right"/>
              <w:textAlignment w:val="bottom"/>
              <w:rPr>
                <w:rFonts w:eastAsia="仿宋"/>
                <w:color w:val="000000"/>
                <w:sz w:val="22"/>
              </w:rPr>
            </w:pPr>
            <w:r>
              <w:rPr>
                <w:rFonts w:eastAsia="仿宋"/>
                <w:color w:val="000000"/>
                <w:kern w:val="0"/>
                <w:sz w:val="22"/>
              </w:rPr>
              <w:t xml:space="preserve">0.47 </w:t>
            </w:r>
          </w:p>
        </w:tc>
        <w:tc>
          <w:tcPr>
            <w:tcW w:w="0" w:type="auto"/>
            <w:tcBorders>
              <w:top w:val="single" w:color="000000" w:sz="4" w:space="0"/>
              <w:left w:val="nil"/>
              <w:bottom w:val="single" w:color="000000" w:sz="4" w:space="0"/>
              <w:right w:val="single" w:color="000000" w:sz="4" w:space="0"/>
            </w:tcBorders>
            <w:noWrap/>
            <w:vAlign w:val="bottom"/>
          </w:tcPr>
          <w:p w14:paraId="5325B9FE">
            <w:pPr>
              <w:widowControl/>
              <w:ind w:firstLine="0" w:firstLineChars="0"/>
              <w:jc w:val="right"/>
              <w:textAlignment w:val="bottom"/>
              <w:rPr>
                <w:rFonts w:eastAsia="仿宋"/>
                <w:color w:val="000000"/>
                <w:sz w:val="22"/>
              </w:rPr>
            </w:pPr>
            <w:r>
              <w:rPr>
                <w:rFonts w:eastAsia="仿宋"/>
                <w:color w:val="000000"/>
                <w:kern w:val="0"/>
                <w:sz w:val="22"/>
              </w:rPr>
              <w:t xml:space="preserve">0.47 </w:t>
            </w:r>
          </w:p>
        </w:tc>
        <w:tc>
          <w:tcPr>
            <w:tcW w:w="0" w:type="auto"/>
            <w:tcBorders>
              <w:top w:val="single" w:color="000000" w:sz="4" w:space="0"/>
              <w:left w:val="nil"/>
              <w:bottom w:val="single" w:color="000000" w:sz="4" w:space="0"/>
              <w:right w:val="single" w:color="000000" w:sz="4" w:space="0"/>
            </w:tcBorders>
            <w:noWrap/>
            <w:vAlign w:val="bottom"/>
          </w:tcPr>
          <w:p w14:paraId="695D25DB">
            <w:pPr>
              <w:widowControl/>
              <w:ind w:firstLine="0" w:firstLineChars="0"/>
              <w:jc w:val="right"/>
              <w:textAlignment w:val="bottom"/>
              <w:rPr>
                <w:rFonts w:eastAsia="仿宋"/>
                <w:color w:val="000000"/>
                <w:sz w:val="22"/>
              </w:rPr>
            </w:pPr>
            <w:r>
              <w:rPr>
                <w:rFonts w:eastAsia="仿宋"/>
                <w:color w:val="000000"/>
                <w:kern w:val="0"/>
                <w:sz w:val="22"/>
              </w:rPr>
              <w:t xml:space="preserve">0.48 </w:t>
            </w:r>
          </w:p>
        </w:tc>
      </w:tr>
      <w:tr w14:paraId="430A7E4A">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bottom"/>
          </w:tcPr>
          <w:p w14:paraId="5C4E9DCD">
            <w:pPr>
              <w:widowControl/>
              <w:ind w:firstLine="0" w:firstLineChars="0"/>
              <w:jc w:val="center"/>
              <w:textAlignment w:val="bottom"/>
              <w:rPr>
                <w:rFonts w:eastAsia="仿宋"/>
                <w:color w:val="000000"/>
                <w:sz w:val="22"/>
              </w:rPr>
            </w:pPr>
            <w:r>
              <w:rPr>
                <w:rFonts w:ascii="仿宋" w:hAnsi="仿宋" w:eastAsia="仿宋"/>
                <w:color w:val="000000"/>
                <w:kern w:val="0"/>
                <w:sz w:val="22"/>
              </w:rPr>
              <w:t>年度加权平均值</w:t>
            </w:r>
            <w:r>
              <w:rPr>
                <w:rFonts w:eastAsia="仿宋"/>
                <w:color w:val="000000"/>
                <w:kern w:val="0"/>
                <w:sz w:val="22"/>
              </w:rPr>
              <w:t>x4</w:t>
            </w:r>
          </w:p>
        </w:tc>
        <w:tc>
          <w:tcPr>
            <w:tcW w:w="0" w:type="auto"/>
            <w:tcBorders>
              <w:top w:val="single" w:color="000000" w:sz="4" w:space="0"/>
              <w:left w:val="nil"/>
              <w:bottom w:val="single" w:color="000000" w:sz="4" w:space="0"/>
              <w:right w:val="single" w:color="000000" w:sz="4" w:space="0"/>
            </w:tcBorders>
            <w:noWrap/>
            <w:vAlign w:val="bottom"/>
          </w:tcPr>
          <w:p w14:paraId="4F08B16A">
            <w:pPr>
              <w:widowControl/>
              <w:ind w:firstLine="0" w:firstLineChars="0"/>
              <w:jc w:val="right"/>
              <w:textAlignment w:val="bottom"/>
              <w:rPr>
                <w:rFonts w:eastAsia="仿宋"/>
                <w:color w:val="000000"/>
                <w:sz w:val="22"/>
              </w:rPr>
            </w:pPr>
            <w:r>
              <w:rPr>
                <w:rFonts w:eastAsia="仿宋"/>
                <w:color w:val="000000"/>
                <w:kern w:val="0"/>
                <w:sz w:val="22"/>
              </w:rPr>
              <w:t>28801.53</w:t>
            </w:r>
          </w:p>
        </w:tc>
        <w:tc>
          <w:tcPr>
            <w:tcW w:w="0" w:type="auto"/>
            <w:tcBorders>
              <w:top w:val="single" w:color="000000" w:sz="4" w:space="0"/>
              <w:left w:val="nil"/>
              <w:bottom w:val="single" w:color="000000" w:sz="4" w:space="0"/>
              <w:right w:val="single" w:color="000000" w:sz="4" w:space="0"/>
            </w:tcBorders>
            <w:noWrap/>
            <w:vAlign w:val="bottom"/>
          </w:tcPr>
          <w:p w14:paraId="1B8B1796">
            <w:pPr>
              <w:widowControl/>
              <w:ind w:firstLine="0" w:firstLineChars="0"/>
              <w:jc w:val="right"/>
              <w:textAlignment w:val="bottom"/>
              <w:rPr>
                <w:rFonts w:eastAsia="仿宋"/>
                <w:color w:val="000000"/>
                <w:sz w:val="22"/>
              </w:rPr>
            </w:pPr>
            <w:r>
              <w:rPr>
                <w:rFonts w:eastAsia="仿宋"/>
                <w:color w:val="000000"/>
                <w:kern w:val="0"/>
                <w:sz w:val="22"/>
              </w:rPr>
              <w:t>31903.32</w:t>
            </w:r>
          </w:p>
        </w:tc>
        <w:tc>
          <w:tcPr>
            <w:tcW w:w="0" w:type="auto"/>
            <w:tcBorders>
              <w:top w:val="single" w:color="000000" w:sz="4" w:space="0"/>
              <w:left w:val="nil"/>
              <w:bottom w:val="single" w:color="000000" w:sz="4" w:space="0"/>
              <w:right w:val="single" w:color="000000" w:sz="4" w:space="0"/>
            </w:tcBorders>
            <w:noWrap/>
            <w:vAlign w:val="bottom"/>
          </w:tcPr>
          <w:p w14:paraId="4214946F">
            <w:pPr>
              <w:widowControl/>
              <w:ind w:firstLine="0" w:firstLineChars="0"/>
              <w:jc w:val="right"/>
              <w:textAlignment w:val="bottom"/>
              <w:rPr>
                <w:rFonts w:eastAsia="仿宋"/>
                <w:color w:val="000000"/>
                <w:sz w:val="22"/>
              </w:rPr>
            </w:pPr>
            <w:r>
              <w:rPr>
                <w:rFonts w:eastAsia="仿宋"/>
                <w:color w:val="000000"/>
                <w:kern w:val="0"/>
                <w:sz w:val="22"/>
              </w:rPr>
              <w:t>35123.47</w:t>
            </w:r>
          </w:p>
        </w:tc>
        <w:tc>
          <w:tcPr>
            <w:tcW w:w="0" w:type="auto"/>
            <w:tcBorders>
              <w:top w:val="single" w:color="000000" w:sz="4" w:space="0"/>
              <w:left w:val="nil"/>
              <w:bottom w:val="single" w:color="000000" w:sz="4" w:space="0"/>
              <w:right w:val="single" w:color="000000" w:sz="4" w:space="0"/>
            </w:tcBorders>
            <w:noWrap/>
            <w:vAlign w:val="bottom"/>
          </w:tcPr>
          <w:p w14:paraId="2A8F2FFB">
            <w:pPr>
              <w:widowControl/>
              <w:ind w:firstLine="0" w:firstLineChars="0"/>
              <w:jc w:val="right"/>
              <w:textAlignment w:val="bottom"/>
              <w:rPr>
                <w:rFonts w:eastAsia="仿宋"/>
                <w:color w:val="000000"/>
                <w:sz w:val="22"/>
              </w:rPr>
            </w:pPr>
            <w:r>
              <w:rPr>
                <w:rFonts w:eastAsia="仿宋"/>
                <w:color w:val="000000"/>
                <w:kern w:val="0"/>
                <w:sz w:val="22"/>
              </w:rPr>
              <w:t>38648.44</w:t>
            </w:r>
          </w:p>
        </w:tc>
        <w:tc>
          <w:tcPr>
            <w:tcW w:w="0" w:type="auto"/>
            <w:tcBorders>
              <w:top w:val="single" w:color="000000" w:sz="4" w:space="0"/>
              <w:left w:val="nil"/>
              <w:bottom w:val="single" w:color="000000" w:sz="4" w:space="0"/>
              <w:right w:val="single" w:color="000000" w:sz="4" w:space="0"/>
            </w:tcBorders>
            <w:noWrap/>
            <w:vAlign w:val="bottom"/>
          </w:tcPr>
          <w:p w14:paraId="523078DD">
            <w:pPr>
              <w:widowControl/>
              <w:ind w:firstLine="0" w:firstLineChars="0"/>
              <w:jc w:val="right"/>
              <w:textAlignment w:val="bottom"/>
              <w:rPr>
                <w:rFonts w:eastAsia="仿宋"/>
                <w:color w:val="000000"/>
                <w:sz w:val="22"/>
              </w:rPr>
            </w:pPr>
            <w:r>
              <w:rPr>
                <w:rFonts w:eastAsia="仿宋"/>
                <w:color w:val="000000"/>
                <w:kern w:val="0"/>
                <w:sz w:val="22"/>
              </w:rPr>
              <w:t>42124.66</w:t>
            </w:r>
          </w:p>
        </w:tc>
        <w:tc>
          <w:tcPr>
            <w:tcW w:w="0" w:type="auto"/>
            <w:tcBorders>
              <w:top w:val="single" w:color="000000" w:sz="4" w:space="0"/>
              <w:left w:val="nil"/>
              <w:bottom w:val="single" w:color="000000" w:sz="4" w:space="0"/>
              <w:right w:val="single" w:color="000000" w:sz="4" w:space="0"/>
            </w:tcBorders>
            <w:noWrap/>
            <w:vAlign w:val="bottom"/>
          </w:tcPr>
          <w:p w14:paraId="28999778">
            <w:pPr>
              <w:widowControl/>
              <w:ind w:firstLine="0" w:firstLineChars="0"/>
              <w:jc w:val="right"/>
              <w:textAlignment w:val="bottom"/>
              <w:rPr>
                <w:rFonts w:eastAsia="仿宋"/>
                <w:color w:val="000000"/>
                <w:sz w:val="22"/>
              </w:rPr>
            </w:pPr>
            <w:r>
              <w:rPr>
                <w:rFonts w:eastAsia="仿宋"/>
                <w:color w:val="000000"/>
                <w:kern w:val="0"/>
                <w:sz w:val="22"/>
              </w:rPr>
              <w:t>45795.33</w:t>
            </w:r>
          </w:p>
        </w:tc>
        <w:tc>
          <w:tcPr>
            <w:tcW w:w="0" w:type="auto"/>
            <w:tcBorders>
              <w:top w:val="single" w:color="000000" w:sz="4" w:space="0"/>
              <w:left w:val="nil"/>
              <w:bottom w:val="single" w:color="000000" w:sz="4" w:space="0"/>
              <w:right w:val="single" w:color="000000" w:sz="4" w:space="0"/>
            </w:tcBorders>
            <w:noWrap/>
            <w:vAlign w:val="bottom"/>
          </w:tcPr>
          <w:p w14:paraId="2754A0A0">
            <w:pPr>
              <w:widowControl/>
              <w:ind w:firstLine="0" w:firstLineChars="0"/>
              <w:jc w:val="right"/>
              <w:textAlignment w:val="bottom"/>
              <w:rPr>
                <w:rFonts w:eastAsia="仿宋"/>
                <w:color w:val="000000"/>
                <w:sz w:val="22"/>
              </w:rPr>
            </w:pPr>
            <w:r>
              <w:rPr>
                <w:rFonts w:eastAsia="仿宋"/>
                <w:color w:val="000000"/>
                <w:kern w:val="0"/>
                <w:sz w:val="22"/>
              </w:rPr>
              <w:t>49657.38</w:t>
            </w:r>
          </w:p>
        </w:tc>
        <w:tc>
          <w:tcPr>
            <w:tcW w:w="0" w:type="auto"/>
            <w:tcBorders>
              <w:top w:val="single" w:color="000000" w:sz="4" w:space="0"/>
              <w:left w:val="nil"/>
              <w:bottom w:val="single" w:color="000000" w:sz="4" w:space="0"/>
              <w:right w:val="single" w:color="000000" w:sz="4" w:space="0"/>
            </w:tcBorders>
            <w:noWrap/>
            <w:vAlign w:val="bottom"/>
          </w:tcPr>
          <w:p w14:paraId="74A2DF48">
            <w:pPr>
              <w:widowControl/>
              <w:ind w:firstLine="0" w:firstLineChars="0"/>
              <w:jc w:val="right"/>
              <w:textAlignment w:val="bottom"/>
              <w:rPr>
                <w:rFonts w:eastAsia="仿宋"/>
                <w:color w:val="000000"/>
                <w:sz w:val="22"/>
              </w:rPr>
            </w:pPr>
            <w:r>
              <w:rPr>
                <w:rFonts w:eastAsia="仿宋"/>
                <w:color w:val="000000"/>
                <w:kern w:val="0"/>
                <w:sz w:val="22"/>
              </w:rPr>
              <w:t>53562.91</w:t>
            </w:r>
          </w:p>
        </w:tc>
        <w:tc>
          <w:tcPr>
            <w:tcW w:w="0" w:type="auto"/>
            <w:tcBorders>
              <w:top w:val="single" w:color="000000" w:sz="4" w:space="0"/>
              <w:left w:val="nil"/>
              <w:bottom w:val="single" w:color="000000" w:sz="4" w:space="0"/>
              <w:right w:val="single" w:color="000000" w:sz="4" w:space="0"/>
            </w:tcBorders>
            <w:noWrap/>
            <w:vAlign w:val="bottom"/>
          </w:tcPr>
          <w:p w14:paraId="275CC019">
            <w:pPr>
              <w:widowControl/>
              <w:ind w:firstLine="0" w:firstLineChars="0"/>
              <w:jc w:val="right"/>
              <w:textAlignment w:val="bottom"/>
              <w:rPr>
                <w:rFonts w:eastAsia="仿宋"/>
                <w:color w:val="000000"/>
                <w:sz w:val="22"/>
              </w:rPr>
            </w:pPr>
            <w:r>
              <w:rPr>
                <w:rFonts w:eastAsia="仿宋"/>
                <w:color w:val="000000"/>
                <w:kern w:val="0"/>
                <w:sz w:val="22"/>
              </w:rPr>
              <w:t>57375.03</w:t>
            </w:r>
          </w:p>
        </w:tc>
        <w:tc>
          <w:tcPr>
            <w:tcW w:w="0" w:type="auto"/>
            <w:tcBorders>
              <w:top w:val="single" w:color="000000" w:sz="4" w:space="0"/>
              <w:left w:val="nil"/>
              <w:bottom w:val="single" w:color="000000" w:sz="4" w:space="0"/>
              <w:right w:val="single" w:color="000000" w:sz="4" w:space="0"/>
            </w:tcBorders>
            <w:noWrap/>
            <w:vAlign w:val="bottom"/>
          </w:tcPr>
          <w:p w14:paraId="2C424B23">
            <w:pPr>
              <w:widowControl/>
              <w:ind w:firstLine="0" w:firstLineChars="0"/>
              <w:jc w:val="right"/>
              <w:textAlignment w:val="bottom"/>
              <w:rPr>
                <w:rFonts w:eastAsia="仿宋"/>
                <w:color w:val="000000"/>
                <w:sz w:val="22"/>
              </w:rPr>
            </w:pPr>
            <w:r>
              <w:rPr>
                <w:rFonts w:eastAsia="仿宋"/>
                <w:color w:val="000000"/>
                <w:kern w:val="0"/>
                <w:sz w:val="22"/>
              </w:rPr>
              <w:t>60900.65</w:t>
            </w:r>
          </w:p>
        </w:tc>
        <w:tc>
          <w:tcPr>
            <w:tcW w:w="0" w:type="auto"/>
            <w:tcBorders>
              <w:top w:val="single" w:color="000000" w:sz="4" w:space="0"/>
              <w:left w:val="nil"/>
              <w:bottom w:val="single" w:color="000000" w:sz="4" w:space="0"/>
              <w:right w:val="single" w:color="000000" w:sz="4" w:space="0"/>
            </w:tcBorders>
            <w:noWrap/>
            <w:vAlign w:val="bottom"/>
          </w:tcPr>
          <w:p w14:paraId="06493F35">
            <w:pPr>
              <w:widowControl/>
              <w:ind w:firstLine="0" w:firstLineChars="0"/>
              <w:jc w:val="right"/>
              <w:textAlignment w:val="bottom"/>
              <w:rPr>
                <w:rFonts w:eastAsia="仿宋"/>
                <w:color w:val="000000"/>
                <w:sz w:val="22"/>
              </w:rPr>
            </w:pPr>
            <w:r>
              <w:rPr>
                <w:rFonts w:eastAsia="仿宋"/>
                <w:color w:val="000000"/>
                <w:kern w:val="0"/>
                <w:sz w:val="22"/>
              </w:rPr>
              <w:t>63196.24</w:t>
            </w:r>
          </w:p>
        </w:tc>
      </w:tr>
      <w:tr w14:paraId="4372507F">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bottom"/>
          </w:tcPr>
          <w:p w14:paraId="049BB2E8">
            <w:pPr>
              <w:widowControl/>
              <w:ind w:firstLine="0" w:firstLineChars="0"/>
              <w:jc w:val="center"/>
              <w:textAlignment w:val="bottom"/>
              <w:rPr>
                <w:rFonts w:eastAsia="仿宋"/>
                <w:color w:val="000000"/>
                <w:sz w:val="22"/>
              </w:rPr>
            </w:pPr>
            <w:r>
              <w:rPr>
                <w:rFonts w:ascii="仿宋" w:hAnsi="仿宋" w:eastAsia="仿宋"/>
                <w:color w:val="000000"/>
                <w:kern w:val="0"/>
                <w:sz w:val="22"/>
              </w:rPr>
              <w:t>人均</w:t>
            </w:r>
            <w:r>
              <w:rPr>
                <w:rFonts w:eastAsia="仿宋"/>
                <w:color w:val="000000"/>
                <w:kern w:val="0"/>
                <w:sz w:val="22"/>
              </w:rPr>
              <w:t>gdpx5</w:t>
            </w:r>
          </w:p>
        </w:tc>
        <w:tc>
          <w:tcPr>
            <w:tcW w:w="0" w:type="auto"/>
            <w:tcBorders>
              <w:top w:val="nil"/>
              <w:left w:val="nil"/>
              <w:bottom w:val="nil"/>
              <w:right w:val="nil"/>
            </w:tcBorders>
            <w:noWrap/>
            <w:vAlign w:val="bottom"/>
          </w:tcPr>
          <w:p w14:paraId="642B0F79">
            <w:pPr>
              <w:widowControl/>
              <w:ind w:firstLine="0" w:firstLineChars="0"/>
              <w:jc w:val="right"/>
              <w:textAlignment w:val="bottom"/>
              <w:rPr>
                <w:rFonts w:eastAsia="仿宋"/>
                <w:color w:val="000000"/>
                <w:sz w:val="22"/>
              </w:rPr>
            </w:pPr>
            <w:r>
              <w:rPr>
                <w:rFonts w:eastAsia="仿宋"/>
                <w:color w:val="000000"/>
                <w:kern w:val="0"/>
                <w:sz w:val="22"/>
              </w:rPr>
              <w:t>0.000525887</w:t>
            </w:r>
          </w:p>
        </w:tc>
        <w:tc>
          <w:tcPr>
            <w:tcW w:w="0" w:type="auto"/>
            <w:tcBorders>
              <w:top w:val="nil"/>
              <w:left w:val="nil"/>
              <w:bottom w:val="nil"/>
              <w:right w:val="nil"/>
            </w:tcBorders>
            <w:noWrap/>
            <w:vAlign w:val="bottom"/>
          </w:tcPr>
          <w:p w14:paraId="62FD80B4">
            <w:pPr>
              <w:widowControl/>
              <w:ind w:firstLine="0" w:firstLineChars="0"/>
              <w:jc w:val="right"/>
              <w:textAlignment w:val="bottom"/>
              <w:rPr>
                <w:rFonts w:eastAsia="仿宋"/>
                <w:color w:val="000000"/>
                <w:sz w:val="22"/>
              </w:rPr>
            </w:pPr>
            <w:r>
              <w:rPr>
                <w:rFonts w:eastAsia="仿宋"/>
                <w:color w:val="000000"/>
                <w:kern w:val="0"/>
                <w:sz w:val="22"/>
              </w:rPr>
              <w:t>0.000572832</w:t>
            </w:r>
          </w:p>
        </w:tc>
        <w:tc>
          <w:tcPr>
            <w:tcW w:w="0" w:type="auto"/>
            <w:tcBorders>
              <w:top w:val="nil"/>
              <w:left w:val="nil"/>
              <w:bottom w:val="nil"/>
              <w:right w:val="nil"/>
            </w:tcBorders>
            <w:noWrap/>
            <w:vAlign w:val="bottom"/>
          </w:tcPr>
          <w:p w14:paraId="323F5AE0">
            <w:pPr>
              <w:widowControl/>
              <w:ind w:firstLine="0" w:firstLineChars="0"/>
              <w:jc w:val="right"/>
              <w:textAlignment w:val="bottom"/>
              <w:rPr>
                <w:rFonts w:eastAsia="仿宋"/>
                <w:color w:val="000000"/>
                <w:sz w:val="22"/>
              </w:rPr>
            </w:pPr>
            <w:r>
              <w:rPr>
                <w:rFonts w:eastAsia="仿宋"/>
                <w:color w:val="000000"/>
                <w:kern w:val="0"/>
                <w:sz w:val="22"/>
              </w:rPr>
              <w:t>0.000623909</w:t>
            </w:r>
          </w:p>
        </w:tc>
        <w:tc>
          <w:tcPr>
            <w:tcW w:w="0" w:type="auto"/>
            <w:tcBorders>
              <w:top w:val="nil"/>
              <w:left w:val="nil"/>
              <w:bottom w:val="nil"/>
              <w:right w:val="nil"/>
            </w:tcBorders>
            <w:noWrap/>
            <w:vAlign w:val="bottom"/>
          </w:tcPr>
          <w:p w14:paraId="438E02EA">
            <w:pPr>
              <w:widowControl/>
              <w:ind w:firstLine="0" w:firstLineChars="0"/>
              <w:jc w:val="right"/>
              <w:textAlignment w:val="bottom"/>
              <w:rPr>
                <w:rFonts w:eastAsia="仿宋"/>
                <w:color w:val="000000"/>
                <w:sz w:val="22"/>
              </w:rPr>
            </w:pPr>
            <w:r>
              <w:rPr>
                <w:rFonts w:eastAsia="仿宋"/>
                <w:color w:val="000000"/>
                <w:kern w:val="0"/>
                <w:sz w:val="22"/>
              </w:rPr>
              <w:t>0.000678432</w:t>
            </w:r>
          </w:p>
        </w:tc>
        <w:tc>
          <w:tcPr>
            <w:tcW w:w="0" w:type="auto"/>
            <w:tcBorders>
              <w:top w:val="nil"/>
              <w:left w:val="nil"/>
              <w:bottom w:val="nil"/>
              <w:right w:val="nil"/>
            </w:tcBorders>
            <w:noWrap/>
            <w:vAlign w:val="bottom"/>
          </w:tcPr>
          <w:p w14:paraId="3A12A60C">
            <w:pPr>
              <w:widowControl/>
              <w:ind w:firstLine="0" w:firstLineChars="0"/>
              <w:jc w:val="right"/>
              <w:textAlignment w:val="bottom"/>
              <w:rPr>
                <w:rFonts w:eastAsia="仿宋"/>
                <w:color w:val="000000"/>
                <w:sz w:val="22"/>
              </w:rPr>
            </w:pPr>
            <w:r>
              <w:rPr>
                <w:rFonts w:eastAsia="仿宋"/>
                <w:color w:val="000000"/>
                <w:kern w:val="0"/>
                <w:sz w:val="22"/>
              </w:rPr>
              <w:t>0.000728883</w:t>
            </w:r>
          </w:p>
        </w:tc>
        <w:tc>
          <w:tcPr>
            <w:tcW w:w="0" w:type="auto"/>
            <w:tcBorders>
              <w:top w:val="nil"/>
              <w:left w:val="nil"/>
              <w:bottom w:val="nil"/>
              <w:right w:val="nil"/>
            </w:tcBorders>
            <w:noWrap/>
            <w:vAlign w:val="bottom"/>
          </w:tcPr>
          <w:p w14:paraId="7878E86E">
            <w:pPr>
              <w:widowControl/>
              <w:ind w:firstLine="0" w:firstLineChars="0"/>
              <w:jc w:val="right"/>
              <w:textAlignment w:val="bottom"/>
              <w:rPr>
                <w:rFonts w:eastAsia="仿宋"/>
                <w:color w:val="000000"/>
                <w:sz w:val="22"/>
              </w:rPr>
            </w:pPr>
            <w:r>
              <w:rPr>
                <w:rFonts w:eastAsia="仿宋"/>
                <w:color w:val="000000"/>
                <w:kern w:val="0"/>
                <w:sz w:val="22"/>
              </w:rPr>
              <w:t>0.000788348</w:t>
            </w:r>
          </w:p>
        </w:tc>
        <w:tc>
          <w:tcPr>
            <w:tcW w:w="0" w:type="auto"/>
            <w:tcBorders>
              <w:top w:val="nil"/>
              <w:left w:val="nil"/>
              <w:bottom w:val="nil"/>
              <w:right w:val="nil"/>
            </w:tcBorders>
            <w:noWrap/>
            <w:vAlign w:val="bottom"/>
          </w:tcPr>
          <w:p w14:paraId="5179CE81">
            <w:pPr>
              <w:widowControl/>
              <w:ind w:firstLine="0" w:firstLineChars="0"/>
              <w:jc w:val="right"/>
              <w:textAlignment w:val="bottom"/>
              <w:rPr>
                <w:rFonts w:eastAsia="仿宋"/>
                <w:color w:val="000000"/>
                <w:sz w:val="22"/>
              </w:rPr>
            </w:pPr>
            <w:r>
              <w:rPr>
                <w:rFonts w:eastAsia="仿宋"/>
                <w:color w:val="000000"/>
                <w:kern w:val="0"/>
                <w:sz w:val="22"/>
              </w:rPr>
              <w:t>0.000843118</w:t>
            </w:r>
          </w:p>
        </w:tc>
        <w:tc>
          <w:tcPr>
            <w:tcW w:w="0" w:type="auto"/>
            <w:tcBorders>
              <w:top w:val="nil"/>
              <w:left w:val="nil"/>
              <w:bottom w:val="nil"/>
              <w:right w:val="nil"/>
            </w:tcBorders>
            <w:noWrap/>
            <w:vAlign w:val="bottom"/>
          </w:tcPr>
          <w:p w14:paraId="48F3FF28">
            <w:pPr>
              <w:widowControl/>
              <w:ind w:firstLine="0" w:firstLineChars="0"/>
              <w:jc w:val="right"/>
              <w:textAlignment w:val="bottom"/>
              <w:rPr>
                <w:rFonts w:eastAsia="仿宋"/>
                <w:color w:val="000000"/>
                <w:sz w:val="22"/>
              </w:rPr>
            </w:pPr>
            <w:r>
              <w:rPr>
                <w:rFonts w:eastAsia="仿宋"/>
                <w:color w:val="000000"/>
                <w:kern w:val="0"/>
                <w:sz w:val="22"/>
              </w:rPr>
              <w:t>0.000899296</w:t>
            </w:r>
          </w:p>
        </w:tc>
        <w:tc>
          <w:tcPr>
            <w:tcW w:w="0" w:type="auto"/>
            <w:tcBorders>
              <w:top w:val="nil"/>
              <w:left w:val="nil"/>
              <w:bottom w:val="nil"/>
              <w:right w:val="nil"/>
            </w:tcBorders>
            <w:noWrap/>
            <w:vAlign w:val="bottom"/>
          </w:tcPr>
          <w:p w14:paraId="539088A2">
            <w:pPr>
              <w:widowControl/>
              <w:ind w:firstLine="0" w:firstLineChars="0"/>
              <w:jc w:val="right"/>
              <w:textAlignment w:val="bottom"/>
              <w:rPr>
                <w:rFonts w:eastAsia="仿宋"/>
                <w:color w:val="000000"/>
                <w:sz w:val="22"/>
              </w:rPr>
            </w:pPr>
            <w:r>
              <w:rPr>
                <w:rFonts w:eastAsia="仿宋"/>
                <w:color w:val="000000"/>
                <w:kern w:val="0"/>
                <w:sz w:val="22"/>
              </w:rPr>
              <w:t>0.000956972</w:t>
            </w:r>
          </w:p>
        </w:tc>
        <w:tc>
          <w:tcPr>
            <w:tcW w:w="0" w:type="auto"/>
            <w:tcBorders>
              <w:top w:val="nil"/>
              <w:left w:val="nil"/>
              <w:bottom w:val="nil"/>
              <w:right w:val="nil"/>
            </w:tcBorders>
            <w:noWrap/>
            <w:vAlign w:val="bottom"/>
          </w:tcPr>
          <w:p w14:paraId="6AD6864A">
            <w:pPr>
              <w:widowControl/>
              <w:ind w:firstLine="0" w:firstLineChars="0"/>
              <w:jc w:val="right"/>
              <w:textAlignment w:val="bottom"/>
              <w:rPr>
                <w:rFonts w:eastAsia="仿宋"/>
                <w:color w:val="000000"/>
                <w:sz w:val="22"/>
              </w:rPr>
            </w:pPr>
            <w:r>
              <w:rPr>
                <w:rFonts w:eastAsia="仿宋"/>
                <w:color w:val="000000"/>
                <w:kern w:val="0"/>
                <w:sz w:val="22"/>
              </w:rPr>
              <w:t>0.001010216</w:t>
            </w:r>
          </w:p>
        </w:tc>
        <w:tc>
          <w:tcPr>
            <w:tcW w:w="0" w:type="auto"/>
            <w:tcBorders>
              <w:top w:val="nil"/>
              <w:left w:val="nil"/>
              <w:bottom w:val="nil"/>
              <w:right w:val="nil"/>
            </w:tcBorders>
            <w:noWrap/>
            <w:vAlign w:val="bottom"/>
          </w:tcPr>
          <w:p w14:paraId="42EAC41C">
            <w:pPr>
              <w:widowControl/>
              <w:ind w:firstLine="0" w:firstLineChars="0"/>
              <w:jc w:val="right"/>
              <w:textAlignment w:val="bottom"/>
              <w:rPr>
                <w:rFonts w:eastAsia="仿宋"/>
                <w:color w:val="000000"/>
                <w:sz w:val="22"/>
              </w:rPr>
            </w:pPr>
            <w:r>
              <w:rPr>
                <w:rFonts w:eastAsia="仿宋"/>
                <w:color w:val="000000"/>
                <w:kern w:val="0"/>
                <w:sz w:val="22"/>
              </w:rPr>
              <w:t>0.001046131</w:t>
            </w:r>
          </w:p>
        </w:tc>
      </w:tr>
      <w:tr w14:paraId="7ABEA813">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bottom"/>
          </w:tcPr>
          <w:p w14:paraId="1386E850">
            <w:pPr>
              <w:widowControl/>
              <w:ind w:firstLine="0" w:firstLineChars="0"/>
              <w:jc w:val="center"/>
              <w:textAlignment w:val="bottom"/>
              <w:rPr>
                <w:rFonts w:eastAsia="仿宋"/>
                <w:color w:val="000000"/>
                <w:sz w:val="22"/>
              </w:rPr>
            </w:pPr>
            <w:r>
              <w:rPr>
                <w:rFonts w:eastAsia="仿宋"/>
                <w:color w:val="000000"/>
                <w:kern w:val="0"/>
                <w:sz w:val="22"/>
              </w:rPr>
              <w:t>GDP</w:t>
            </w:r>
            <w:r>
              <w:rPr>
                <w:rFonts w:ascii="仿宋" w:hAnsi="仿宋" w:eastAsia="仿宋"/>
                <w:color w:val="000000"/>
                <w:kern w:val="0"/>
                <w:sz w:val="22"/>
              </w:rPr>
              <w:t>乘数</w:t>
            </w:r>
            <w:r>
              <w:rPr>
                <w:rFonts w:eastAsia="仿宋"/>
                <w:color w:val="000000"/>
                <w:kern w:val="0"/>
                <w:sz w:val="22"/>
              </w:rPr>
              <w:t>x6</w:t>
            </w:r>
          </w:p>
        </w:tc>
        <w:tc>
          <w:tcPr>
            <w:tcW w:w="0" w:type="auto"/>
            <w:tcBorders>
              <w:top w:val="single" w:color="000000" w:sz="4" w:space="0"/>
              <w:left w:val="nil"/>
              <w:bottom w:val="single" w:color="000000" w:sz="4" w:space="0"/>
              <w:right w:val="single" w:color="000000" w:sz="4" w:space="0"/>
            </w:tcBorders>
            <w:noWrap/>
            <w:vAlign w:val="bottom"/>
          </w:tcPr>
          <w:p w14:paraId="398B062D">
            <w:pPr>
              <w:ind w:firstLine="0" w:firstLineChars="0"/>
              <w:rPr>
                <w:rFonts w:eastAsia="仿宋"/>
                <w:color w:val="000000"/>
                <w:sz w:val="22"/>
              </w:rPr>
            </w:pPr>
          </w:p>
        </w:tc>
        <w:tc>
          <w:tcPr>
            <w:tcW w:w="0" w:type="auto"/>
            <w:tcBorders>
              <w:top w:val="single" w:color="000000" w:sz="4" w:space="0"/>
              <w:left w:val="nil"/>
              <w:bottom w:val="single" w:color="000000" w:sz="4" w:space="0"/>
              <w:right w:val="single" w:color="000000" w:sz="4" w:space="0"/>
            </w:tcBorders>
            <w:noWrap/>
            <w:vAlign w:val="bottom"/>
          </w:tcPr>
          <w:p w14:paraId="2578C045">
            <w:pPr>
              <w:widowControl/>
              <w:ind w:firstLine="0" w:firstLineChars="0"/>
              <w:jc w:val="right"/>
              <w:textAlignment w:val="bottom"/>
              <w:rPr>
                <w:rFonts w:eastAsia="仿宋"/>
                <w:color w:val="000000"/>
                <w:sz w:val="22"/>
              </w:rPr>
            </w:pPr>
            <w:r>
              <w:rPr>
                <w:rFonts w:eastAsia="仿宋"/>
                <w:color w:val="000000"/>
                <w:kern w:val="0"/>
                <w:sz w:val="22"/>
              </w:rPr>
              <w:t>1.11</w:t>
            </w:r>
          </w:p>
        </w:tc>
        <w:tc>
          <w:tcPr>
            <w:tcW w:w="0" w:type="auto"/>
            <w:tcBorders>
              <w:top w:val="single" w:color="000000" w:sz="4" w:space="0"/>
              <w:left w:val="nil"/>
              <w:bottom w:val="single" w:color="000000" w:sz="4" w:space="0"/>
              <w:right w:val="single" w:color="000000" w:sz="4" w:space="0"/>
            </w:tcBorders>
            <w:noWrap/>
            <w:vAlign w:val="bottom"/>
          </w:tcPr>
          <w:p w14:paraId="2474DB54">
            <w:pPr>
              <w:widowControl/>
              <w:ind w:firstLine="0" w:firstLineChars="0"/>
              <w:jc w:val="right"/>
              <w:textAlignment w:val="bottom"/>
              <w:rPr>
                <w:rFonts w:eastAsia="仿宋"/>
                <w:color w:val="000000"/>
                <w:sz w:val="22"/>
              </w:rPr>
            </w:pPr>
            <w:r>
              <w:rPr>
                <w:rFonts w:eastAsia="仿宋"/>
                <w:color w:val="000000"/>
                <w:kern w:val="0"/>
                <w:sz w:val="22"/>
              </w:rPr>
              <w:t>1.10</w:t>
            </w:r>
          </w:p>
        </w:tc>
        <w:tc>
          <w:tcPr>
            <w:tcW w:w="0" w:type="auto"/>
            <w:tcBorders>
              <w:top w:val="single" w:color="000000" w:sz="4" w:space="0"/>
              <w:left w:val="nil"/>
              <w:bottom w:val="single" w:color="000000" w:sz="4" w:space="0"/>
              <w:right w:val="single" w:color="000000" w:sz="4" w:space="0"/>
            </w:tcBorders>
            <w:noWrap/>
            <w:vAlign w:val="bottom"/>
          </w:tcPr>
          <w:p w14:paraId="320EEB33">
            <w:pPr>
              <w:widowControl/>
              <w:ind w:firstLine="0" w:firstLineChars="0"/>
              <w:jc w:val="right"/>
              <w:textAlignment w:val="bottom"/>
              <w:rPr>
                <w:rFonts w:eastAsia="仿宋"/>
                <w:color w:val="000000"/>
                <w:sz w:val="22"/>
              </w:rPr>
            </w:pPr>
            <w:r>
              <w:rPr>
                <w:rFonts w:eastAsia="仿宋"/>
                <w:color w:val="000000"/>
                <w:kern w:val="0"/>
                <w:sz w:val="22"/>
              </w:rPr>
              <w:t>1.10</w:t>
            </w:r>
          </w:p>
        </w:tc>
        <w:tc>
          <w:tcPr>
            <w:tcW w:w="0" w:type="auto"/>
            <w:tcBorders>
              <w:top w:val="single" w:color="000000" w:sz="4" w:space="0"/>
              <w:left w:val="nil"/>
              <w:bottom w:val="single" w:color="000000" w:sz="4" w:space="0"/>
              <w:right w:val="single" w:color="000000" w:sz="4" w:space="0"/>
            </w:tcBorders>
            <w:noWrap/>
            <w:vAlign w:val="bottom"/>
          </w:tcPr>
          <w:p w14:paraId="0161DA86">
            <w:pPr>
              <w:widowControl/>
              <w:ind w:firstLine="0" w:firstLineChars="0"/>
              <w:jc w:val="right"/>
              <w:textAlignment w:val="bottom"/>
              <w:rPr>
                <w:rFonts w:eastAsia="仿宋"/>
                <w:color w:val="000000"/>
                <w:sz w:val="22"/>
              </w:rPr>
            </w:pPr>
            <w:r>
              <w:rPr>
                <w:rFonts w:eastAsia="仿宋"/>
                <w:color w:val="000000"/>
                <w:kern w:val="0"/>
                <w:sz w:val="22"/>
              </w:rPr>
              <w:t>1.09</w:t>
            </w:r>
          </w:p>
        </w:tc>
        <w:tc>
          <w:tcPr>
            <w:tcW w:w="0" w:type="auto"/>
            <w:tcBorders>
              <w:top w:val="single" w:color="000000" w:sz="4" w:space="0"/>
              <w:left w:val="nil"/>
              <w:bottom w:val="single" w:color="000000" w:sz="4" w:space="0"/>
              <w:right w:val="single" w:color="000000" w:sz="4" w:space="0"/>
            </w:tcBorders>
            <w:noWrap/>
            <w:vAlign w:val="bottom"/>
          </w:tcPr>
          <w:p w14:paraId="2208F5BD">
            <w:pPr>
              <w:widowControl/>
              <w:ind w:firstLine="0" w:firstLineChars="0"/>
              <w:jc w:val="right"/>
              <w:textAlignment w:val="bottom"/>
              <w:rPr>
                <w:rFonts w:eastAsia="仿宋"/>
                <w:color w:val="000000"/>
                <w:sz w:val="22"/>
              </w:rPr>
            </w:pPr>
            <w:r>
              <w:rPr>
                <w:rFonts w:eastAsia="仿宋"/>
                <w:color w:val="000000"/>
                <w:kern w:val="0"/>
                <w:sz w:val="22"/>
              </w:rPr>
              <w:t>1.09</w:t>
            </w:r>
          </w:p>
        </w:tc>
        <w:tc>
          <w:tcPr>
            <w:tcW w:w="0" w:type="auto"/>
            <w:tcBorders>
              <w:top w:val="single" w:color="000000" w:sz="4" w:space="0"/>
              <w:left w:val="nil"/>
              <w:bottom w:val="single" w:color="000000" w:sz="4" w:space="0"/>
              <w:right w:val="single" w:color="000000" w:sz="4" w:space="0"/>
            </w:tcBorders>
            <w:noWrap/>
            <w:vAlign w:val="bottom"/>
          </w:tcPr>
          <w:p w14:paraId="4CC809D6">
            <w:pPr>
              <w:widowControl/>
              <w:ind w:firstLine="0" w:firstLineChars="0"/>
              <w:jc w:val="right"/>
              <w:textAlignment w:val="bottom"/>
              <w:rPr>
                <w:rFonts w:eastAsia="仿宋"/>
                <w:color w:val="000000"/>
                <w:sz w:val="22"/>
              </w:rPr>
            </w:pPr>
            <w:r>
              <w:rPr>
                <w:rFonts w:eastAsia="仿宋"/>
                <w:color w:val="000000"/>
                <w:kern w:val="0"/>
                <w:sz w:val="22"/>
              </w:rPr>
              <w:t>1.08</w:t>
            </w:r>
          </w:p>
        </w:tc>
        <w:tc>
          <w:tcPr>
            <w:tcW w:w="0" w:type="auto"/>
            <w:tcBorders>
              <w:top w:val="single" w:color="000000" w:sz="4" w:space="0"/>
              <w:left w:val="nil"/>
              <w:bottom w:val="single" w:color="000000" w:sz="4" w:space="0"/>
              <w:right w:val="single" w:color="000000" w:sz="4" w:space="0"/>
            </w:tcBorders>
            <w:noWrap/>
            <w:vAlign w:val="bottom"/>
          </w:tcPr>
          <w:p w14:paraId="312E223C">
            <w:pPr>
              <w:widowControl/>
              <w:ind w:firstLine="0" w:firstLineChars="0"/>
              <w:jc w:val="right"/>
              <w:textAlignment w:val="bottom"/>
              <w:rPr>
                <w:rFonts w:eastAsia="仿宋"/>
                <w:color w:val="000000"/>
                <w:sz w:val="22"/>
              </w:rPr>
            </w:pPr>
            <w:r>
              <w:rPr>
                <w:rFonts w:eastAsia="仿宋"/>
                <w:color w:val="000000"/>
                <w:kern w:val="0"/>
                <w:sz w:val="22"/>
              </w:rPr>
              <w:t>1.07</w:t>
            </w:r>
          </w:p>
        </w:tc>
        <w:tc>
          <w:tcPr>
            <w:tcW w:w="0" w:type="auto"/>
            <w:tcBorders>
              <w:top w:val="single" w:color="000000" w:sz="4" w:space="0"/>
              <w:left w:val="nil"/>
              <w:bottom w:val="single" w:color="000000" w:sz="4" w:space="0"/>
              <w:right w:val="single" w:color="000000" w:sz="4" w:space="0"/>
            </w:tcBorders>
            <w:noWrap/>
            <w:vAlign w:val="bottom"/>
          </w:tcPr>
          <w:p w14:paraId="51E41E87">
            <w:pPr>
              <w:widowControl/>
              <w:ind w:firstLine="0" w:firstLineChars="0"/>
              <w:jc w:val="right"/>
              <w:textAlignment w:val="bottom"/>
              <w:rPr>
                <w:rFonts w:eastAsia="仿宋"/>
                <w:color w:val="000000"/>
                <w:sz w:val="22"/>
              </w:rPr>
            </w:pPr>
            <w:r>
              <w:rPr>
                <w:rFonts w:eastAsia="仿宋"/>
                <w:color w:val="000000"/>
                <w:kern w:val="0"/>
                <w:sz w:val="22"/>
              </w:rPr>
              <w:t>1.07</w:t>
            </w:r>
          </w:p>
        </w:tc>
        <w:tc>
          <w:tcPr>
            <w:tcW w:w="0" w:type="auto"/>
            <w:tcBorders>
              <w:top w:val="single" w:color="000000" w:sz="4" w:space="0"/>
              <w:left w:val="nil"/>
              <w:bottom w:val="single" w:color="000000" w:sz="4" w:space="0"/>
              <w:right w:val="single" w:color="000000" w:sz="4" w:space="0"/>
            </w:tcBorders>
            <w:noWrap/>
            <w:vAlign w:val="bottom"/>
          </w:tcPr>
          <w:p w14:paraId="37740CDE">
            <w:pPr>
              <w:widowControl/>
              <w:ind w:firstLine="0" w:firstLineChars="0"/>
              <w:jc w:val="right"/>
              <w:textAlignment w:val="bottom"/>
              <w:rPr>
                <w:rFonts w:eastAsia="仿宋"/>
                <w:color w:val="000000"/>
                <w:sz w:val="22"/>
              </w:rPr>
            </w:pPr>
            <w:r>
              <w:rPr>
                <w:rFonts w:eastAsia="仿宋"/>
                <w:color w:val="000000"/>
                <w:kern w:val="0"/>
                <w:sz w:val="22"/>
              </w:rPr>
              <w:t>1.06</w:t>
            </w:r>
          </w:p>
        </w:tc>
        <w:tc>
          <w:tcPr>
            <w:tcW w:w="0" w:type="auto"/>
            <w:tcBorders>
              <w:top w:val="single" w:color="000000" w:sz="4" w:space="0"/>
              <w:left w:val="nil"/>
              <w:bottom w:val="single" w:color="000000" w:sz="4" w:space="0"/>
              <w:right w:val="single" w:color="000000" w:sz="4" w:space="0"/>
            </w:tcBorders>
            <w:noWrap/>
            <w:vAlign w:val="bottom"/>
          </w:tcPr>
          <w:p w14:paraId="7A1E62BB">
            <w:pPr>
              <w:widowControl/>
              <w:ind w:firstLine="0" w:firstLineChars="0"/>
              <w:jc w:val="right"/>
              <w:textAlignment w:val="bottom"/>
              <w:rPr>
                <w:rFonts w:eastAsia="仿宋"/>
                <w:color w:val="000000"/>
                <w:sz w:val="22"/>
              </w:rPr>
            </w:pPr>
            <w:r>
              <w:rPr>
                <w:rFonts w:eastAsia="仿宋"/>
                <w:color w:val="000000"/>
                <w:kern w:val="0"/>
                <w:sz w:val="22"/>
              </w:rPr>
              <w:t>1.04</w:t>
            </w:r>
          </w:p>
        </w:tc>
      </w:tr>
      <w:tr w14:paraId="09070CBB">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bottom"/>
          </w:tcPr>
          <w:p w14:paraId="7F42E2C0">
            <w:pPr>
              <w:widowControl/>
              <w:ind w:firstLine="0" w:firstLineChars="0"/>
              <w:jc w:val="center"/>
              <w:textAlignment w:val="bottom"/>
              <w:rPr>
                <w:rFonts w:eastAsia="仿宋"/>
                <w:color w:val="000000"/>
                <w:sz w:val="22"/>
              </w:rPr>
            </w:pPr>
            <w:r>
              <w:rPr>
                <w:rFonts w:ascii="仿宋" w:hAnsi="仿宋" w:eastAsia="仿宋"/>
                <w:color w:val="000000"/>
                <w:kern w:val="0"/>
                <w:sz w:val="22"/>
              </w:rPr>
              <w:t>农林消费部门</w:t>
            </w:r>
            <w:r>
              <w:rPr>
                <w:rFonts w:eastAsia="仿宋"/>
                <w:color w:val="000000"/>
                <w:kern w:val="0"/>
                <w:sz w:val="22"/>
              </w:rPr>
              <w:t>x7-1</w:t>
            </w:r>
          </w:p>
        </w:tc>
        <w:tc>
          <w:tcPr>
            <w:tcW w:w="0" w:type="auto"/>
            <w:tcBorders>
              <w:top w:val="single" w:color="000000" w:sz="4" w:space="0"/>
              <w:left w:val="nil"/>
              <w:bottom w:val="single" w:color="000000" w:sz="4" w:space="0"/>
              <w:right w:val="single" w:color="000000" w:sz="4" w:space="0"/>
            </w:tcBorders>
            <w:noWrap/>
            <w:vAlign w:val="center"/>
          </w:tcPr>
          <w:p w14:paraId="4401D7B6">
            <w:pPr>
              <w:ind w:firstLine="0" w:firstLineChars="0"/>
              <w:jc w:val="right"/>
              <w:rPr>
                <w:rFonts w:eastAsia="仿宋"/>
                <w:color w:val="000000"/>
                <w:sz w:val="22"/>
              </w:rPr>
            </w:pPr>
          </w:p>
        </w:tc>
        <w:tc>
          <w:tcPr>
            <w:tcW w:w="0" w:type="auto"/>
            <w:tcBorders>
              <w:top w:val="single" w:color="000000" w:sz="4" w:space="0"/>
              <w:left w:val="nil"/>
              <w:bottom w:val="single" w:color="000000" w:sz="4" w:space="0"/>
              <w:right w:val="single" w:color="000000" w:sz="4" w:space="0"/>
            </w:tcBorders>
            <w:noWrap/>
            <w:vAlign w:val="bottom"/>
          </w:tcPr>
          <w:p w14:paraId="15BD339E">
            <w:pPr>
              <w:widowControl/>
              <w:ind w:firstLine="0" w:firstLineChars="0"/>
              <w:jc w:val="right"/>
              <w:textAlignment w:val="bottom"/>
              <w:rPr>
                <w:rFonts w:eastAsia="仿宋"/>
                <w:color w:val="000000"/>
                <w:sz w:val="22"/>
              </w:rPr>
            </w:pPr>
            <w:r>
              <w:rPr>
                <w:rFonts w:eastAsia="仿宋"/>
                <w:color w:val="000000"/>
                <w:kern w:val="0"/>
                <w:sz w:val="22"/>
              </w:rPr>
              <w:t>13.60%</w:t>
            </w:r>
          </w:p>
        </w:tc>
        <w:tc>
          <w:tcPr>
            <w:tcW w:w="0" w:type="auto"/>
            <w:tcBorders>
              <w:top w:val="single" w:color="000000" w:sz="4" w:space="0"/>
              <w:left w:val="nil"/>
              <w:bottom w:val="single" w:color="000000" w:sz="4" w:space="0"/>
              <w:right w:val="single" w:color="000000" w:sz="4" w:space="0"/>
            </w:tcBorders>
            <w:noWrap/>
            <w:vAlign w:val="bottom"/>
          </w:tcPr>
          <w:p w14:paraId="1671E75A">
            <w:pPr>
              <w:widowControl/>
              <w:ind w:firstLine="0" w:firstLineChars="0"/>
              <w:jc w:val="right"/>
              <w:textAlignment w:val="bottom"/>
              <w:rPr>
                <w:rFonts w:eastAsia="仿宋"/>
                <w:color w:val="000000"/>
                <w:sz w:val="22"/>
              </w:rPr>
            </w:pPr>
            <w:r>
              <w:rPr>
                <w:rFonts w:eastAsia="仿宋"/>
                <w:color w:val="000000"/>
                <w:kern w:val="0"/>
                <w:sz w:val="22"/>
              </w:rPr>
              <w:t>11.73%</w:t>
            </w:r>
          </w:p>
        </w:tc>
        <w:tc>
          <w:tcPr>
            <w:tcW w:w="0" w:type="auto"/>
            <w:tcBorders>
              <w:top w:val="single" w:color="000000" w:sz="4" w:space="0"/>
              <w:left w:val="nil"/>
              <w:bottom w:val="single" w:color="000000" w:sz="4" w:space="0"/>
              <w:right w:val="single" w:color="000000" w:sz="4" w:space="0"/>
            </w:tcBorders>
            <w:noWrap/>
            <w:vAlign w:val="bottom"/>
          </w:tcPr>
          <w:p w14:paraId="2AC52EF4">
            <w:pPr>
              <w:widowControl/>
              <w:ind w:firstLine="0" w:firstLineChars="0"/>
              <w:jc w:val="right"/>
              <w:textAlignment w:val="bottom"/>
              <w:rPr>
                <w:rFonts w:eastAsia="仿宋"/>
                <w:color w:val="000000"/>
                <w:sz w:val="22"/>
              </w:rPr>
            </w:pPr>
            <w:r>
              <w:rPr>
                <w:rFonts w:eastAsia="仿宋"/>
                <w:color w:val="000000"/>
                <w:kern w:val="0"/>
                <w:sz w:val="22"/>
              </w:rPr>
              <w:t>5.58%</w:t>
            </w:r>
          </w:p>
        </w:tc>
        <w:tc>
          <w:tcPr>
            <w:tcW w:w="0" w:type="auto"/>
            <w:tcBorders>
              <w:top w:val="single" w:color="000000" w:sz="4" w:space="0"/>
              <w:left w:val="nil"/>
              <w:bottom w:val="single" w:color="000000" w:sz="4" w:space="0"/>
              <w:right w:val="single" w:color="000000" w:sz="4" w:space="0"/>
            </w:tcBorders>
            <w:noWrap/>
            <w:vAlign w:val="bottom"/>
          </w:tcPr>
          <w:p w14:paraId="69A71683">
            <w:pPr>
              <w:widowControl/>
              <w:ind w:firstLine="0" w:firstLineChars="0"/>
              <w:jc w:val="right"/>
              <w:textAlignment w:val="bottom"/>
              <w:rPr>
                <w:rFonts w:eastAsia="仿宋"/>
                <w:color w:val="000000"/>
                <w:sz w:val="22"/>
              </w:rPr>
            </w:pPr>
            <w:r>
              <w:rPr>
                <w:rFonts w:eastAsia="仿宋"/>
                <w:color w:val="000000"/>
                <w:kern w:val="0"/>
                <w:sz w:val="22"/>
              </w:rPr>
              <w:t>4.03%</w:t>
            </w:r>
          </w:p>
        </w:tc>
        <w:tc>
          <w:tcPr>
            <w:tcW w:w="0" w:type="auto"/>
            <w:tcBorders>
              <w:top w:val="single" w:color="000000" w:sz="4" w:space="0"/>
              <w:left w:val="nil"/>
              <w:bottom w:val="single" w:color="000000" w:sz="4" w:space="0"/>
              <w:right w:val="single" w:color="000000" w:sz="4" w:space="0"/>
            </w:tcBorders>
            <w:noWrap/>
            <w:vAlign w:val="bottom"/>
          </w:tcPr>
          <w:p w14:paraId="4A17918E">
            <w:pPr>
              <w:widowControl/>
              <w:ind w:firstLine="0" w:firstLineChars="0"/>
              <w:jc w:val="right"/>
              <w:textAlignment w:val="bottom"/>
              <w:rPr>
                <w:rFonts w:eastAsia="仿宋"/>
                <w:color w:val="000000"/>
                <w:sz w:val="22"/>
              </w:rPr>
            </w:pPr>
            <w:r>
              <w:rPr>
                <w:rFonts w:eastAsia="仿宋"/>
                <w:color w:val="000000"/>
                <w:kern w:val="0"/>
                <w:sz w:val="22"/>
              </w:rPr>
              <w:t>8.26%</w:t>
            </w:r>
          </w:p>
        </w:tc>
        <w:tc>
          <w:tcPr>
            <w:tcW w:w="0" w:type="auto"/>
            <w:tcBorders>
              <w:top w:val="single" w:color="000000" w:sz="4" w:space="0"/>
              <w:left w:val="nil"/>
              <w:bottom w:val="single" w:color="000000" w:sz="4" w:space="0"/>
              <w:right w:val="single" w:color="000000" w:sz="4" w:space="0"/>
            </w:tcBorders>
            <w:noWrap/>
            <w:vAlign w:val="bottom"/>
          </w:tcPr>
          <w:p w14:paraId="0537D8FE">
            <w:pPr>
              <w:widowControl/>
              <w:ind w:firstLine="0" w:firstLineChars="0"/>
              <w:jc w:val="right"/>
              <w:textAlignment w:val="bottom"/>
              <w:rPr>
                <w:rFonts w:eastAsia="仿宋"/>
                <w:color w:val="000000"/>
                <w:sz w:val="22"/>
              </w:rPr>
            </w:pPr>
            <w:r>
              <w:rPr>
                <w:rFonts w:eastAsia="仿宋"/>
                <w:color w:val="000000"/>
                <w:kern w:val="0"/>
                <w:sz w:val="22"/>
              </w:rPr>
              <w:t>1.50%</w:t>
            </w:r>
          </w:p>
        </w:tc>
        <w:tc>
          <w:tcPr>
            <w:tcW w:w="0" w:type="auto"/>
            <w:tcBorders>
              <w:top w:val="single" w:color="000000" w:sz="4" w:space="0"/>
              <w:left w:val="nil"/>
              <w:bottom w:val="single" w:color="000000" w:sz="4" w:space="0"/>
              <w:right w:val="single" w:color="000000" w:sz="4" w:space="0"/>
            </w:tcBorders>
            <w:noWrap/>
            <w:vAlign w:val="bottom"/>
          </w:tcPr>
          <w:p w14:paraId="4A8C4B09">
            <w:pPr>
              <w:widowControl/>
              <w:ind w:firstLine="0" w:firstLineChars="0"/>
              <w:jc w:val="right"/>
              <w:textAlignment w:val="bottom"/>
              <w:rPr>
                <w:rFonts w:eastAsia="仿宋"/>
                <w:color w:val="000000"/>
                <w:sz w:val="22"/>
              </w:rPr>
            </w:pPr>
            <w:r>
              <w:rPr>
                <w:rFonts w:eastAsia="仿宋"/>
                <w:color w:val="000000"/>
                <w:kern w:val="0"/>
                <w:sz w:val="22"/>
              </w:rPr>
              <w:t>-3.31%</w:t>
            </w:r>
          </w:p>
        </w:tc>
        <w:tc>
          <w:tcPr>
            <w:tcW w:w="0" w:type="auto"/>
            <w:tcBorders>
              <w:top w:val="single" w:color="000000" w:sz="4" w:space="0"/>
              <w:left w:val="nil"/>
              <w:bottom w:val="single" w:color="000000" w:sz="4" w:space="0"/>
              <w:right w:val="single" w:color="000000" w:sz="4" w:space="0"/>
            </w:tcBorders>
            <w:noWrap/>
            <w:vAlign w:val="bottom"/>
          </w:tcPr>
          <w:p w14:paraId="03276C0B">
            <w:pPr>
              <w:widowControl/>
              <w:ind w:firstLine="0" w:firstLineChars="0"/>
              <w:jc w:val="right"/>
              <w:textAlignment w:val="bottom"/>
              <w:rPr>
                <w:rFonts w:eastAsia="仿宋"/>
                <w:color w:val="000000"/>
                <w:sz w:val="22"/>
              </w:rPr>
            </w:pPr>
            <w:r>
              <w:rPr>
                <w:rFonts w:eastAsia="仿宋"/>
                <w:color w:val="000000"/>
                <w:kern w:val="0"/>
                <w:sz w:val="22"/>
              </w:rPr>
              <w:t>0.65%</w:t>
            </w:r>
          </w:p>
        </w:tc>
        <w:tc>
          <w:tcPr>
            <w:tcW w:w="0" w:type="auto"/>
            <w:tcBorders>
              <w:top w:val="single" w:color="000000" w:sz="4" w:space="0"/>
              <w:left w:val="nil"/>
              <w:bottom w:val="single" w:color="000000" w:sz="4" w:space="0"/>
              <w:right w:val="single" w:color="000000" w:sz="4" w:space="0"/>
            </w:tcBorders>
            <w:noWrap/>
            <w:vAlign w:val="bottom"/>
          </w:tcPr>
          <w:p w14:paraId="1A689852">
            <w:pPr>
              <w:widowControl/>
              <w:ind w:firstLine="0" w:firstLineChars="0"/>
              <w:jc w:val="right"/>
              <w:textAlignment w:val="bottom"/>
              <w:rPr>
                <w:rFonts w:eastAsia="仿宋"/>
                <w:color w:val="000000"/>
                <w:sz w:val="22"/>
              </w:rPr>
            </w:pPr>
            <w:r>
              <w:rPr>
                <w:rFonts w:eastAsia="仿宋"/>
                <w:color w:val="000000"/>
                <w:kern w:val="0"/>
                <w:sz w:val="22"/>
              </w:rPr>
              <w:t>3.76%</w:t>
            </w:r>
          </w:p>
        </w:tc>
        <w:tc>
          <w:tcPr>
            <w:tcW w:w="0" w:type="auto"/>
            <w:tcBorders>
              <w:top w:val="single" w:color="000000" w:sz="4" w:space="0"/>
              <w:left w:val="nil"/>
              <w:bottom w:val="single" w:color="000000" w:sz="4" w:space="0"/>
              <w:right w:val="single" w:color="000000" w:sz="4" w:space="0"/>
            </w:tcBorders>
            <w:noWrap/>
            <w:vAlign w:val="bottom"/>
          </w:tcPr>
          <w:p w14:paraId="39A84FB8">
            <w:pPr>
              <w:widowControl/>
              <w:ind w:firstLine="0" w:firstLineChars="0"/>
              <w:jc w:val="right"/>
              <w:textAlignment w:val="bottom"/>
              <w:rPr>
                <w:rFonts w:eastAsia="仿宋"/>
                <w:color w:val="000000"/>
                <w:sz w:val="22"/>
              </w:rPr>
            </w:pPr>
            <w:r>
              <w:rPr>
                <w:rFonts w:eastAsia="仿宋"/>
                <w:color w:val="000000"/>
                <w:kern w:val="0"/>
                <w:sz w:val="22"/>
              </w:rPr>
              <w:t>5.10%</w:t>
            </w:r>
          </w:p>
        </w:tc>
      </w:tr>
      <w:tr w14:paraId="29915FD0">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E800EF7">
            <w:pPr>
              <w:widowControl/>
              <w:ind w:firstLine="0" w:firstLineChars="0"/>
              <w:jc w:val="center"/>
              <w:textAlignment w:val="center"/>
              <w:rPr>
                <w:rFonts w:eastAsia="仿宋"/>
                <w:color w:val="000000"/>
                <w:sz w:val="22"/>
              </w:rPr>
            </w:pPr>
            <w:r>
              <w:rPr>
                <w:rFonts w:ascii="仿宋" w:hAnsi="仿宋" w:eastAsia="仿宋"/>
                <w:color w:val="000000"/>
                <w:kern w:val="0"/>
                <w:sz w:val="22"/>
              </w:rPr>
              <w:t>能源供应部门经济增长率</w:t>
            </w:r>
            <w:r>
              <w:rPr>
                <w:rFonts w:eastAsia="仿宋"/>
                <w:color w:val="000000"/>
                <w:kern w:val="0"/>
                <w:sz w:val="22"/>
              </w:rPr>
              <w:t>x7-2</w:t>
            </w:r>
          </w:p>
        </w:tc>
        <w:tc>
          <w:tcPr>
            <w:tcW w:w="0" w:type="auto"/>
            <w:tcBorders>
              <w:top w:val="single" w:color="000000" w:sz="4" w:space="0"/>
              <w:left w:val="nil"/>
              <w:bottom w:val="single" w:color="000000" w:sz="4" w:space="0"/>
              <w:right w:val="single" w:color="000000" w:sz="4" w:space="0"/>
            </w:tcBorders>
            <w:noWrap/>
            <w:vAlign w:val="bottom"/>
          </w:tcPr>
          <w:p w14:paraId="41CAF9F0">
            <w:pPr>
              <w:ind w:firstLine="0" w:firstLineChars="0"/>
              <w:rPr>
                <w:rFonts w:eastAsia="仿宋"/>
                <w:color w:val="000000"/>
                <w:sz w:val="22"/>
              </w:rPr>
            </w:pPr>
          </w:p>
        </w:tc>
        <w:tc>
          <w:tcPr>
            <w:tcW w:w="0" w:type="auto"/>
            <w:tcBorders>
              <w:top w:val="single" w:color="000000" w:sz="4" w:space="0"/>
              <w:left w:val="nil"/>
              <w:bottom w:val="single" w:color="000000" w:sz="4" w:space="0"/>
              <w:right w:val="single" w:color="000000" w:sz="4" w:space="0"/>
            </w:tcBorders>
            <w:noWrap/>
            <w:vAlign w:val="bottom"/>
          </w:tcPr>
          <w:p w14:paraId="22E34EB8">
            <w:pPr>
              <w:widowControl/>
              <w:ind w:firstLine="0" w:firstLineChars="0"/>
              <w:jc w:val="right"/>
              <w:textAlignment w:val="bottom"/>
              <w:rPr>
                <w:rFonts w:eastAsia="仿宋"/>
                <w:color w:val="000000"/>
                <w:sz w:val="22"/>
              </w:rPr>
            </w:pPr>
            <w:r>
              <w:rPr>
                <w:rFonts w:eastAsia="仿宋"/>
                <w:color w:val="000000"/>
                <w:kern w:val="0"/>
                <w:sz w:val="22"/>
              </w:rPr>
              <w:t>4.73%</w:t>
            </w:r>
          </w:p>
        </w:tc>
        <w:tc>
          <w:tcPr>
            <w:tcW w:w="0" w:type="auto"/>
            <w:tcBorders>
              <w:top w:val="single" w:color="000000" w:sz="4" w:space="0"/>
              <w:left w:val="nil"/>
              <w:bottom w:val="single" w:color="000000" w:sz="4" w:space="0"/>
              <w:right w:val="single" w:color="000000" w:sz="4" w:space="0"/>
            </w:tcBorders>
            <w:noWrap/>
            <w:vAlign w:val="bottom"/>
          </w:tcPr>
          <w:p w14:paraId="054FBD38">
            <w:pPr>
              <w:widowControl/>
              <w:ind w:firstLine="0" w:firstLineChars="0"/>
              <w:jc w:val="right"/>
              <w:textAlignment w:val="bottom"/>
              <w:rPr>
                <w:rFonts w:eastAsia="仿宋"/>
                <w:color w:val="000000"/>
                <w:sz w:val="22"/>
              </w:rPr>
            </w:pPr>
            <w:r>
              <w:rPr>
                <w:rFonts w:eastAsia="仿宋"/>
                <w:color w:val="000000"/>
                <w:kern w:val="0"/>
                <w:sz w:val="22"/>
              </w:rPr>
              <w:t>18.34%</w:t>
            </w:r>
          </w:p>
        </w:tc>
        <w:tc>
          <w:tcPr>
            <w:tcW w:w="0" w:type="auto"/>
            <w:tcBorders>
              <w:top w:val="single" w:color="000000" w:sz="4" w:space="0"/>
              <w:left w:val="nil"/>
              <w:bottom w:val="single" w:color="000000" w:sz="4" w:space="0"/>
              <w:right w:val="single" w:color="000000" w:sz="4" w:space="0"/>
            </w:tcBorders>
            <w:noWrap/>
            <w:vAlign w:val="bottom"/>
          </w:tcPr>
          <w:p w14:paraId="5F1AAEAF">
            <w:pPr>
              <w:widowControl/>
              <w:ind w:firstLine="0" w:firstLineChars="0"/>
              <w:jc w:val="right"/>
              <w:textAlignment w:val="bottom"/>
              <w:rPr>
                <w:rFonts w:eastAsia="仿宋"/>
                <w:color w:val="000000"/>
                <w:sz w:val="22"/>
              </w:rPr>
            </w:pPr>
            <w:r>
              <w:rPr>
                <w:rFonts w:eastAsia="仿宋"/>
                <w:color w:val="000000"/>
                <w:kern w:val="0"/>
                <w:sz w:val="22"/>
              </w:rPr>
              <w:t>-4.97%</w:t>
            </w:r>
          </w:p>
        </w:tc>
        <w:tc>
          <w:tcPr>
            <w:tcW w:w="0" w:type="auto"/>
            <w:tcBorders>
              <w:top w:val="single" w:color="000000" w:sz="4" w:space="0"/>
              <w:left w:val="nil"/>
              <w:bottom w:val="single" w:color="000000" w:sz="4" w:space="0"/>
              <w:right w:val="single" w:color="000000" w:sz="4" w:space="0"/>
            </w:tcBorders>
            <w:noWrap/>
            <w:vAlign w:val="bottom"/>
          </w:tcPr>
          <w:p w14:paraId="1DAC6943">
            <w:pPr>
              <w:widowControl/>
              <w:ind w:firstLine="0" w:firstLineChars="0"/>
              <w:jc w:val="right"/>
              <w:textAlignment w:val="bottom"/>
              <w:rPr>
                <w:rFonts w:eastAsia="仿宋"/>
                <w:color w:val="000000"/>
                <w:sz w:val="22"/>
              </w:rPr>
            </w:pPr>
            <w:r>
              <w:rPr>
                <w:rFonts w:eastAsia="仿宋"/>
                <w:color w:val="000000"/>
                <w:kern w:val="0"/>
                <w:sz w:val="22"/>
              </w:rPr>
              <w:t>7.92%</w:t>
            </w:r>
          </w:p>
        </w:tc>
        <w:tc>
          <w:tcPr>
            <w:tcW w:w="0" w:type="auto"/>
            <w:tcBorders>
              <w:top w:val="single" w:color="000000" w:sz="4" w:space="0"/>
              <w:left w:val="nil"/>
              <w:bottom w:val="single" w:color="000000" w:sz="4" w:space="0"/>
              <w:right w:val="single" w:color="000000" w:sz="4" w:space="0"/>
            </w:tcBorders>
            <w:noWrap/>
            <w:vAlign w:val="bottom"/>
          </w:tcPr>
          <w:p w14:paraId="7A4EE237">
            <w:pPr>
              <w:widowControl/>
              <w:ind w:firstLine="0" w:firstLineChars="0"/>
              <w:jc w:val="right"/>
              <w:textAlignment w:val="bottom"/>
              <w:rPr>
                <w:rFonts w:eastAsia="仿宋"/>
                <w:color w:val="000000"/>
                <w:sz w:val="22"/>
              </w:rPr>
            </w:pPr>
            <w:r>
              <w:rPr>
                <w:rFonts w:eastAsia="仿宋"/>
                <w:color w:val="000000"/>
                <w:kern w:val="0"/>
                <w:sz w:val="22"/>
              </w:rPr>
              <w:t>18.07%</w:t>
            </w:r>
          </w:p>
        </w:tc>
        <w:tc>
          <w:tcPr>
            <w:tcW w:w="0" w:type="auto"/>
            <w:tcBorders>
              <w:top w:val="single" w:color="000000" w:sz="4" w:space="0"/>
              <w:left w:val="nil"/>
              <w:bottom w:val="single" w:color="000000" w:sz="4" w:space="0"/>
              <w:right w:val="single" w:color="000000" w:sz="4" w:space="0"/>
            </w:tcBorders>
            <w:noWrap/>
            <w:vAlign w:val="bottom"/>
          </w:tcPr>
          <w:p w14:paraId="3F493EA2">
            <w:pPr>
              <w:widowControl/>
              <w:ind w:firstLine="0" w:firstLineChars="0"/>
              <w:jc w:val="right"/>
              <w:textAlignment w:val="bottom"/>
              <w:rPr>
                <w:rFonts w:eastAsia="仿宋"/>
                <w:color w:val="000000"/>
                <w:sz w:val="22"/>
              </w:rPr>
            </w:pPr>
            <w:r>
              <w:rPr>
                <w:rFonts w:eastAsia="仿宋"/>
                <w:color w:val="000000"/>
                <w:kern w:val="0"/>
                <w:sz w:val="22"/>
              </w:rPr>
              <w:t>4.44%</w:t>
            </w:r>
          </w:p>
        </w:tc>
        <w:tc>
          <w:tcPr>
            <w:tcW w:w="0" w:type="auto"/>
            <w:tcBorders>
              <w:top w:val="single" w:color="000000" w:sz="4" w:space="0"/>
              <w:left w:val="nil"/>
              <w:bottom w:val="single" w:color="000000" w:sz="4" w:space="0"/>
              <w:right w:val="single" w:color="000000" w:sz="4" w:space="0"/>
            </w:tcBorders>
            <w:noWrap/>
            <w:vAlign w:val="bottom"/>
          </w:tcPr>
          <w:p w14:paraId="77F4A0FE">
            <w:pPr>
              <w:widowControl/>
              <w:ind w:firstLine="0" w:firstLineChars="0"/>
              <w:jc w:val="right"/>
              <w:textAlignment w:val="bottom"/>
              <w:rPr>
                <w:rFonts w:eastAsia="仿宋"/>
                <w:color w:val="000000"/>
                <w:sz w:val="22"/>
              </w:rPr>
            </w:pPr>
            <w:r>
              <w:rPr>
                <w:rFonts w:eastAsia="仿宋"/>
                <w:color w:val="000000"/>
                <w:kern w:val="0"/>
                <w:sz w:val="22"/>
              </w:rPr>
              <w:t>7.69%</w:t>
            </w:r>
          </w:p>
        </w:tc>
        <w:tc>
          <w:tcPr>
            <w:tcW w:w="0" w:type="auto"/>
            <w:tcBorders>
              <w:top w:val="single" w:color="000000" w:sz="4" w:space="0"/>
              <w:left w:val="nil"/>
              <w:bottom w:val="single" w:color="000000" w:sz="4" w:space="0"/>
              <w:right w:val="single" w:color="000000" w:sz="4" w:space="0"/>
            </w:tcBorders>
            <w:noWrap/>
            <w:vAlign w:val="bottom"/>
          </w:tcPr>
          <w:p w14:paraId="7ED12FCC">
            <w:pPr>
              <w:widowControl/>
              <w:ind w:firstLine="0" w:firstLineChars="0"/>
              <w:jc w:val="right"/>
              <w:textAlignment w:val="bottom"/>
              <w:rPr>
                <w:rFonts w:eastAsia="仿宋"/>
                <w:color w:val="000000"/>
                <w:sz w:val="22"/>
              </w:rPr>
            </w:pPr>
            <w:r>
              <w:rPr>
                <w:rFonts w:eastAsia="仿宋"/>
                <w:color w:val="000000"/>
                <w:kern w:val="0"/>
                <w:sz w:val="22"/>
              </w:rPr>
              <w:t>5.08%</w:t>
            </w:r>
          </w:p>
        </w:tc>
        <w:tc>
          <w:tcPr>
            <w:tcW w:w="0" w:type="auto"/>
            <w:tcBorders>
              <w:top w:val="single" w:color="000000" w:sz="4" w:space="0"/>
              <w:left w:val="nil"/>
              <w:bottom w:val="single" w:color="000000" w:sz="4" w:space="0"/>
              <w:right w:val="single" w:color="000000" w:sz="4" w:space="0"/>
            </w:tcBorders>
            <w:noWrap/>
            <w:vAlign w:val="bottom"/>
          </w:tcPr>
          <w:p w14:paraId="3A23AB4E">
            <w:pPr>
              <w:widowControl/>
              <w:ind w:firstLine="0" w:firstLineChars="0"/>
              <w:jc w:val="right"/>
              <w:textAlignment w:val="bottom"/>
              <w:rPr>
                <w:rFonts w:eastAsia="仿宋"/>
                <w:color w:val="000000"/>
                <w:sz w:val="22"/>
              </w:rPr>
            </w:pPr>
            <w:r>
              <w:rPr>
                <w:rFonts w:eastAsia="仿宋"/>
                <w:color w:val="000000"/>
                <w:kern w:val="0"/>
                <w:sz w:val="22"/>
              </w:rPr>
              <w:t>5.49%</w:t>
            </w:r>
          </w:p>
        </w:tc>
        <w:tc>
          <w:tcPr>
            <w:tcW w:w="0" w:type="auto"/>
            <w:tcBorders>
              <w:top w:val="single" w:color="000000" w:sz="4" w:space="0"/>
              <w:left w:val="nil"/>
              <w:bottom w:val="single" w:color="000000" w:sz="4" w:space="0"/>
              <w:right w:val="single" w:color="000000" w:sz="4" w:space="0"/>
            </w:tcBorders>
            <w:noWrap/>
            <w:vAlign w:val="bottom"/>
          </w:tcPr>
          <w:p w14:paraId="056FB578">
            <w:pPr>
              <w:widowControl/>
              <w:ind w:firstLine="0" w:firstLineChars="0"/>
              <w:jc w:val="right"/>
              <w:textAlignment w:val="bottom"/>
              <w:rPr>
                <w:rFonts w:eastAsia="仿宋"/>
                <w:color w:val="000000"/>
                <w:sz w:val="22"/>
              </w:rPr>
            </w:pPr>
            <w:r>
              <w:rPr>
                <w:rFonts w:eastAsia="仿宋"/>
                <w:color w:val="000000"/>
                <w:kern w:val="0"/>
                <w:sz w:val="22"/>
              </w:rPr>
              <w:t>-1.89%</w:t>
            </w:r>
          </w:p>
        </w:tc>
      </w:tr>
      <w:tr w14:paraId="1CDE379B">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9157046">
            <w:pPr>
              <w:widowControl/>
              <w:ind w:firstLine="0" w:firstLineChars="0"/>
              <w:jc w:val="center"/>
              <w:textAlignment w:val="center"/>
              <w:rPr>
                <w:rFonts w:eastAsia="仿宋"/>
                <w:color w:val="000000"/>
                <w:sz w:val="22"/>
              </w:rPr>
            </w:pPr>
            <w:r>
              <w:rPr>
                <w:rFonts w:ascii="仿宋" w:hAnsi="仿宋" w:eastAsia="仿宋"/>
                <w:color w:val="000000"/>
                <w:kern w:val="0"/>
                <w:sz w:val="22"/>
              </w:rPr>
              <w:t>工业消费部门经济增长率</w:t>
            </w:r>
            <w:r>
              <w:rPr>
                <w:rFonts w:eastAsia="仿宋"/>
                <w:color w:val="000000"/>
                <w:kern w:val="0"/>
                <w:sz w:val="22"/>
              </w:rPr>
              <w:t>x7-3</w:t>
            </w:r>
          </w:p>
        </w:tc>
        <w:tc>
          <w:tcPr>
            <w:tcW w:w="0" w:type="auto"/>
            <w:tcBorders>
              <w:top w:val="single" w:color="000000" w:sz="4" w:space="0"/>
              <w:left w:val="nil"/>
              <w:bottom w:val="single" w:color="000000" w:sz="4" w:space="0"/>
              <w:right w:val="single" w:color="000000" w:sz="4" w:space="0"/>
            </w:tcBorders>
            <w:noWrap/>
            <w:vAlign w:val="bottom"/>
          </w:tcPr>
          <w:p w14:paraId="568112BB">
            <w:pPr>
              <w:ind w:firstLine="0" w:firstLineChars="0"/>
              <w:rPr>
                <w:rFonts w:eastAsia="仿宋"/>
                <w:color w:val="000000"/>
                <w:sz w:val="22"/>
              </w:rPr>
            </w:pPr>
          </w:p>
        </w:tc>
        <w:tc>
          <w:tcPr>
            <w:tcW w:w="0" w:type="auto"/>
            <w:tcBorders>
              <w:top w:val="single" w:color="000000" w:sz="4" w:space="0"/>
              <w:left w:val="nil"/>
              <w:bottom w:val="single" w:color="000000" w:sz="4" w:space="0"/>
              <w:right w:val="single" w:color="000000" w:sz="4" w:space="0"/>
            </w:tcBorders>
            <w:noWrap/>
            <w:vAlign w:val="bottom"/>
          </w:tcPr>
          <w:p w14:paraId="30B87FF4">
            <w:pPr>
              <w:widowControl/>
              <w:ind w:firstLine="0" w:firstLineChars="0"/>
              <w:jc w:val="right"/>
              <w:textAlignment w:val="bottom"/>
              <w:rPr>
                <w:rFonts w:eastAsia="仿宋"/>
                <w:color w:val="000000"/>
                <w:sz w:val="22"/>
              </w:rPr>
            </w:pPr>
            <w:r>
              <w:rPr>
                <w:rFonts w:eastAsia="仿宋"/>
                <w:color w:val="000000"/>
                <w:kern w:val="0"/>
                <w:sz w:val="22"/>
              </w:rPr>
              <w:t>8.80%</w:t>
            </w:r>
          </w:p>
        </w:tc>
        <w:tc>
          <w:tcPr>
            <w:tcW w:w="0" w:type="auto"/>
            <w:tcBorders>
              <w:top w:val="single" w:color="000000" w:sz="4" w:space="0"/>
              <w:left w:val="nil"/>
              <w:bottom w:val="single" w:color="000000" w:sz="4" w:space="0"/>
              <w:right w:val="single" w:color="000000" w:sz="4" w:space="0"/>
            </w:tcBorders>
            <w:noWrap/>
            <w:vAlign w:val="bottom"/>
          </w:tcPr>
          <w:p w14:paraId="31117C53">
            <w:pPr>
              <w:widowControl/>
              <w:ind w:firstLine="0" w:firstLineChars="0"/>
              <w:jc w:val="right"/>
              <w:textAlignment w:val="bottom"/>
              <w:rPr>
                <w:rFonts w:eastAsia="仿宋"/>
                <w:color w:val="000000"/>
                <w:sz w:val="22"/>
              </w:rPr>
            </w:pPr>
            <w:r>
              <w:rPr>
                <w:rFonts w:eastAsia="仿宋"/>
                <w:color w:val="000000"/>
                <w:kern w:val="0"/>
                <w:sz w:val="22"/>
              </w:rPr>
              <w:t>7.46%</w:t>
            </w:r>
          </w:p>
        </w:tc>
        <w:tc>
          <w:tcPr>
            <w:tcW w:w="0" w:type="auto"/>
            <w:tcBorders>
              <w:top w:val="single" w:color="000000" w:sz="4" w:space="0"/>
              <w:left w:val="nil"/>
              <w:bottom w:val="single" w:color="000000" w:sz="4" w:space="0"/>
              <w:right w:val="single" w:color="000000" w:sz="4" w:space="0"/>
            </w:tcBorders>
            <w:noWrap/>
            <w:vAlign w:val="bottom"/>
          </w:tcPr>
          <w:p w14:paraId="06DB36FA">
            <w:pPr>
              <w:widowControl/>
              <w:ind w:firstLine="0" w:firstLineChars="0"/>
              <w:jc w:val="right"/>
              <w:textAlignment w:val="bottom"/>
              <w:rPr>
                <w:rFonts w:eastAsia="仿宋"/>
                <w:color w:val="000000"/>
                <w:sz w:val="22"/>
              </w:rPr>
            </w:pPr>
            <w:r>
              <w:rPr>
                <w:rFonts w:eastAsia="仿宋"/>
                <w:color w:val="000000"/>
                <w:kern w:val="0"/>
                <w:sz w:val="22"/>
              </w:rPr>
              <w:t>7.11%</w:t>
            </w:r>
          </w:p>
        </w:tc>
        <w:tc>
          <w:tcPr>
            <w:tcW w:w="0" w:type="auto"/>
            <w:tcBorders>
              <w:top w:val="single" w:color="000000" w:sz="4" w:space="0"/>
              <w:left w:val="nil"/>
              <w:bottom w:val="single" w:color="000000" w:sz="4" w:space="0"/>
              <w:right w:val="single" w:color="000000" w:sz="4" w:space="0"/>
            </w:tcBorders>
            <w:noWrap/>
            <w:vAlign w:val="bottom"/>
          </w:tcPr>
          <w:p w14:paraId="22D8B87D">
            <w:pPr>
              <w:widowControl/>
              <w:ind w:firstLine="0" w:firstLineChars="0"/>
              <w:jc w:val="right"/>
              <w:textAlignment w:val="bottom"/>
              <w:rPr>
                <w:rFonts w:eastAsia="仿宋"/>
                <w:color w:val="000000"/>
                <w:sz w:val="22"/>
              </w:rPr>
            </w:pPr>
            <w:r>
              <w:rPr>
                <w:rFonts w:eastAsia="仿宋"/>
                <w:color w:val="000000"/>
                <w:kern w:val="0"/>
                <w:sz w:val="22"/>
              </w:rPr>
              <w:t>5.81%</w:t>
            </w:r>
          </w:p>
        </w:tc>
        <w:tc>
          <w:tcPr>
            <w:tcW w:w="0" w:type="auto"/>
            <w:tcBorders>
              <w:top w:val="single" w:color="000000" w:sz="4" w:space="0"/>
              <w:left w:val="nil"/>
              <w:bottom w:val="single" w:color="000000" w:sz="4" w:space="0"/>
              <w:right w:val="single" w:color="000000" w:sz="4" w:space="0"/>
            </w:tcBorders>
            <w:noWrap/>
            <w:vAlign w:val="bottom"/>
          </w:tcPr>
          <w:p w14:paraId="6F2A5891">
            <w:pPr>
              <w:widowControl/>
              <w:ind w:firstLine="0" w:firstLineChars="0"/>
              <w:jc w:val="right"/>
              <w:textAlignment w:val="bottom"/>
              <w:rPr>
                <w:rFonts w:eastAsia="仿宋"/>
                <w:color w:val="000000"/>
                <w:sz w:val="22"/>
              </w:rPr>
            </w:pPr>
            <w:r>
              <w:rPr>
                <w:rFonts w:eastAsia="仿宋"/>
                <w:color w:val="000000"/>
                <w:kern w:val="0"/>
                <w:sz w:val="22"/>
              </w:rPr>
              <w:t>5.71%</w:t>
            </w:r>
          </w:p>
        </w:tc>
        <w:tc>
          <w:tcPr>
            <w:tcW w:w="0" w:type="auto"/>
            <w:tcBorders>
              <w:top w:val="single" w:color="000000" w:sz="4" w:space="0"/>
              <w:left w:val="nil"/>
              <w:bottom w:val="single" w:color="000000" w:sz="4" w:space="0"/>
              <w:right w:val="single" w:color="000000" w:sz="4" w:space="0"/>
            </w:tcBorders>
            <w:noWrap/>
            <w:vAlign w:val="bottom"/>
          </w:tcPr>
          <w:p w14:paraId="4694A59E">
            <w:pPr>
              <w:widowControl/>
              <w:ind w:firstLine="0" w:firstLineChars="0"/>
              <w:jc w:val="right"/>
              <w:textAlignment w:val="bottom"/>
              <w:rPr>
                <w:rFonts w:eastAsia="仿宋"/>
                <w:color w:val="000000"/>
                <w:sz w:val="22"/>
              </w:rPr>
            </w:pPr>
            <w:r>
              <w:rPr>
                <w:rFonts w:eastAsia="仿宋"/>
                <w:color w:val="000000"/>
                <w:kern w:val="0"/>
                <w:sz w:val="22"/>
              </w:rPr>
              <w:t>4.27%</w:t>
            </w:r>
          </w:p>
        </w:tc>
        <w:tc>
          <w:tcPr>
            <w:tcW w:w="0" w:type="auto"/>
            <w:tcBorders>
              <w:top w:val="single" w:color="000000" w:sz="4" w:space="0"/>
              <w:left w:val="nil"/>
              <w:bottom w:val="single" w:color="000000" w:sz="4" w:space="0"/>
              <w:right w:val="single" w:color="000000" w:sz="4" w:space="0"/>
            </w:tcBorders>
            <w:noWrap/>
            <w:vAlign w:val="bottom"/>
          </w:tcPr>
          <w:p w14:paraId="4FA26A73">
            <w:pPr>
              <w:widowControl/>
              <w:ind w:firstLine="0" w:firstLineChars="0"/>
              <w:jc w:val="right"/>
              <w:textAlignment w:val="bottom"/>
              <w:rPr>
                <w:rFonts w:eastAsia="仿宋"/>
                <w:color w:val="000000"/>
                <w:sz w:val="22"/>
              </w:rPr>
            </w:pPr>
            <w:r>
              <w:rPr>
                <w:rFonts w:eastAsia="仿宋"/>
                <w:color w:val="000000"/>
                <w:kern w:val="0"/>
                <w:sz w:val="22"/>
              </w:rPr>
              <w:t>7.82%</w:t>
            </w:r>
          </w:p>
        </w:tc>
        <w:tc>
          <w:tcPr>
            <w:tcW w:w="0" w:type="auto"/>
            <w:tcBorders>
              <w:top w:val="single" w:color="000000" w:sz="4" w:space="0"/>
              <w:left w:val="nil"/>
              <w:bottom w:val="single" w:color="000000" w:sz="4" w:space="0"/>
              <w:right w:val="single" w:color="000000" w:sz="4" w:space="0"/>
            </w:tcBorders>
            <w:noWrap/>
            <w:vAlign w:val="bottom"/>
          </w:tcPr>
          <w:p w14:paraId="24DAA5A1">
            <w:pPr>
              <w:widowControl/>
              <w:ind w:firstLine="0" w:firstLineChars="0"/>
              <w:jc w:val="right"/>
              <w:textAlignment w:val="bottom"/>
              <w:rPr>
                <w:rFonts w:eastAsia="仿宋"/>
                <w:color w:val="000000"/>
                <w:sz w:val="22"/>
              </w:rPr>
            </w:pPr>
            <w:r>
              <w:rPr>
                <w:rFonts w:eastAsia="仿宋"/>
                <w:color w:val="000000"/>
                <w:kern w:val="0"/>
                <w:sz w:val="22"/>
              </w:rPr>
              <w:t>5.89%</w:t>
            </w:r>
          </w:p>
        </w:tc>
        <w:tc>
          <w:tcPr>
            <w:tcW w:w="0" w:type="auto"/>
            <w:tcBorders>
              <w:top w:val="single" w:color="000000" w:sz="4" w:space="0"/>
              <w:left w:val="nil"/>
              <w:bottom w:val="single" w:color="000000" w:sz="4" w:space="0"/>
              <w:right w:val="single" w:color="000000" w:sz="4" w:space="0"/>
            </w:tcBorders>
            <w:noWrap/>
            <w:vAlign w:val="bottom"/>
          </w:tcPr>
          <w:p w14:paraId="7310E1E2">
            <w:pPr>
              <w:widowControl/>
              <w:ind w:firstLine="0" w:firstLineChars="0"/>
              <w:jc w:val="right"/>
              <w:textAlignment w:val="bottom"/>
              <w:rPr>
                <w:rFonts w:eastAsia="仿宋"/>
                <w:color w:val="000000"/>
                <w:sz w:val="22"/>
              </w:rPr>
            </w:pPr>
            <w:r>
              <w:rPr>
                <w:rFonts w:eastAsia="仿宋"/>
                <w:color w:val="000000"/>
                <w:kern w:val="0"/>
                <w:sz w:val="22"/>
              </w:rPr>
              <w:t>3.17%</w:t>
            </w:r>
          </w:p>
        </w:tc>
        <w:tc>
          <w:tcPr>
            <w:tcW w:w="0" w:type="auto"/>
            <w:tcBorders>
              <w:top w:val="single" w:color="000000" w:sz="4" w:space="0"/>
              <w:left w:val="nil"/>
              <w:bottom w:val="single" w:color="000000" w:sz="4" w:space="0"/>
              <w:right w:val="single" w:color="000000" w:sz="4" w:space="0"/>
            </w:tcBorders>
            <w:noWrap/>
            <w:vAlign w:val="bottom"/>
          </w:tcPr>
          <w:p w14:paraId="69B6977B">
            <w:pPr>
              <w:widowControl/>
              <w:ind w:firstLine="0" w:firstLineChars="0"/>
              <w:jc w:val="right"/>
              <w:textAlignment w:val="bottom"/>
              <w:rPr>
                <w:rFonts w:eastAsia="仿宋"/>
                <w:color w:val="000000"/>
                <w:sz w:val="22"/>
              </w:rPr>
            </w:pPr>
            <w:r>
              <w:rPr>
                <w:rFonts w:eastAsia="仿宋"/>
                <w:color w:val="000000"/>
                <w:kern w:val="0"/>
                <w:sz w:val="22"/>
              </w:rPr>
              <w:t>1.35%</w:t>
            </w:r>
          </w:p>
        </w:tc>
      </w:tr>
      <w:tr w14:paraId="46D12CE4">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407FAB2">
            <w:pPr>
              <w:widowControl/>
              <w:ind w:firstLine="0" w:firstLineChars="0"/>
              <w:jc w:val="center"/>
              <w:textAlignment w:val="center"/>
              <w:rPr>
                <w:rFonts w:eastAsia="仿宋"/>
                <w:color w:val="000000"/>
                <w:sz w:val="22"/>
              </w:rPr>
            </w:pPr>
            <w:r>
              <w:rPr>
                <w:rFonts w:ascii="仿宋" w:hAnsi="仿宋" w:eastAsia="仿宋"/>
                <w:color w:val="000000"/>
                <w:kern w:val="0"/>
                <w:sz w:val="22"/>
              </w:rPr>
              <w:t>交通消费部门经济增长率</w:t>
            </w:r>
            <w:r>
              <w:rPr>
                <w:rFonts w:eastAsia="仿宋"/>
                <w:color w:val="000000"/>
                <w:kern w:val="0"/>
                <w:sz w:val="22"/>
              </w:rPr>
              <w:t>x7-4</w:t>
            </w:r>
          </w:p>
        </w:tc>
        <w:tc>
          <w:tcPr>
            <w:tcW w:w="0" w:type="auto"/>
            <w:tcBorders>
              <w:top w:val="single" w:color="000000" w:sz="4" w:space="0"/>
              <w:left w:val="nil"/>
              <w:bottom w:val="single" w:color="000000" w:sz="4" w:space="0"/>
              <w:right w:val="single" w:color="000000" w:sz="4" w:space="0"/>
            </w:tcBorders>
            <w:noWrap/>
            <w:vAlign w:val="bottom"/>
          </w:tcPr>
          <w:p w14:paraId="112939C9">
            <w:pPr>
              <w:ind w:firstLine="0" w:firstLineChars="0"/>
              <w:rPr>
                <w:rFonts w:eastAsia="仿宋"/>
                <w:color w:val="000000"/>
                <w:sz w:val="22"/>
              </w:rPr>
            </w:pPr>
          </w:p>
        </w:tc>
        <w:tc>
          <w:tcPr>
            <w:tcW w:w="0" w:type="auto"/>
            <w:tcBorders>
              <w:top w:val="single" w:color="000000" w:sz="4" w:space="0"/>
              <w:left w:val="nil"/>
              <w:bottom w:val="single" w:color="000000" w:sz="4" w:space="0"/>
              <w:right w:val="single" w:color="000000" w:sz="4" w:space="0"/>
            </w:tcBorders>
            <w:noWrap/>
            <w:vAlign w:val="bottom"/>
          </w:tcPr>
          <w:p w14:paraId="759A938E">
            <w:pPr>
              <w:widowControl/>
              <w:ind w:firstLine="0" w:firstLineChars="0"/>
              <w:jc w:val="right"/>
              <w:textAlignment w:val="bottom"/>
              <w:rPr>
                <w:rFonts w:eastAsia="仿宋"/>
                <w:color w:val="000000"/>
                <w:sz w:val="22"/>
              </w:rPr>
            </w:pPr>
            <w:r>
              <w:rPr>
                <w:rFonts w:eastAsia="仿宋"/>
                <w:color w:val="000000"/>
                <w:kern w:val="0"/>
                <w:sz w:val="22"/>
              </w:rPr>
              <w:t>12.52%</w:t>
            </w:r>
          </w:p>
        </w:tc>
        <w:tc>
          <w:tcPr>
            <w:tcW w:w="0" w:type="auto"/>
            <w:tcBorders>
              <w:top w:val="single" w:color="000000" w:sz="4" w:space="0"/>
              <w:left w:val="nil"/>
              <w:bottom w:val="single" w:color="000000" w:sz="4" w:space="0"/>
              <w:right w:val="single" w:color="000000" w:sz="4" w:space="0"/>
            </w:tcBorders>
            <w:noWrap/>
            <w:vAlign w:val="bottom"/>
          </w:tcPr>
          <w:p w14:paraId="461BAFFD">
            <w:pPr>
              <w:widowControl/>
              <w:ind w:firstLine="0" w:firstLineChars="0"/>
              <w:jc w:val="right"/>
              <w:textAlignment w:val="bottom"/>
              <w:rPr>
                <w:rFonts w:eastAsia="仿宋"/>
                <w:color w:val="000000"/>
                <w:sz w:val="22"/>
              </w:rPr>
            </w:pPr>
            <w:r>
              <w:rPr>
                <w:rFonts w:eastAsia="仿宋"/>
                <w:color w:val="000000"/>
                <w:kern w:val="0"/>
                <w:sz w:val="22"/>
              </w:rPr>
              <w:t>10.62%</w:t>
            </w:r>
          </w:p>
        </w:tc>
        <w:tc>
          <w:tcPr>
            <w:tcW w:w="0" w:type="auto"/>
            <w:tcBorders>
              <w:top w:val="single" w:color="000000" w:sz="4" w:space="0"/>
              <w:left w:val="nil"/>
              <w:bottom w:val="single" w:color="000000" w:sz="4" w:space="0"/>
              <w:right w:val="single" w:color="000000" w:sz="4" w:space="0"/>
            </w:tcBorders>
            <w:noWrap/>
            <w:vAlign w:val="bottom"/>
          </w:tcPr>
          <w:p w14:paraId="2F3B4B10">
            <w:pPr>
              <w:widowControl/>
              <w:ind w:firstLine="0" w:firstLineChars="0"/>
              <w:jc w:val="right"/>
              <w:textAlignment w:val="bottom"/>
              <w:rPr>
                <w:rFonts w:eastAsia="仿宋"/>
                <w:color w:val="000000"/>
                <w:sz w:val="22"/>
              </w:rPr>
            </w:pPr>
            <w:r>
              <w:rPr>
                <w:rFonts w:eastAsia="仿宋"/>
                <w:color w:val="000000"/>
                <w:kern w:val="0"/>
                <w:sz w:val="22"/>
              </w:rPr>
              <w:t>1.57%</w:t>
            </w:r>
          </w:p>
        </w:tc>
        <w:tc>
          <w:tcPr>
            <w:tcW w:w="0" w:type="auto"/>
            <w:tcBorders>
              <w:top w:val="single" w:color="000000" w:sz="4" w:space="0"/>
              <w:left w:val="nil"/>
              <w:bottom w:val="single" w:color="000000" w:sz="4" w:space="0"/>
              <w:right w:val="single" w:color="000000" w:sz="4" w:space="0"/>
            </w:tcBorders>
            <w:noWrap/>
            <w:vAlign w:val="bottom"/>
          </w:tcPr>
          <w:p w14:paraId="10BB699A">
            <w:pPr>
              <w:widowControl/>
              <w:ind w:firstLine="0" w:firstLineChars="0"/>
              <w:jc w:val="right"/>
              <w:textAlignment w:val="bottom"/>
              <w:rPr>
                <w:rFonts w:eastAsia="仿宋"/>
                <w:color w:val="000000"/>
                <w:sz w:val="22"/>
              </w:rPr>
            </w:pPr>
            <w:r>
              <w:rPr>
                <w:rFonts w:eastAsia="仿宋"/>
                <w:color w:val="000000"/>
                <w:kern w:val="0"/>
                <w:sz w:val="22"/>
              </w:rPr>
              <w:t>6.49%</w:t>
            </w:r>
          </w:p>
        </w:tc>
        <w:tc>
          <w:tcPr>
            <w:tcW w:w="0" w:type="auto"/>
            <w:tcBorders>
              <w:top w:val="single" w:color="000000" w:sz="4" w:space="0"/>
              <w:left w:val="nil"/>
              <w:bottom w:val="single" w:color="000000" w:sz="4" w:space="0"/>
              <w:right w:val="single" w:color="000000" w:sz="4" w:space="0"/>
            </w:tcBorders>
            <w:noWrap/>
            <w:vAlign w:val="bottom"/>
          </w:tcPr>
          <w:p w14:paraId="00CEE2AF">
            <w:pPr>
              <w:widowControl/>
              <w:ind w:firstLine="0" w:firstLineChars="0"/>
              <w:jc w:val="right"/>
              <w:textAlignment w:val="bottom"/>
              <w:rPr>
                <w:rFonts w:eastAsia="仿宋"/>
                <w:color w:val="000000"/>
                <w:sz w:val="22"/>
              </w:rPr>
            </w:pPr>
            <w:r>
              <w:rPr>
                <w:rFonts w:eastAsia="仿宋"/>
                <w:color w:val="000000"/>
                <w:kern w:val="0"/>
                <w:sz w:val="22"/>
              </w:rPr>
              <w:t>-5.82%</w:t>
            </w:r>
          </w:p>
        </w:tc>
        <w:tc>
          <w:tcPr>
            <w:tcW w:w="0" w:type="auto"/>
            <w:tcBorders>
              <w:top w:val="single" w:color="000000" w:sz="4" w:space="0"/>
              <w:left w:val="nil"/>
              <w:bottom w:val="single" w:color="000000" w:sz="4" w:space="0"/>
              <w:right w:val="single" w:color="000000" w:sz="4" w:space="0"/>
            </w:tcBorders>
            <w:noWrap/>
            <w:vAlign w:val="bottom"/>
          </w:tcPr>
          <w:p w14:paraId="1BDB0DB9">
            <w:pPr>
              <w:widowControl/>
              <w:ind w:firstLine="0" w:firstLineChars="0"/>
              <w:jc w:val="right"/>
              <w:textAlignment w:val="bottom"/>
              <w:rPr>
                <w:rFonts w:eastAsia="仿宋"/>
                <w:color w:val="000000"/>
                <w:sz w:val="22"/>
              </w:rPr>
            </w:pPr>
            <w:r>
              <w:rPr>
                <w:rFonts w:eastAsia="仿宋"/>
                <w:color w:val="000000"/>
                <w:kern w:val="0"/>
                <w:sz w:val="22"/>
              </w:rPr>
              <w:t>3.39%</w:t>
            </w:r>
          </w:p>
        </w:tc>
        <w:tc>
          <w:tcPr>
            <w:tcW w:w="0" w:type="auto"/>
            <w:tcBorders>
              <w:top w:val="single" w:color="000000" w:sz="4" w:space="0"/>
              <w:left w:val="nil"/>
              <w:bottom w:val="single" w:color="000000" w:sz="4" w:space="0"/>
              <w:right w:val="single" w:color="000000" w:sz="4" w:space="0"/>
            </w:tcBorders>
            <w:noWrap/>
            <w:vAlign w:val="bottom"/>
          </w:tcPr>
          <w:p w14:paraId="3DAA23E3">
            <w:pPr>
              <w:widowControl/>
              <w:ind w:firstLine="0" w:firstLineChars="0"/>
              <w:jc w:val="right"/>
              <w:textAlignment w:val="bottom"/>
              <w:rPr>
                <w:rFonts w:eastAsia="仿宋"/>
                <w:color w:val="000000"/>
                <w:sz w:val="22"/>
              </w:rPr>
            </w:pPr>
            <w:r>
              <w:rPr>
                <w:rFonts w:eastAsia="仿宋"/>
                <w:color w:val="000000"/>
                <w:kern w:val="0"/>
                <w:sz w:val="22"/>
              </w:rPr>
              <w:t>4.48%</w:t>
            </w:r>
          </w:p>
        </w:tc>
        <w:tc>
          <w:tcPr>
            <w:tcW w:w="0" w:type="auto"/>
            <w:tcBorders>
              <w:top w:val="single" w:color="000000" w:sz="4" w:space="0"/>
              <w:left w:val="nil"/>
              <w:bottom w:val="single" w:color="000000" w:sz="4" w:space="0"/>
              <w:right w:val="single" w:color="000000" w:sz="4" w:space="0"/>
            </w:tcBorders>
            <w:noWrap/>
            <w:vAlign w:val="bottom"/>
          </w:tcPr>
          <w:p w14:paraId="432F8ADA">
            <w:pPr>
              <w:widowControl/>
              <w:ind w:firstLine="0" w:firstLineChars="0"/>
              <w:jc w:val="right"/>
              <w:textAlignment w:val="bottom"/>
              <w:rPr>
                <w:rFonts w:eastAsia="仿宋"/>
                <w:color w:val="000000"/>
                <w:sz w:val="22"/>
              </w:rPr>
            </w:pPr>
            <w:r>
              <w:rPr>
                <w:rFonts w:eastAsia="仿宋"/>
                <w:color w:val="000000"/>
                <w:kern w:val="0"/>
                <w:sz w:val="22"/>
              </w:rPr>
              <w:t>6.22%</w:t>
            </w:r>
          </w:p>
        </w:tc>
        <w:tc>
          <w:tcPr>
            <w:tcW w:w="0" w:type="auto"/>
            <w:tcBorders>
              <w:top w:val="single" w:color="000000" w:sz="4" w:space="0"/>
              <w:left w:val="nil"/>
              <w:bottom w:val="single" w:color="000000" w:sz="4" w:space="0"/>
              <w:right w:val="single" w:color="000000" w:sz="4" w:space="0"/>
            </w:tcBorders>
            <w:noWrap/>
            <w:vAlign w:val="bottom"/>
          </w:tcPr>
          <w:p w14:paraId="11EEA504">
            <w:pPr>
              <w:widowControl/>
              <w:ind w:firstLine="0" w:firstLineChars="0"/>
              <w:jc w:val="right"/>
              <w:textAlignment w:val="bottom"/>
              <w:rPr>
                <w:rFonts w:eastAsia="仿宋"/>
                <w:color w:val="000000"/>
                <w:sz w:val="22"/>
              </w:rPr>
            </w:pPr>
            <w:r>
              <w:rPr>
                <w:rFonts w:eastAsia="仿宋"/>
                <w:color w:val="000000"/>
                <w:kern w:val="0"/>
                <w:sz w:val="22"/>
              </w:rPr>
              <w:t>6.94%</w:t>
            </w:r>
          </w:p>
        </w:tc>
        <w:tc>
          <w:tcPr>
            <w:tcW w:w="0" w:type="auto"/>
            <w:tcBorders>
              <w:top w:val="single" w:color="000000" w:sz="4" w:space="0"/>
              <w:left w:val="nil"/>
              <w:bottom w:val="single" w:color="000000" w:sz="4" w:space="0"/>
              <w:right w:val="single" w:color="000000" w:sz="4" w:space="0"/>
            </w:tcBorders>
            <w:noWrap/>
            <w:vAlign w:val="bottom"/>
          </w:tcPr>
          <w:p w14:paraId="0B3D3970">
            <w:pPr>
              <w:widowControl/>
              <w:ind w:firstLine="0" w:firstLineChars="0"/>
              <w:jc w:val="right"/>
              <w:textAlignment w:val="bottom"/>
              <w:rPr>
                <w:rFonts w:eastAsia="仿宋"/>
                <w:color w:val="000000"/>
                <w:sz w:val="22"/>
              </w:rPr>
            </w:pPr>
            <w:r>
              <w:rPr>
                <w:rFonts w:eastAsia="仿宋"/>
                <w:color w:val="000000"/>
                <w:kern w:val="0"/>
                <w:sz w:val="22"/>
              </w:rPr>
              <w:t>0.45%</w:t>
            </w:r>
          </w:p>
        </w:tc>
      </w:tr>
      <w:tr w14:paraId="4F01C8C6">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1B4114D">
            <w:pPr>
              <w:widowControl/>
              <w:ind w:firstLine="0" w:firstLineChars="0"/>
              <w:jc w:val="center"/>
              <w:textAlignment w:val="center"/>
              <w:rPr>
                <w:rFonts w:eastAsia="仿宋"/>
                <w:color w:val="000000"/>
                <w:sz w:val="22"/>
              </w:rPr>
            </w:pPr>
            <w:r>
              <w:rPr>
                <w:rFonts w:ascii="仿宋" w:hAnsi="仿宋" w:eastAsia="仿宋"/>
                <w:color w:val="000000"/>
                <w:kern w:val="0"/>
                <w:sz w:val="22"/>
              </w:rPr>
              <w:t>建筑消费部门经济增长率</w:t>
            </w:r>
            <w:r>
              <w:rPr>
                <w:rFonts w:eastAsia="仿宋"/>
                <w:color w:val="000000"/>
                <w:kern w:val="0"/>
                <w:sz w:val="22"/>
              </w:rPr>
              <w:t>x7-5</w:t>
            </w:r>
          </w:p>
        </w:tc>
        <w:tc>
          <w:tcPr>
            <w:tcW w:w="0" w:type="auto"/>
            <w:tcBorders>
              <w:top w:val="single" w:color="000000" w:sz="4" w:space="0"/>
              <w:left w:val="nil"/>
              <w:bottom w:val="single" w:color="000000" w:sz="4" w:space="0"/>
              <w:right w:val="single" w:color="000000" w:sz="4" w:space="0"/>
            </w:tcBorders>
            <w:noWrap/>
            <w:vAlign w:val="bottom"/>
          </w:tcPr>
          <w:p w14:paraId="54089515">
            <w:pPr>
              <w:ind w:firstLine="0" w:firstLineChars="0"/>
              <w:rPr>
                <w:rFonts w:eastAsia="仿宋"/>
                <w:color w:val="000000"/>
                <w:sz w:val="22"/>
              </w:rPr>
            </w:pPr>
          </w:p>
        </w:tc>
        <w:tc>
          <w:tcPr>
            <w:tcW w:w="0" w:type="auto"/>
            <w:tcBorders>
              <w:top w:val="single" w:color="000000" w:sz="4" w:space="0"/>
              <w:left w:val="nil"/>
              <w:bottom w:val="single" w:color="000000" w:sz="4" w:space="0"/>
              <w:right w:val="single" w:color="000000" w:sz="4" w:space="0"/>
            </w:tcBorders>
            <w:noWrap/>
            <w:vAlign w:val="bottom"/>
          </w:tcPr>
          <w:p w14:paraId="684C25DC">
            <w:pPr>
              <w:widowControl/>
              <w:ind w:firstLine="0" w:firstLineChars="0"/>
              <w:jc w:val="right"/>
              <w:textAlignment w:val="bottom"/>
              <w:rPr>
                <w:rFonts w:eastAsia="仿宋"/>
                <w:color w:val="000000"/>
                <w:sz w:val="22"/>
              </w:rPr>
            </w:pPr>
            <w:r>
              <w:rPr>
                <w:rFonts w:eastAsia="仿宋"/>
                <w:color w:val="000000"/>
                <w:kern w:val="0"/>
                <w:sz w:val="22"/>
              </w:rPr>
              <w:t>13.90%</w:t>
            </w:r>
          </w:p>
        </w:tc>
        <w:tc>
          <w:tcPr>
            <w:tcW w:w="0" w:type="auto"/>
            <w:tcBorders>
              <w:top w:val="single" w:color="000000" w:sz="4" w:space="0"/>
              <w:left w:val="nil"/>
              <w:bottom w:val="single" w:color="000000" w:sz="4" w:space="0"/>
              <w:right w:val="single" w:color="000000" w:sz="4" w:space="0"/>
            </w:tcBorders>
            <w:noWrap/>
            <w:vAlign w:val="bottom"/>
          </w:tcPr>
          <w:p w14:paraId="4C5563F4">
            <w:pPr>
              <w:widowControl/>
              <w:ind w:firstLine="0" w:firstLineChars="0"/>
              <w:jc w:val="right"/>
              <w:textAlignment w:val="bottom"/>
              <w:rPr>
                <w:rFonts w:eastAsia="仿宋"/>
                <w:color w:val="000000"/>
                <w:sz w:val="22"/>
              </w:rPr>
            </w:pPr>
            <w:r>
              <w:rPr>
                <w:rFonts w:eastAsia="仿宋"/>
                <w:color w:val="000000"/>
                <w:kern w:val="0"/>
                <w:sz w:val="22"/>
              </w:rPr>
              <w:t>13.17%</w:t>
            </w:r>
          </w:p>
        </w:tc>
        <w:tc>
          <w:tcPr>
            <w:tcW w:w="0" w:type="auto"/>
            <w:tcBorders>
              <w:top w:val="single" w:color="000000" w:sz="4" w:space="0"/>
              <w:left w:val="nil"/>
              <w:bottom w:val="single" w:color="000000" w:sz="4" w:space="0"/>
              <w:right w:val="single" w:color="000000" w:sz="4" w:space="0"/>
            </w:tcBorders>
            <w:noWrap/>
            <w:vAlign w:val="bottom"/>
          </w:tcPr>
          <w:p w14:paraId="02E86B39">
            <w:pPr>
              <w:widowControl/>
              <w:ind w:firstLine="0" w:firstLineChars="0"/>
              <w:jc w:val="right"/>
              <w:textAlignment w:val="bottom"/>
              <w:rPr>
                <w:rFonts w:eastAsia="仿宋"/>
                <w:color w:val="000000"/>
                <w:sz w:val="22"/>
              </w:rPr>
            </w:pPr>
            <w:r>
              <w:rPr>
                <w:rFonts w:eastAsia="仿宋"/>
                <w:color w:val="000000"/>
                <w:kern w:val="0"/>
                <w:sz w:val="22"/>
              </w:rPr>
              <w:t>15.31%</w:t>
            </w:r>
          </w:p>
        </w:tc>
        <w:tc>
          <w:tcPr>
            <w:tcW w:w="0" w:type="auto"/>
            <w:tcBorders>
              <w:top w:val="single" w:color="000000" w:sz="4" w:space="0"/>
              <w:left w:val="nil"/>
              <w:bottom w:val="single" w:color="000000" w:sz="4" w:space="0"/>
              <w:right w:val="single" w:color="000000" w:sz="4" w:space="0"/>
            </w:tcBorders>
            <w:noWrap/>
            <w:vAlign w:val="bottom"/>
          </w:tcPr>
          <w:p w14:paraId="29662C8B">
            <w:pPr>
              <w:widowControl/>
              <w:ind w:firstLine="0" w:firstLineChars="0"/>
              <w:jc w:val="right"/>
              <w:textAlignment w:val="bottom"/>
              <w:rPr>
                <w:rFonts w:eastAsia="仿宋"/>
                <w:color w:val="000000"/>
                <w:sz w:val="22"/>
              </w:rPr>
            </w:pPr>
            <w:r>
              <w:rPr>
                <w:rFonts w:eastAsia="仿宋"/>
                <w:color w:val="000000"/>
                <w:kern w:val="0"/>
                <w:sz w:val="22"/>
              </w:rPr>
              <w:t>12.69%</w:t>
            </w:r>
          </w:p>
        </w:tc>
        <w:tc>
          <w:tcPr>
            <w:tcW w:w="0" w:type="auto"/>
            <w:tcBorders>
              <w:top w:val="single" w:color="000000" w:sz="4" w:space="0"/>
              <w:left w:val="nil"/>
              <w:bottom w:val="single" w:color="000000" w:sz="4" w:space="0"/>
              <w:right w:val="single" w:color="000000" w:sz="4" w:space="0"/>
            </w:tcBorders>
            <w:noWrap/>
            <w:vAlign w:val="bottom"/>
          </w:tcPr>
          <w:p w14:paraId="4FC7AB3C">
            <w:pPr>
              <w:widowControl/>
              <w:ind w:firstLine="0" w:firstLineChars="0"/>
              <w:jc w:val="right"/>
              <w:textAlignment w:val="bottom"/>
              <w:rPr>
                <w:rFonts w:eastAsia="仿宋"/>
                <w:color w:val="000000"/>
                <w:sz w:val="22"/>
              </w:rPr>
            </w:pPr>
            <w:r>
              <w:rPr>
                <w:rFonts w:eastAsia="仿宋"/>
                <w:color w:val="000000"/>
                <w:kern w:val="0"/>
                <w:sz w:val="22"/>
              </w:rPr>
              <w:t>12.68%</w:t>
            </w:r>
          </w:p>
        </w:tc>
        <w:tc>
          <w:tcPr>
            <w:tcW w:w="0" w:type="auto"/>
            <w:tcBorders>
              <w:top w:val="single" w:color="000000" w:sz="4" w:space="0"/>
              <w:left w:val="nil"/>
              <w:bottom w:val="single" w:color="000000" w:sz="4" w:space="0"/>
              <w:right w:val="single" w:color="000000" w:sz="4" w:space="0"/>
            </w:tcBorders>
            <w:noWrap/>
            <w:vAlign w:val="bottom"/>
          </w:tcPr>
          <w:p w14:paraId="3A010C5E">
            <w:pPr>
              <w:widowControl/>
              <w:ind w:firstLine="0" w:firstLineChars="0"/>
              <w:jc w:val="right"/>
              <w:textAlignment w:val="bottom"/>
              <w:rPr>
                <w:rFonts w:eastAsia="仿宋"/>
                <w:color w:val="000000"/>
                <w:sz w:val="22"/>
              </w:rPr>
            </w:pPr>
            <w:r>
              <w:rPr>
                <w:rFonts w:eastAsia="仿宋"/>
                <w:color w:val="000000"/>
                <w:kern w:val="0"/>
                <w:sz w:val="22"/>
              </w:rPr>
              <w:t>12.67%</w:t>
            </w:r>
          </w:p>
        </w:tc>
        <w:tc>
          <w:tcPr>
            <w:tcW w:w="0" w:type="auto"/>
            <w:tcBorders>
              <w:top w:val="single" w:color="000000" w:sz="4" w:space="0"/>
              <w:left w:val="nil"/>
              <w:bottom w:val="single" w:color="000000" w:sz="4" w:space="0"/>
              <w:right w:val="single" w:color="000000" w:sz="4" w:space="0"/>
            </w:tcBorders>
            <w:noWrap/>
            <w:vAlign w:val="bottom"/>
          </w:tcPr>
          <w:p w14:paraId="55443762">
            <w:pPr>
              <w:widowControl/>
              <w:ind w:firstLine="0" w:firstLineChars="0"/>
              <w:jc w:val="right"/>
              <w:textAlignment w:val="bottom"/>
              <w:rPr>
                <w:rFonts w:eastAsia="仿宋"/>
                <w:color w:val="000000"/>
                <w:sz w:val="22"/>
              </w:rPr>
            </w:pPr>
            <w:r>
              <w:rPr>
                <w:rFonts w:eastAsia="仿宋"/>
                <w:color w:val="000000"/>
                <w:kern w:val="0"/>
                <w:sz w:val="22"/>
              </w:rPr>
              <w:t>7.98%</w:t>
            </w:r>
          </w:p>
        </w:tc>
        <w:tc>
          <w:tcPr>
            <w:tcW w:w="0" w:type="auto"/>
            <w:tcBorders>
              <w:top w:val="single" w:color="000000" w:sz="4" w:space="0"/>
              <w:left w:val="nil"/>
              <w:bottom w:val="single" w:color="000000" w:sz="4" w:space="0"/>
              <w:right w:val="single" w:color="000000" w:sz="4" w:space="0"/>
            </w:tcBorders>
            <w:noWrap/>
            <w:vAlign w:val="bottom"/>
          </w:tcPr>
          <w:p w14:paraId="350D7E26">
            <w:pPr>
              <w:widowControl/>
              <w:ind w:firstLine="0" w:firstLineChars="0"/>
              <w:jc w:val="right"/>
              <w:textAlignment w:val="bottom"/>
              <w:rPr>
                <w:rFonts w:eastAsia="仿宋"/>
                <w:color w:val="000000"/>
                <w:sz w:val="22"/>
              </w:rPr>
            </w:pPr>
            <w:r>
              <w:rPr>
                <w:rFonts w:eastAsia="仿宋"/>
                <w:color w:val="000000"/>
                <w:kern w:val="0"/>
                <w:sz w:val="22"/>
              </w:rPr>
              <w:t>8.18%</w:t>
            </w:r>
          </w:p>
        </w:tc>
        <w:tc>
          <w:tcPr>
            <w:tcW w:w="0" w:type="auto"/>
            <w:tcBorders>
              <w:top w:val="single" w:color="000000" w:sz="4" w:space="0"/>
              <w:left w:val="nil"/>
              <w:bottom w:val="single" w:color="000000" w:sz="4" w:space="0"/>
              <w:right w:val="single" w:color="000000" w:sz="4" w:space="0"/>
            </w:tcBorders>
            <w:noWrap/>
            <w:vAlign w:val="bottom"/>
          </w:tcPr>
          <w:p w14:paraId="61AD3F96">
            <w:pPr>
              <w:widowControl/>
              <w:ind w:firstLine="0" w:firstLineChars="0"/>
              <w:jc w:val="right"/>
              <w:textAlignment w:val="bottom"/>
              <w:rPr>
                <w:rFonts w:eastAsia="仿宋"/>
                <w:color w:val="000000"/>
                <w:sz w:val="22"/>
              </w:rPr>
            </w:pPr>
            <w:r>
              <w:rPr>
                <w:rFonts w:eastAsia="仿宋"/>
                <w:color w:val="000000"/>
                <w:kern w:val="0"/>
                <w:sz w:val="22"/>
              </w:rPr>
              <w:t>8.44%</w:t>
            </w:r>
          </w:p>
        </w:tc>
        <w:tc>
          <w:tcPr>
            <w:tcW w:w="0" w:type="auto"/>
            <w:tcBorders>
              <w:top w:val="single" w:color="000000" w:sz="4" w:space="0"/>
              <w:left w:val="nil"/>
              <w:bottom w:val="single" w:color="000000" w:sz="4" w:space="0"/>
              <w:right w:val="single" w:color="000000" w:sz="4" w:space="0"/>
            </w:tcBorders>
            <w:noWrap/>
            <w:vAlign w:val="bottom"/>
          </w:tcPr>
          <w:p w14:paraId="4E6D37C8">
            <w:pPr>
              <w:widowControl/>
              <w:ind w:firstLine="0" w:firstLineChars="0"/>
              <w:jc w:val="right"/>
              <w:textAlignment w:val="bottom"/>
              <w:rPr>
                <w:rFonts w:eastAsia="仿宋"/>
                <w:color w:val="000000"/>
                <w:sz w:val="22"/>
              </w:rPr>
            </w:pPr>
            <w:r>
              <w:rPr>
                <w:rFonts w:eastAsia="仿宋"/>
                <w:color w:val="000000"/>
                <w:kern w:val="0"/>
                <w:sz w:val="22"/>
              </w:rPr>
              <w:t>5.98%</w:t>
            </w:r>
          </w:p>
        </w:tc>
      </w:tr>
      <w:tr w14:paraId="6902FFA5">
        <w:tblPrEx>
          <w:tblCellMar>
            <w:top w:w="0" w:type="dxa"/>
            <w:left w:w="108" w:type="dxa"/>
            <w:bottom w:w="0" w:type="dxa"/>
            <w:right w:w="108" w:type="dxa"/>
          </w:tblCellMar>
        </w:tblPrEx>
        <w:trPr>
          <w:trHeight w:val="280" w:hRule="atLeast"/>
        </w:trPr>
        <w:tc>
          <w:tcPr>
            <w:tcW w:w="0" w:type="auto"/>
            <w:tcBorders>
              <w:top w:val="nil"/>
              <w:left w:val="nil"/>
              <w:bottom w:val="nil"/>
              <w:right w:val="nil"/>
            </w:tcBorders>
            <w:noWrap/>
            <w:vAlign w:val="center"/>
          </w:tcPr>
          <w:p w14:paraId="12803AF6">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二、三产业消费量总和</w:t>
            </w:r>
            <w:r>
              <w:rPr>
                <w:rFonts w:eastAsia="仿宋"/>
                <w:color w:val="000000"/>
                <w:kern w:val="0"/>
                <w:sz w:val="20"/>
                <w:szCs w:val="20"/>
              </w:rPr>
              <w:t xml:space="preserve">  X8</w:t>
            </w:r>
          </w:p>
        </w:tc>
        <w:tc>
          <w:tcPr>
            <w:tcW w:w="0" w:type="auto"/>
            <w:tcBorders>
              <w:top w:val="nil"/>
              <w:left w:val="nil"/>
              <w:bottom w:val="nil"/>
              <w:right w:val="nil"/>
            </w:tcBorders>
            <w:shd w:val="clear" w:color="auto" w:fill="D9D9D9"/>
            <w:noWrap/>
            <w:vAlign w:val="center"/>
          </w:tcPr>
          <w:p w14:paraId="5C62997A">
            <w:pPr>
              <w:widowControl/>
              <w:ind w:firstLine="0" w:firstLineChars="0"/>
              <w:jc w:val="center"/>
              <w:textAlignment w:val="center"/>
              <w:rPr>
                <w:color w:val="000000"/>
                <w:sz w:val="22"/>
              </w:rPr>
            </w:pPr>
            <w:r>
              <w:rPr>
                <w:color w:val="000000"/>
                <w:kern w:val="0"/>
                <w:sz w:val="22"/>
              </w:rPr>
              <w:t>22045.913</w:t>
            </w:r>
          </w:p>
        </w:tc>
        <w:tc>
          <w:tcPr>
            <w:tcW w:w="0" w:type="auto"/>
            <w:tcBorders>
              <w:top w:val="nil"/>
              <w:left w:val="nil"/>
              <w:bottom w:val="nil"/>
              <w:right w:val="nil"/>
            </w:tcBorders>
            <w:noWrap/>
            <w:vAlign w:val="center"/>
          </w:tcPr>
          <w:p w14:paraId="4DA6BA4E">
            <w:pPr>
              <w:widowControl/>
              <w:ind w:firstLine="0" w:firstLineChars="0"/>
              <w:jc w:val="center"/>
              <w:textAlignment w:val="center"/>
              <w:rPr>
                <w:color w:val="000000"/>
                <w:sz w:val="22"/>
              </w:rPr>
            </w:pPr>
            <w:r>
              <w:rPr>
                <w:color w:val="000000"/>
                <w:kern w:val="0"/>
                <w:sz w:val="22"/>
              </w:rPr>
              <w:t>25261.03195</w:t>
            </w:r>
          </w:p>
        </w:tc>
        <w:tc>
          <w:tcPr>
            <w:tcW w:w="0" w:type="auto"/>
            <w:tcBorders>
              <w:top w:val="nil"/>
              <w:left w:val="nil"/>
              <w:bottom w:val="nil"/>
              <w:right w:val="nil"/>
            </w:tcBorders>
            <w:noWrap/>
            <w:vAlign w:val="center"/>
          </w:tcPr>
          <w:p w14:paraId="10462C23">
            <w:pPr>
              <w:widowControl/>
              <w:ind w:firstLine="0" w:firstLineChars="0"/>
              <w:jc w:val="center"/>
              <w:textAlignment w:val="center"/>
              <w:rPr>
                <w:color w:val="000000"/>
                <w:sz w:val="22"/>
              </w:rPr>
            </w:pPr>
            <w:r>
              <w:rPr>
                <w:color w:val="000000"/>
                <w:kern w:val="0"/>
                <w:sz w:val="22"/>
              </w:rPr>
              <w:t>26178.1813</w:t>
            </w:r>
          </w:p>
        </w:tc>
        <w:tc>
          <w:tcPr>
            <w:tcW w:w="0" w:type="auto"/>
            <w:tcBorders>
              <w:top w:val="nil"/>
              <w:left w:val="nil"/>
              <w:bottom w:val="nil"/>
              <w:right w:val="nil"/>
            </w:tcBorders>
            <w:noWrap/>
            <w:vAlign w:val="center"/>
          </w:tcPr>
          <w:p w14:paraId="6F180078">
            <w:pPr>
              <w:widowControl/>
              <w:ind w:firstLine="0" w:firstLineChars="0"/>
              <w:jc w:val="center"/>
              <w:textAlignment w:val="center"/>
              <w:rPr>
                <w:color w:val="000000"/>
                <w:sz w:val="22"/>
              </w:rPr>
            </w:pPr>
            <w:r>
              <w:rPr>
                <w:color w:val="000000"/>
                <w:kern w:val="0"/>
                <w:sz w:val="22"/>
              </w:rPr>
              <w:t>26371.02101</w:t>
            </w:r>
          </w:p>
        </w:tc>
        <w:tc>
          <w:tcPr>
            <w:tcW w:w="0" w:type="auto"/>
            <w:tcBorders>
              <w:top w:val="nil"/>
              <w:left w:val="nil"/>
              <w:bottom w:val="nil"/>
              <w:right w:val="nil"/>
            </w:tcBorders>
            <w:noWrap/>
            <w:vAlign w:val="center"/>
          </w:tcPr>
          <w:p w14:paraId="06D6FFEC">
            <w:pPr>
              <w:widowControl/>
              <w:ind w:firstLine="0" w:firstLineChars="0"/>
              <w:jc w:val="center"/>
              <w:textAlignment w:val="center"/>
              <w:rPr>
                <w:color w:val="000000"/>
                <w:sz w:val="22"/>
              </w:rPr>
            </w:pPr>
            <w:r>
              <w:rPr>
                <w:color w:val="000000"/>
                <w:kern w:val="0"/>
                <w:sz w:val="22"/>
              </w:rPr>
              <w:t>26314.33027</w:t>
            </w:r>
          </w:p>
        </w:tc>
        <w:tc>
          <w:tcPr>
            <w:tcW w:w="0" w:type="auto"/>
            <w:tcBorders>
              <w:top w:val="nil"/>
              <w:left w:val="nil"/>
              <w:bottom w:val="nil"/>
              <w:right w:val="nil"/>
            </w:tcBorders>
            <w:noWrap/>
            <w:vAlign w:val="center"/>
          </w:tcPr>
          <w:p w14:paraId="0124ABD3">
            <w:pPr>
              <w:widowControl/>
              <w:ind w:firstLine="0" w:firstLineChars="0"/>
              <w:jc w:val="center"/>
              <w:textAlignment w:val="center"/>
              <w:rPr>
                <w:color w:val="000000"/>
                <w:sz w:val="22"/>
              </w:rPr>
            </w:pPr>
            <w:r>
              <w:rPr>
                <w:color w:val="000000"/>
                <w:kern w:val="0"/>
                <w:sz w:val="22"/>
              </w:rPr>
              <w:t>27038.0733</w:t>
            </w:r>
          </w:p>
        </w:tc>
        <w:tc>
          <w:tcPr>
            <w:tcW w:w="0" w:type="auto"/>
            <w:tcBorders>
              <w:top w:val="nil"/>
              <w:left w:val="nil"/>
              <w:bottom w:val="nil"/>
              <w:right w:val="nil"/>
            </w:tcBorders>
            <w:noWrap/>
            <w:vAlign w:val="center"/>
          </w:tcPr>
          <w:p w14:paraId="76E05BC5">
            <w:pPr>
              <w:widowControl/>
              <w:ind w:firstLine="0" w:firstLineChars="0"/>
              <w:jc w:val="center"/>
              <w:textAlignment w:val="center"/>
              <w:rPr>
                <w:color w:val="000000"/>
                <w:sz w:val="22"/>
              </w:rPr>
            </w:pPr>
            <w:r>
              <w:rPr>
                <w:color w:val="000000"/>
                <w:kern w:val="0"/>
                <w:sz w:val="22"/>
              </w:rPr>
              <w:t>27808.20858</w:t>
            </w:r>
          </w:p>
        </w:tc>
        <w:tc>
          <w:tcPr>
            <w:tcW w:w="0" w:type="auto"/>
            <w:tcBorders>
              <w:top w:val="nil"/>
              <w:left w:val="nil"/>
              <w:bottom w:val="nil"/>
              <w:right w:val="nil"/>
            </w:tcBorders>
            <w:noWrap/>
            <w:vAlign w:val="center"/>
          </w:tcPr>
          <w:p w14:paraId="182D9586">
            <w:pPr>
              <w:widowControl/>
              <w:ind w:firstLine="0" w:firstLineChars="0"/>
              <w:jc w:val="center"/>
              <w:textAlignment w:val="center"/>
              <w:rPr>
                <w:color w:val="000000"/>
                <w:sz w:val="22"/>
              </w:rPr>
            </w:pPr>
            <w:r>
              <w:rPr>
                <w:color w:val="000000"/>
                <w:kern w:val="0"/>
                <w:sz w:val="22"/>
              </w:rPr>
              <w:t>28366.75725</w:t>
            </w:r>
          </w:p>
        </w:tc>
        <w:tc>
          <w:tcPr>
            <w:tcW w:w="0" w:type="auto"/>
            <w:tcBorders>
              <w:top w:val="nil"/>
              <w:left w:val="nil"/>
              <w:bottom w:val="nil"/>
              <w:right w:val="nil"/>
            </w:tcBorders>
            <w:noWrap/>
            <w:vAlign w:val="center"/>
          </w:tcPr>
          <w:p w14:paraId="27CDE590">
            <w:pPr>
              <w:widowControl/>
              <w:ind w:firstLine="0" w:firstLineChars="0"/>
              <w:jc w:val="center"/>
              <w:textAlignment w:val="center"/>
              <w:rPr>
                <w:color w:val="000000"/>
                <w:sz w:val="22"/>
              </w:rPr>
            </w:pPr>
            <w:r>
              <w:rPr>
                <w:color w:val="000000"/>
                <w:kern w:val="0"/>
                <w:sz w:val="22"/>
              </w:rPr>
              <w:t>28881.44508</w:t>
            </w:r>
          </w:p>
        </w:tc>
        <w:tc>
          <w:tcPr>
            <w:tcW w:w="0" w:type="auto"/>
            <w:tcBorders>
              <w:top w:val="nil"/>
              <w:left w:val="nil"/>
              <w:bottom w:val="nil"/>
              <w:right w:val="nil"/>
            </w:tcBorders>
            <w:noWrap/>
            <w:vAlign w:val="center"/>
          </w:tcPr>
          <w:p w14:paraId="20EC7B6A">
            <w:pPr>
              <w:widowControl/>
              <w:ind w:firstLine="0" w:firstLineChars="0"/>
              <w:jc w:val="center"/>
              <w:textAlignment w:val="center"/>
              <w:rPr>
                <w:color w:val="000000"/>
                <w:sz w:val="22"/>
              </w:rPr>
            </w:pPr>
            <w:r>
              <w:rPr>
                <w:color w:val="000000"/>
                <w:kern w:val="0"/>
                <w:sz w:val="22"/>
              </w:rPr>
              <w:t>29718.50158</w:t>
            </w:r>
          </w:p>
        </w:tc>
        <w:tc>
          <w:tcPr>
            <w:tcW w:w="0" w:type="auto"/>
            <w:tcBorders>
              <w:top w:val="nil"/>
              <w:left w:val="nil"/>
              <w:bottom w:val="nil"/>
              <w:right w:val="nil"/>
            </w:tcBorders>
            <w:noWrap/>
            <w:vAlign w:val="center"/>
          </w:tcPr>
          <w:p w14:paraId="2B474A88">
            <w:pPr>
              <w:widowControl/>
              <w:ind w:firstLine="0" w:firstLineChars="0"/>
              <w:jc w:val="center"/>
              <w:textAlignment w:val="center"/>
              <w:rPr>
                <w:color w:val="000000"/>
                <w:sz w:val="22"/>
              </w:rPr>
            </w:pPr>
            <w:r>
              <w:rPr>
                <w:color w:val="000000"/>
                <w:kern w:val="0"/>
                <w:sz w:val="22"/>
              </w:rPr>
              <w:t>28833.61115</w:t>
            </w:r>
          </w:p>
        </w:tc>
      </w:tr>
      <w:tr w14:paraId="5324A465">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165EA5">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一次源消费量增长率</w:t>
            </w:r>
            <w:r>
              <w:rPr>
                <w:rFonts w:eastAsia="仿宋"/>
                <w:color w:val="000000"/>
                <w:kern w:val="0"/>
                <w:sz w:val="20"/>
                <w:szCs w:val="20"/>
              </w:rPr>
              <w:t xml:space="preserve">  X9</w:t>
            </w:r>
          </w:p>
        </w:tc>
        <w:tc>
          <w:tcPr>
            <w:tcW w:w="0" w:type="auto"/>
            <w:tcBorders>
              <w:top w:val="single" w:color="000000" w:sz="4" w:space="0"/>
              <w:left w:val="nil"/>
              <w:bottom w:val="single" w:color="000000" w:sz="4" w:space="0"/>
              <w:right w:val="single" w:color="000000" w:sz="4" w:space="0"/>
            </w:tcBorders>
            <w:shd w:val="clear" w:color="auto" w:fill="D9D9D9"/>
            <w:noWrap/>
            <w:vAlign w:val="center"/>
          </w:tcPr>
          <w:p w14:paraId="7C39A386">
            <w:pPr>
              <w:ind w:firstLine="0" w:firstLineChars="0"/>
              <w:jc w:val="center"/>
              <w:rPr>
                <w:color w:val="000000"/>
                <w:sz w:val="22"/>
              </w:rPr>
            </w:pPr>
          </w:p>
        </w:tc>
        <w:tc>
          <w:tcPr>
            <w:tcW w:w="0" w:type="auto"/>
            <w:tcBorders>
              <w:top w:val="single" w:color="000000" w:sz="4" w:space="0"/>
              <w:left w:val="nil"/>
              <w:bottom w:val="single" w:color="000000" w:sz="4" w:space="0"/>
              <w:right w:val="single" w:color="000000" w:sz="4" w:space="0"/>
            </w:tcBorders>
            <w:noWrap/>
            <w:vAlign w:val="center"/>
          </w:tcPr>
          <w:p w14:paraId="4A4345BD">
            <w:pPr>
              <w:widowControl/>
              <w:ind w:firstLine="0" w:firstLineChars="0"/>
              <w:jc w:val="center"/>
              <w:textAlignment w:val="center"/>
              <w:rPr>
                <w:color w:val="000000"/>
                <w:sz w:val="22"/>
              </w:rPr>
            </w:pPr>
            <w:r>
              <w:rPr>
                <w:color w:val="000000"/>
                <w:kern w:val="0"/>
                <w:sz w:val="22"/>
              </w:rPr>
              <w:t>14.62%</w:t>
            </w:r>
          </w:p>
        </w:tc>
        <w:tc>
          <w:tcPr>
            <w:tcW w:w="0" w:type="auto"/>
            <w:tcBorders>
              <w:top w:val="single" w:color="000000" w:sz="4" w:space="0"/>
              <w:left w:val="nil"/>
              <w:bottom w:val="single" w:color="000000" w:sz="4" w:space="0"/>
              <w:right w:val="single" w:color="000000" w:sz="4" w:space="0"/>
            </w:tcBorders>
            <w:noWrap/>
            <w:vAlign w:val="center"/>
          </w:tcPr>
          <w:p w14:paraId="11D73975">
            <w:pPr>
              <w:widowControl/>
              <w:ind w:firstLine="0" w:firstLineChars="0"/>
              <w:jc w:val="center"/>
              <w:textAlignment w:val="center"/>
              <w:rPr>
                <w:color w:val="000000"/>
                <w:sz w:val="22"/>
              </w:rPr>
            </w:pPr>
            <w:r>
              <w:rPr>
                <w:color w:val="000000"/>
                <w:kern w:val="0"/>
                <w:sz w:val="22"/>
              </w:rPr>
              <w:t>3.72%</w:t>
            </w:r>
          </w:p>
        </w:tc>
        <w:tc>
          <w:tcPr>
            <w:tcW w:w="0" w:type="auto"/>
            <w:tcBorders>
              <w:top w:val="single" w:color="000000" w:sz="4" w:space="0"/>
              <w:left w:val="nil"/>
              <w:bottom w:val="single" w:color="000000" w:sz="4" w:space="0"/>
              <w:right w:val="single" w:color="000000" w:sz="4" w:space="0"/>
            </w:tcBorders>
            <w:noWrap/>
            <w:vAlign w:val="center"/>
          </w:tcPr>
          <w:p w14:paraId="08C3F029">
            <w:pPr>
              <w:widowControl/>
              <w:ind w:firstLine="0" w:firstLineChars="0"/>
              <w:jc w:val="center"/>
              <w:textAlignment w:val="center"/>
              <w:rPr>
                <w:color w:val="000000"/>
                <w:sz w:val="22"/>
              </w:rPr>
            </w:pPr>
            <w:r>
              <w:rPr>
                <w:color w:val="000000"/>
                <w:kern w:val="0"/>
                <w:sz w:val="22"/>
              </w:rPr>
              <w:t>-0.01%</w:t>
            </w:r>
          </w:p>
        </w:tc>
        <w:tc>
          <w:tcPr>
            <w:tcW w:w="0" w:type="auto"/>
            <w:tcBorders>
              <w:top w:val="single" w:color="000000" w:sz="4" w:space="0"/>
              <w:left w:val="nil"/>
              <w:bottom w:val="single" w:color="000000" w:sz="4" w:space="0"/>
              <w:right w:val="single" w:color="000000" w:sz="4" w:space="0"/>
            </w:tcBorders>
            <w:noWrap/>
            <w:vAlign w:val="center"/>
          </w:tcPr>
          <w:p w14:paraId="5FE10047">
            <w:pPr>
              <w:widowControl/>
              <w:ind w:firstLine="0" w:firstLineChars="0"/>
              <w:jc w:val="center"/>
              <w:textAlignment w:val="center"/>
              <w:rPr>
                <w:color w:val="000000"/>
                <w:sz w:val="22"/>
              </w:rPr>
            </w:pPr>
            <w:r>
              <w:rPr>
                <w:color w:val="000000"/>
                <w:kern w:val="0"/>
                <w:sz w:val="22"/>
              </w:rPr>
              <w:t>-1.13%</w:t>
            </w:r>
          </w:p>
        </w:tc>
        <w:tc>
          <w:tcPr>
            <w:tcW w:w="0" w:type="auto"/>
            <w:tcBorders>
              <w:top w:val="single" w:color="000000" w:sz="4" w:space="0"/>
              <w:left w:val="nil"/>
              <w:bottom w:val="single" w:color="000000" w:sz="4" w:space="0"/>
              <w:right w:val="single" w:color="000000" w:sz="4" w:space="0"/>
            </w:tcBorders>
            <w:noWrap/>
            <w:vAlign w:val="center"/>
          </w:tcPr>
          <w:p w14:paraId="55D48426">
            <w:pPr>
              <w:widowControl/>
              <w:ind w:firstLine="0" w:firstLineChars="0"/>
              <w:jc w:val="center"/>
              <w:textAlignment w:val="center"/>
              <w:rPr>
                <w:color w:val="000000"/>
                <w:sz w:val="22"/>
              </w:rPr>
            </w:pPr>
            <w:r>
              <w:rPr>
                <w:color w:val="000000"/>
                <w:kern w:val="0"/>
                <w:sz w:val="22"/>
              </w:rPr>
              <w:t>3.23%</w:t>
            </w:r>
          </w:p>
        </w:tc>
        <w:tc>
          <w:tcPr>
            <w:tcW w:w="0" w:type="auto"/>
            <w:tcBorders>
              <w:top w:val="single" w:color="000000" w:sz="4" w:space="0"/>
              <w:left w:val="nil"/>
              <w:bottom w:val="single" w:color="000000" w:sz="4" w:space="0"/>
              <w:right w:val="single" w:color="000000" w:sz="4" w:space="0"/>
            </w:tcBorders>
            <w:noWrap/>
            <w:vAlign w:val="center"/>
          </w:tcPr>
          <w:p w14:paraId="54DE9645">
            <w:pPr>
              <w:widowControl/>
              <w:ind w:firstLine="0" w:firstLineChars="0"/>
              <w:jc w:val="center"/>
              <w:textAlignment w:val="center"/>
              <w:rPr>
                <w:color w:val="000000"/>
                <w:sz w:val="22"/>
              </w:rPr>
            </w:pPr>
            <w:r>
              <w:rPr>
                <w:color w:val="000000"/>
                <w:kern w:val="0"/>
                <w:sz w:val="22"/>
              </w:rPr>
              <w:t>2.93%</w:t>
            </w:r>
          </w:p>
        </w:tc>
        <w:tc>
          <w:tcPr>
            <w:tcW w:w="0" w:type="auto"/>
            <w:tcBorders>
              <w:top w:val="single" w:color="000000" w:sz="4" w:space="0"/>
              <w:left w:val="nil"/>
              <w:bottom w:val="single" w:color="000000" w:sz="4" w:space="0"/>
              <w:right w:val="single" w:color="000000" w:sz="4" w:space="0"/>
            </w:tcBorders>
            <w:noWrap/>
            <w:vAlign w:val="center"/>
          </w:tcPr>
          <w:p w14:paraId="7A37C78E">
            <w:pPr>
              <w:widowControl/>
              <w:ind w:firstLine="0" w:firstLineChars="0"/>
              <w:jc w:val="center"/>
              <w:textAlignment w:val="center"/>
              <w:rPr>
                <w:color w:val="000000"/>
                <w:sz w:val="22"/>
              </w:rPr>
            </w:pPr>
            <w:r>
              <w:rPr>
                <w:color w:val="000000"/>
                <w:kern w:val="0"/>
                <w:sz w:val="22"/>
              </w:rPr>
              <w:t>1.41%</w:t>
            </w:r>
          </w:p>
        </w:tc>
        <w:tc>
          <w:tcPr>
            <w:tcW w:w="0" w:type="auto"/>
            <w:tcBorders>
              <w:top w:val="single" w:color="000000" w:sz="4" w:space="0"/>
              <w:left w:val="nil"/>
              <w:bottom w:val="single" w:color="000000" w:sz="4" w:space="0"/>
              <w:right w:val="single" w:color="000000" w:sz="4" w:space="0"/>
            </w:tcBorders>
            <w:noWrap/>
            <w:vAlign w:val="center"/>
          </w:tcPr>
          <w:p w14:paraId="48EF8168">
            <w:pPr>
              <w:widowControl/>
              <w:ind w:firstLine="0" w:firstLineChars="0"/>
              <w:jc w:val="center"/>
              <w:textAlignment w:val="center"/>
              <w:rPr>
                <w:color w:val="000000"/>
                <w:sz w:val="22"/>
              </w:rPr>
            </w:pPr>
            <w:r>
              <w:rPr>
                <w:color w:val="000000"/>
                <w:kern w:val="0"/>
                <w:sz w:val="22"/>
              </w:rPr>
              <w:t>1.04%</w:t>
            </w:r>
          </w:p>
        </w:tc>
        <w:tc>
          <w:tcPr>
            <w:tcW w:w="0" w:type="auto"/>
            <w:tcBorders>
              <w:top w:val="single" w:color="000000" w:sz="4" w:space="0"/>
              <w:left w:val="nil"/>
              <w:bottom w:val="single" w:color="000000" w:sz="4" w:space="0"/>
              <w:right w:val="single" w:color="000000" w:sz="4" w:space="0"/>
            </w:tcBorders>
            <w:noWrap/>
            <w:vAlign w:val="center"/>
          </w:tcPr>
          <w:p w14:paraId="27443F23">
            <w:pPr>
              <w:widowControl/>
              <w:ind w:firstLine="0" w:firstLineChars="0"/>
              <w:jc w:val="center"/>
              <w:textAlignment w:val="center"/>
              <w:rPr>
                <w:color w:val="000000"/>
                <w:sz w:val="22"/>
              </w:rPr>
            </w:pPr>
            <w:r>
              <w:rPr>
                <w:color w:val="000000"/>
                <w:kern w:val="0"/>
                <w:sz w:val="22"/>
              </w:rPr>
              <w:t>2.05%</w:t>
            </w:r>
          </w:p>
        </w:tc>
        <w:tc>
          <w:tcPr>
            <w:tcW w:w="0" w:type="auto"/>
            <w:tcBorders>
              <w:top w:val="single" w:color="000000" w:sz="4" w:space="0"/>
              <w:left w:val="nil"/>
              <w:bottom w:val="single" w:color="000000" w:sz="4" w:space="0"/>
              <w:right w:val="single" w:color="000000" w:sz="4" w:space="0"/>
            </w:tcBorders>
            <w:noWrap/>
            <w:vAlign w:val="center"/>
          </w:tcPr>
          <w:p w14:paraId="0036D8B7">
            <w:pPr>
              <w:widowControl/>
              <w:ind w:firstLine="0" w:firstLineChars="0"/>
              <w:jc w:val="center"/>
              <w:textAlignment w:val="center"/>
              <w:rPr>
                <w:color w:val="000000"/>
                <w:sz w:val="22"/>
              </w:rPr>
            </w:pPr>
            <w:r>
              <w:rPr>
                <w:color w:val="000000"/>
                <w:kern w:val="0"/>
                <w:sz w:val="22"/>
              </w:rPr>
              <w:t>-3.14%</w:t>
            </w:r>
          </w:p>
        </w:tc>
      </w:tr>
      <w:tr w14:paraId="3BE8B2D2">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FC38E36">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部门石化能源消费量百分比</w:t>
            </w:r>
            <w:r>
              <w:rPr>
                <w:rFonts w:eastAsia="仿宋"/>
                <w:color w:val="000000"/>
                <w:kern w:val="0"/>
                <w:sz w:val="20"/>
                <w:szCs w:val="20"/>
              </w:rPr>
              <w:t xml:space="preserve">  X10-1</w:t>
            </w:r>
          </w:p>
        </w:tc>
        <w:tc>
          <w:tcPr>
            <w:tcW w:w="0" w:type="auto"/>
            <w:tcBorders>
              <w:top w:val="single" w:color="000000" w:sz="4" w:space="0"/>
              <w:left w:val="nil"/>
              <w:bottom w:val="single" w:color="000000" w:sz="4" w:space="0"/>
              <w:right w:val="single" w:color="000000" w:sz="4" w:space="0"/>
            </w:tcBorders>
            <w:noWrap/>
            <w:vAlign w:val="center"/>
          </w:tcPr>
          <w:p w14:paraId="4C337579">
            <w:pPr>
              <w:widowControl/>
              <w:ind w:firstLine="0" w:firstLineChars="0"/>
              <w:jc w:val="center"/>
              <w:textAlignment w:val="center"/>
              <w:rPr>
                <w:color w:val="000000"/>
                <w:sz w:val="22"/>
              </w:rPr>
            </w:pPr>
            <w:r>
              <w:rPr>
                <w:color w:val="000000"/>
                <w:kern w:val="0"/>
                <w:sz w:val="22"/>
              </w:rPr>
              <w:t>89.91%</w:t>
            </w:r>
          </w:p>
        </w:tc>
        <w:tc>
          <w:tcPr>
            <w:tcW w:w="0" w:type="auto"/>
            <w:tcBorders>
              <w:top w:val="single" w:color="000000" w:sz="4" w:space="0"/>
              <w:left w:val="nil"/>
              <w:bottom w:val="single" w:color="000000" w:sz="4" w:space="0"/>
              <w:right w:val="single" w:color="000000" w:sz="4" w:space="0"/>
            </w:tcBorders>
            <w:noWrap/>
            <w:vAlign w:val="center"/>
          </w:tcPr>
          <w:p w14:paraId="6D2E8436">
            <w:pPr>
              <w:widowControl/>
              <w:ind w:firstLine="0" w:firstLineChars="0"/>
              <w:jc w:val="center"/>
              <w:textAlignment w:val="center"/>
              <w:rPr>
                <w:color w:val="000000"/>
                <w:sz w:val="22"/>
              </w:rPr>
            </w:pPr>
            <w:r>
              <w:rPr>
                <w:color w:val="000000"/>
                <w:kern w:val="0"/>
                <w:sz w:val="22"/>
              </w:rPr>
              <w:t>89.70%</w:t>
            </w:r>
          </w:p>
        </w:tc>
        <w:tc>
          <w:tcPr>
            <w:tcW w:w="0" w:type="auto"/>
            <w:tcBorders>
              <w:top w:val="single" w:color="000000" w:sz="4" w:space="0"/>
              <w:left w:val="nil"/>
              <w:bottom w:val="single" w:color="000000" w:sz="4" w:space="0"/>
              <w:right w:val="single" w:color="000000" w:sz="4" w:space="0"/>
            </w:tcBorders>
            <w:noWrap/>
            <w:vAlign w:val="center"/>
          </w:tcPr>
          <w:p w14:paraId="2C9302FB">
            <w:pPr>
              <w:widowControl/>
              <w:ind w:firstLine="0" w:firstLineChars="0"/>
              <w:jc w:val="center"/>
              <w:textAlignment w:val="center"/>
              <w:rPr>
                <w:color w:val="000000"/>
                <w:sz w:val="22"/>
              </w:rPr>
            </w:pPr>
            <w:r>
              <w:rPr>
                <w:color w:val="000000"/>
                <w:kern w:val="0"/>
                <w:sz w:val="22"/>
              </w:rPr>
              <w:t>89.61%</w:t>
            </w:r>
          </w:p>
        </w:tc>
        <w:tc>
          <w:tcPr>
            <w:tcW w:w="0" w:type="auto"/>
            <w:tcBorders>
              <w:top w:val="single" w:color="000000" w:sz="4" w:space="0"/>
              <w:left w:val="nil"/>
              <w:bottom w:val="single" w:color="000000" w:sz="4" w:space="0"/>
              <w:right w:val="single" w:color="000000" w:sz="4" w:space="0"/>
            </w:tcBorders>
            <w:noWrap/>
            <w:vAlign w:val="center"/>
          </w:tcPr>
          <w:p w14:paraId="1EE6184C">
            <w:pPr>
              <w:widowControl/>
              <w:ind w:firstLine="0" w:firstLineChars="0"/>
              <w:jc w:val="center"/>
              <w:textAlignment w:val="center"/>
              <w:rPr>
                <w:color w:val="000000"/>
                <w:sz w:val="22"/>
              </w:rPr>
            </w:pPr>
            <w:r>
              <w:rPr>
                <w:color w:val="000000"/>
                <w:kern w:val="0"/>
                <w:sz w:val="22"/>
              </w:rPr>
              <w:t>85.27%</w:t>
            </w:r>
          </w:p>
        </w:tc>
        <w:tc>
          <w:tcPr>
            <w:tcW w:w="0" w:type="auto"/>
            <w:tcBorders>
              <w:top w:val="single" w:color="000000" w:sz="4" w:space="0"/>
              <w:left w:val="nil"/>
              <w:bottom w:val="single" w:color="000000" w:sz="4" w:space="0"/>
              <w:right w:val="single" w:color="000000" w:sz="4" w:space="0"/>
            </w:tcBorders>
            <w:noWrap/>
            <w:vAlign w:val="center"/>
          </w:tcPr>
          <w:p w14:paraId="7C3EEF87">
            <w:pPr>
              <w:widowControl/>
              <w:ind w:firstLine="0" w:firstLineChars="0"/>
              <w:jc w:val="center"/>
              <w:textAlignment w:val="center"/>
              <w:rPr>
                <w:color w:val="000000"/>
                <w:sz w:val="22"/>
              </w:rPr>
            </w:pPr>
            <w:r>
              <w:rPr>
                <w:color w:val="000000"/>
                <w:kern w:val="0"/>
                <w:sz w:val="22"/>
              </w:rPr>
              <w:t>85.07%</w:t>
            </w:r>
          </w:p>
        </w:tc>
        <w:tc>
          <w:tcPr>
            <w:tcW w:w="0" w:type="auto"/>
            <w:tcBorders>
              <w:top w:val="single" w:color="000000" w:sz="4" w:space="0"/>
              <w:left w:val="nil"/>
              <w:bottom w:val="single" w:color="000000" w:sz="4" w:space="0"/>
              <w:right w:val="single" w:color="000000" w:sz="4" w:space="0"/>
            </w:tcBorders>
            <w:noWrap/>
            <w:vAlign w:val="center"/>
          </w:tcPr>
          <w:p w14:paraId="1577F8AB">
            <w:pPr>
              <w:widowControl/>
              <w:ind w:firstLine="0" w:firstLineChars="0"/>
              <w:jc w:val="center"/>
              <w:textAlignment w:val="center"/>
              <w:rPr>
                <w:color w:val="000000"/>
                <w:sz w:val="22"/>
              </w:rPr>
            </w:pPr>
            <w:r>
              <w:rPr>
                <w:color w:val="000000"/>
                <w:kern w:val="0"/>
                <w:sz w:val="22"/>
              </w:rPr>
              <w:t>8.40%</w:t>
            </w:r>
          </w:p>
        </w:tc>
        <w:tc>
          <w:tcPr>
            <w:tcW w:w="0" w:type="auto"/>
            <w:tcBorders>
              <w:top w:val="single" w:color="000000" w:sz="4" w:space="0"/>
              <w:left w:val="nil"/>
              <w:bottom w:val="single" w:color="000000" w:sz="4" w:space="0"/>
              <w:right w:val="single" w:color="000000" w:sz="4" w:space="0"/>
            </w:tcBorders>
            <w:noWrap/>
            <w:vAlign w:val="center"/>
          </w:tcPr>
          <w:p w14:paraId="368B7DE1">
            <w:pPr>
              <w:widowControl/>
              <w:ind w:firstLine="0" w:firstLineChars="0"/>
              <w:jc w:val="center"/>
              <w:textAlignment w:val="center"/>
              <w:rPr>
                <w:color w:val="000000"/>
                <w:sz w:val="22"/>
              </w:rPr>
            </w:pPr>
            <w:r>
              <w:rPr>
                <w:color w:val="000000"/>
                <w:kern w:val="0"/>
                <w:sz w:val="22"/>
              </w:rPr>
              <w:t>8.08%</w:t>
            </w:r>
          </w:p>
        </w:tc>
        <w:tc>
          <w:tcPr>
            <w:tcW w:w="0" w:type="auto"/>
            <w:tcBorders>
              <w:top w:val="single" w:color="000000" w:sz="4" w:space="0"/>
              <w:left w:val="nil"/>
              <w:bottom w:val="single" w:color="000000" w:sz="4" w:space="0"/>
              <w:right w:val="single" w:color="000000" w:sz="4" w:space="0"/>
            </w:tcBorders>
            <w:noWrap/>
            <w:vAlign w:val="center"/>
          </w:tcPr>
          <w:p w14:paraId="2068FEB3">
            <w:pPr>
              <w:widowControl/>
              <w:ind w:firstLine="0" w:firstLineChars="0"/>
              <w:jc w:val="center"/>
              <w:textAlignment w:val="center"/>
              <w:rPr>
                <w:color w:val="000000"/>
                <w:sz w:val="22"/>
              </w:rPr>
            </w:pPr>
            <w:r>
              <w:rPr>
                <w:color w:val="000000"/>
                <w:kern w:val="0"/>
                <w:sz w:val="22"/>
              </w:rPr>
              <w:t>7.86%</w:t>
            </w:r>
          </w:p>
        </w:tc>
        <w:tc>
          <w:tcPr>
            <w:tcW w:w="0" w:type="auto"/>
            <w:tcBorders>
              <w:top w:val="single" w:color="000000" w:sz="4" w:space="0"/>
              <w:left w:val="nil"/>
              <w:bottom w:val="single" w:color="000000" w:sz="4" w:space="0"/>
              <w:right w:val="single" w:color="000000" w:sz="4" w:space="0"/>
            </w:tcBorders>
            <w:noWrap/>
            <w:vAlign w:val="center"/>
          </w:tcPr>
          <w:p w14:paraId="76FFEA52">
            <w:pPr>
              <w:widowControl/>
              <w:ind w:firstLine="0" w:firstLineChars="0"/>
              <w:jc w:val="center"/>
              <w:textAlignment w:val="center"/>
              <w:rPr>
                <w:color w:val="000000"/>
                <w:sz w:val="22"/>
              </w:rPr>
            </w:pPr>
            <w:r>
              <w:rPr>
                <w:color w:val="000000"/>
                <w:kern w:val="0"/>
                <w:sz w:val="22"/>
              </w:rPr>
              <w:t>7.35%</w:t>
            </w:r>
          </w:p>
        </w:tc>
        <w:tc>
          <w:tcPr>
            <w:tcW w:w="0" w:type="auto"/>
            <w:tcBorders>
              <w:top w:val="single" w:color="000000" w:sz="4" w:space="0"/>
              <w:left w:val="nil"/>
              <w:bottom w:val="single" w:color="000000" w:sz="4" w:space="0"/>
              <w:right w:val="single" w:color="000000" w:sz="4" w:space="0"/>
            </w:tcBorders>
            <w:noWrap/>
            <w:vAlign w:val="center"/>
          </w:tcPr>
          <w:p w14:paraId="52CD4F10">
            <w:pPr>
              <w:widowControl/>
              <w:ind w:firstLine="0" w:firstLineChars="0"/>
              <w:jc w:val="center"/>
              <w:textAlignment w:val="center"/>
              <w:rPr>
                <w:color w:val="000000"/>
                <w:sz w:val="22"/>
              </w:rPr>
            </w:pPr>
            <w:r>
              <w:rPr>
                <w:color w:val="000000"/>
                <w:kern w:val="0"/>
                <w:sz w:val="22"/>
              </w:rPr>
              <w:t>7.38%</w:t>
            </w:r>
          </w:p>
        </w:tc>
        <w:tc>
          <w:tcPr>
            <w:tcW w:w="0" w:type="auto"/>
            <w:tcBorders>
              <w:top w:val="single" w:color="000000" w:sz="4" w:space="0"/>
              <w:left w:val="nil"/>
              <w:bottom w:val="single" w:color="000000" w:sz="4" w:space="0"/>
              <w:right w:val="single" w:color="000000" w:sz="4" w:space="0"/>
            </w:tcBorders>
            <w:noWrap/>
            <w:vAlign w:val="center"/>
          </w:tcPr>
          <w:p w14:paraId="295EFBA5">
            <w:pPr>
              <w:widowControl/>
              <w:ind w:firstLine="0" w:firstLineChars="0"/>
              <w:jc w:val="center"/>
              <w:textAlignment w:val="center"/>
              <w:rPr>
                <w:color w:val="000000"/>
                <w:sz w:val="22"/>
              </w:rPr>
            </w:pPr>
            <w:r>
              <w:rPr>
                <w:color w:val="000000"/>
                <w:kern w:val="0"/>
                <w:sz w:val="22"/>
              </w:rPr>
              <w:t>7.49%</w:t>
            </w:r>
          </w:p>
        </w:tc>
      </w:tr>
      <w:tr w14:paraId="47A17E0B">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920FFDF">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部门石化能源消费量百分比</w:t>
            </w:r>
            <w:r>
              <w:rPr>
                <w:rFonts w:eastAsia="仿宋"/>
                <w:color w:val="000000"/>
                <w:kern w:val="0"/>
                <w:sz w:val="20"/>
                <w:szCs w:val="20"/>
              </w:rPr>
              <w:t xml:space="preserve">  X10-3</w:t>
            </w:r>
          </w:p>
        </w:tc>
        <w:tc>
          <w:tcPr>
            <w:tcW w:w="0" w:type="auto"/>
            <w:tcBorders>
              <w:top w:val="single" w:color="000000" w:sz="4" w:space="0"/>
              <w:left w:val="nil"/>
              <w:bottom w:val="single" w:color="000000" w:sz="4" w:space="0"/>
              <w:right w:val="single" w:color="000000" w:sz="4" w:space="0"/>
            </w:tcBorders>
            <w:noWrap/>
            <w:vAlign w:val="center"/>
          </w:tcPr>
          <w:p w14:paraId="32050932">
            <w:pPr>
              <w:widowControl/>
              <w:ind w:firstLine="0" w:firstLineChars="0"/>
              <w:jc w:val="center"/>
              <w:textAlignment w:val="center"/>
              <w:rPr>
                <w:color w:val="000000"/>
                <w:sz w:val="22"/>
              </w:rPr>
            </w:pPr>
            <w:r>
              <w:rPr>
                <w:color w:val="000000"/>
                <w:kern w:val="0"/>
                <w:sz w:val="22"/>
              </w:rPr>
              <w:t>64.15%</w:t>
            </w:r>
          </w:p>
        </w:tc>
        <w:tc>
          <w:tcPr>
            <w:tcW w:w="0" w:type="auto"/>
            <w:tcBorders>
              <w:top w:val="single" w:color="000000" w:sz="4" w:space="0"/>
              <w:left w:val="nil"/>
              <w:bottom w:val="single" w:color="000000" w:sz="4" w:space="0"/>
              <w:right w:val="single" w:color="000000" w:sz="4" w:space="0"/>
            </w:tcBorders>
            <w:noWrap/>
            <w:vAlign w:val="center"/>
          </w:tcPr>
          <w:p w14:paraId="063E8E52">
            <w:pPr>
              <w:widowControl/>
              <w:ind w:firstLine="0" w:firstLineChars="0"/>
              <w:jc w:val="center"/>
              <w:textAlignment w:val="center"/>
              <w:rPr>
                <w:color w:val="000000"/>
                <w:sz w:val="22"/>
              </w:rPr>
            </w:pPr>
            <w:r>
              <w:rPr>
                <w:color w:val="000000"/>
                <w:kern w:val="0"/>
                <w:sz w:val="22"/>
              </w:rPr>
              <w:t>63.25%</w:t>
            </w:r>
          </w:p>
        </w:tc>
        <w:tc>
          <w:tcPr>
            <w:tcW w:w="0" w:type="auto"/>
            <w:tcBorders>
              <w:top w:val="single" w:color="000000" w:sz="4" w:space="0"/>
              <w:left w:val="nil"/>
              <w:bottom w:val="single" w:color="000000" w:sz="4" w:space="0"/>
              <w:right w:val="single" w:color="000000" w:sz="4" w:space="0"/>
            </w:tcBorders>
            <w:noWrap/>
            <w:vAlign w:val="center"/>
          </w:tcPr>
          <w:p w14:paraId="28E69A62">
            <w:pPr>
              <w:widowControl/>
              <w:ind w:firstLine="0" w:firstLineChars="0"/>
              <w:jc w:val="center"/>
              <w:textAlignment w:val="center"/>
              <w:rPr>
                <w:color w:val="000000"/>
                <w:sz w:val="22"/>
              </w:rPr>
            </w:pPr>
            <w:r>
              <w:rPr>
                <w:color w:val="000000"/>
                <w:kern w:val="0"/>
                <w:sz w:val="22"/>
              </w:rPr>
              <w:t>62.11%</w:t>
            </w:r>
          </w:p>
        </w:tc>
        <w:tc>
          <w:tcPr>
            <w:tcW w:w="0" w:type="auto"/>
            <w:tcBorders>
              <w:top w:val="single" w:color="000000" w:sz="4" w:space="0"/>
              <w:left w:val="nil"/>
              <w:bottom w:val="single" w:color="000000" w:sz="4" w:space="0"/>
              <w:right w:val="single" w:color="000000" w:sz="4" w:space="0"/>
            </w:tcBorders>
            <w:noWrap/>
            <w:vAlign w:val="center"/>
          </w:tcPr>
          <w:p w14:paraId="31BD7D17">
            <w:pPr>
              <w:widowControl/>
              <w:ind w:firstLine="0" w:firstLineChars="0"/>
              <w:jc w:val="center"/>
              <w:textAlignment w:val="center"/>
              <w:rPr>
                <w:color w:val="000000"/>
                <w:sz w:val="22"/>
              </w:rPr>
            </w:pPr>
            <w:r>
              <w:rPr>
                <w:color w:val="000000"/>
                <w:kern w:val="0"/>
                <w:sz w:val="22"/>
              </w:rPr>
              <w:t>61.56%</w:t>
            </w:r>
          </w:p>
        </w:tc>
        <w:tc>
          <w:tcPr>
            <w:tcW w:w="0" w:type="auto"/>
            <w:tcBorders>
              <w:top w:val="single" w:color="000000" w:sz="4" w:space="0"/>
              <w:left w:val="nil"/>
              <w:bottom w:val="single" w:color="000000" w:sz="4" w:space="0"/>
              <w:right w:val="single" w:color="000000" w:sz="4" w:space="0"/>
            </w:tcBorders>
            <w:noWrap/>
            <w:vAlign w:val="center"/>
          </w:tcPr>
          <w:p w14:paraId="4D74ACE1">
            <w:pPr>
              <w:widowControl/>
              <w:ind w:firstLine="0" w:firstLineChars="0"/>
              <w:jc w:val="center"/>
              <w:textAlignment w:val="center"/>
              <w:rPr>
                <w:color w:val="000000"/>
                <w:sz w:val="22"/>
              </w:rPr>
            </w:pPr>
            <w:r>
              <w:rPr>
                <w:color w:val="000000"/>
                <w:kern w:val="0"/>
                <w:sz w:val="22"/>
              </w:rPr>
              <w:t>62.37%</w:t>
            </w:r>
          </w:p>
        </w:tc>
        <w:tc>
          <w:tcPr>
            <w:tcW w:w="0" w:type="auto"/>
            <w:tcBorders>
              <w:top w:val="single" w:color="000000" w:sz="4" w:space="0"/>
              <w:left w:val="nil"/>
              <w:bottom w:val="single" w:color="000000" w:sz="4" w:space="0"/>
              <w:right w:val="single" w:color="000000" w:sz="4" w:space="0"/>
            </w:tcBorders>
            <w:noWrap/>
            <w:vAlign w:val="center"/>
          </w:tcPr>
          <w:p w14:paraId="1018FF32">
            <w:pPr>
              <w:widowControl/>
              <w:ind w:firstLine="0" w:firstLineChars="0"/>
              <w:jc w:val="center"/>
              <w:textAlignment w:val="center"/>
              <w:rPr>
                <w:color w:val="000000"/>
                <w:sz w:val="22"/>
              </w:rPr>
            </w:pPr>
            <w:r>
              <w:rPr>
                <w:color w:val="000000"/>
                <w:kern w:val="0"/>
                <w:sz w:val="22"/>
              </w:rPr>
              <w:t>62.34%</w:t>
            </w:r>
          </w:p>
        </w:tc>
        <w:tc>
          <w:tcPr>
            <w:tcW w:w="0" w:type="auto"/>
            <w:tcBorders>
              <w:top w:val="single" w:color="000000" w:sz="4" w:space="0"/>
              <w:left w:val="nil"/>
              <w:bottom w:val="single" w:color="000000" w:sz="4" w:space="0"/>
              <w:right w:val="single" w:color="000000" w:sz="4" w:space="0"/>
            </w:tcBorders>
            <w:noWrap/>
            <w:vAlign w:val="center"/>
          </w:tcPr>
          <w:p w14:paraId="2A02D145">
            <w:pPr>
              <w:widowControl/>
              <w:ind w:firstLine="0" w:firstLineChars="0"/>
              <w:jc w:val="center"/>
              <w:textAlignment w:val="center"/>
              <w:rPr>
                <w:color w:val="000000"/>
                <w:sz w:val="22"/>
              </w:rPr>
            </w:pPr>
            <w:r>
              <w:rPr>
                <w:color w:val="000000"/>
                <w:kern w:val="0"/>
                <w:sz w:val="22"/>
              </w:rPr>
              <w:t>61.42%</w:t>
            </w:r>
          </w:p>
        </w:tc>
        <w:tc>
          <w:tcPr>
            <w:tcW w:w="0" w:type="auto"/>
            <w:tcBorders>
              <w:top w:val="single" w:color="000000" w:sz="4" w:space="0"/>
              <w:left w:val="nil"/>
              <w:bottom w:val="single" w:color="000000" w:sz="4" w:space="0"/>
              <w:right w:val="single" w:color="000000" w:sz="4" w:space="0"/>
            </w:tcBorders>
            <w:noWrap/>
            <w:vAlign w:val="center"/>
          </w:tcPr>
          <w:p w14:paraId="49230F12">
            <w:pPr>
              <w:widowControl/>
              <w:ind w:firstLine="0" w:firstLineChars="0"/>
              <w:jc w:val="center"/>
              <w:textAlignment w:val="center"/>
              <w:rPr>
                <w:color w:val="000000"/>
                <w:sz w:val="22"/>
              </w:rPr>
            </w:pPr>
            <w:r>
              <w:rPr>
                <w:color w:val="000000"/>
                <w:kern w:val="0"/>
                <w:sz w:val="22"/>
              </w:rPr>
              <w:t>59.63%</w:t>
            </w:r>
          </w:p>
        </w:tc>
        <w:tc>
          <w:tcPr>
            <w:tcW w:w="0" w:type="auto"/>
            <w:tcBorders>
              <w:top w:val="single" w:color="000000" w:sz="4" w:space="0"/>
              <w:left w:val="nil"/>
              <w:bottom w:val="single" w:color="000000" w:sz="4" w:space="0"/>
              <w:right w:val="single" w:color="000000" w:sz="4" w:space="0"/>
            </w:tcBorders>
            <w:noWrap/>
            <w:vAlign w:val="center"/>
          </w:tcPr>
          <w:p w14:paraId="6105F88F">
            <w:pPr>
              <w:widowControl/>
              <w:ind w:firstLine="0" w:firstLineChars="0"/>
              <w:jc w:val="center"/>
              <w:textAlignment w:val="center"/>
              <w:rPr>
                <w:color w:val="000000"/>
                <w:sz w:val="22"/>
              </w:rPr>
            </w:pPr>
            <w:r>
              <w:rPr>
                <w:color w:val="000000"/>
                <w:kern w:val="0"/>
                <w:sz w:val="22"/>
              </w:rPr>
              <w:t>58.42%</w:t>
            </w:r>
          </w:p>
        </w:tc>
        <w:tc>
          <w:tcPr>
            <w:tcW w:w="0" w:type="auto"/>
            <w:tcBorders>
              <w:top w:val="single" w:color="000000" w:sz="4" w:space="0"/>
              <w:left w:val="nil"/>
              <w:bottom w:val="single" w:color="000000" w:sz="4" w:space="0"/>
              <w:right w:val="single" w:color="000000" w:sz="4" w:space="0"/>
            </w:tcBorders>
            <w:noWrap/>
            <w:vAlign w:val="center"/>
          </w:tcPr>
          <w:p w14:paraId="3D1D69AE">
            <w:pPr>
              <w:widowControl/>
              <w:ind w:firstLine="0" w:firstLineChars="0"/>
              <w:jc w:val="center"/>
              <w:textAlignment w:val="center"/>
              <w:rPr>
                <w:color w:val="000000"/>
                <w:sz w:val="22"/>
              </w:rPr>
            </w:pPr>
            <w:r>
              <w:rPr>
                <w:color w:val="000000"/>
                <w:kern w:val="0"/>
                <w:sz w:val="22"/>
              </w:rPr>
              <w:t>60.16%</w:t>
            </w:r>
          </w:p>
        </w:tc>
        <w:tc>
          <w:tcPr>
            <w:tcW w:w="0" w:type="auto"/>
            <w:tcBorders>
              <w:top w:val="single" w:color="000000" w:sz="4" w:space="0"/>
              <w:left w:val="nil"/>
              <w:bottom w:val="single" w:color="000000" w:sz="4" w:space="0"/>
              <w:right w:val="single" w:color="000000" w:sz="4" w:space="0"/>
            </w:tcBorders>
            <w:noWrap/>
            <w:vAlign w:val="center"/>
          </w:tcPr>
          <w:p w14:paraId="2C6C08FC">
            <w:pPr>
              <w:widowControl/>
              <w:ind w:firstLine="0" w:firstLineChars="0"/>
              <w:jc w:val="center"/>
              <w:textAlignment w:val="center"/>
              <w:rPr>
                <w:color w:val="000000"/>
                <w:sz w:val="22"/>
              </w:rPr>
            </w:pPr>
            <w:r>
              <w:rPr>
                <w:color w:val="000000"/>
                <w:kern w:val="0"/>
                <w:sz w:val="22"/>
              </w:rPr>
              <w:t>59.26%</w:t>
            </w:r>
          </w:p>
        </w:tc>
      </w:tr>
      <w:tr w14:paraId="4E41CBDE">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6D4550">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部门石化能源消费量百分比</w:t>
            </w:r>
            <w:r>
              <w:rPr>
                <w:rFonts w:eastAsia="仿宋"/>
                <w:color w:val="000000"/>
                <w:kern w:val="0"/>
                <w:sz w:val="20"/>
                <w:szCs w:val="20"/>
              </w:rPr>
              <w:t xml:space="preserve">  X10-4</w:t>
            </w:r>
          </w:p>
        </w:tc>
        <w:tc>
          <w:tcPr>
            <w:tcW w:w="0" w:type="auto"/>
            <w:tcBorders>
              <w:top w:val="single" w:color="000000" w:sz="4" w:space="0"/>
              <w:left w:val="nil"/>
              <w:bottom w:val="single" w:color="000000" w:sz="4" w:space="0"/>
              <w:right w:val="single" w:color="000000" w:sz="4" w:space="0"/>
            </w:tcBorders>
            <w:noWrap/>
            <w:vAlign w:val="center"/>
          </w:tcPr>
          <w:p w14:paraId="1008D553">
            <w:pPr>
              <w:widowControl/>
              <w:ind w:firstLine="0" w:firstLineChars="0"/>
              <w:jc w:val="center"/>
              <w:textAlignment w:val="center"/>
              <w:rPr>
                <w:color w:val="000000"/>
                <w:sz w:val="22"/>
              </w:rPr>
            </w:pPr>
            <w:r>
              <w:rPr>
                <w:color w:val="000000"/>
                <w:kern w:val="0"/>
                <w:sz w:val="22"/>
              </w:rPr>
              <w:t>97%</w:t>
            </w:r>
          </w:p>
        </w:tc>
        <w:tc>
          <w:tcPr>
            <w:tcW w:w="0" w:type="auto"/>
            <w:tcBorders>
              <w:top w:val="single" w:color="000000" w:sz="4" w:space="0"/>
              <w:left w:val="nil"/>
              <w:bottom w:val="single" w:color="000000" w:sz="4" w:space="0"/>
              <w:right w:val="single" w:color="000000" w:sz="4" w:space="0"/>
            </w:tcBorders>
            <w:noWrap/>
            <w:vAlign w:val="center"/>
          </w:tcPr>
          <w:p w14:paraId="3DEC7AAA">
            <w:pPr>
              <w:widowControl/>
              <w:ind w:firstLine="0" w:firstLineChars="0"/>
              <w:jc w:val="center"/>
              <w:textAlignment w:val="center"/>
              <w:rPr>
                <w:color w:val="000000"/>
                <w:sz w:val="22"/>
              </w:rPr>
            </w:pPr>
            <w:r>
              <w:rPr>
                <w:color w:val="000000"/>
                <w:kern w:val="0"/>
                <w:sz w:val="22"/>
              </w:rPr>
              <w:t>97%</w:t>
            </w:r>
          </w:p>
        </w:tc>
        <w:tc>
          <w:tcPr>
            <w:tcW w:w="0" w:type="auto"/>
            <w:tcBorders>
              <w:top w:val="single" w:color="000000" w:sz="4" w:space="0"/>
              <w:left w:val="nil"/>
              <w:bottom w:val="single" w:color="000000" w:sz="4" w:space="0"/>
              <w:right w:val="single" w:color="000000" w:sz="4" w:space="0"/>
            </w:tcBorders>
            <w:noWrap/>
            <w:vAlign w:val="center"/>
          </w:tcPr>
          <w:p w14:paraId="342A975D">
            <w:pPr>
              <w:widowControl/>
              <w:ind w:firstLine="0" w:firstLineChars="0"/>
              <w:jc w:val="center"/>
              <w:textAlignment w:val="center"/>
              <w:rPr>
                <w:color w:val="000000"/>
                <w:sz w:val="22"/>
              </w:rPr>
            </w:pPr>
            <w:r>
              <w:rPr>
                <w:color w:val="000000"/>
                <w:kern w:val="0"/>
                <w:sz w:val="22"/>
              </w:rPr>
              <w:t>96%</w:t>
            </w:r>
          </w:p>
        </w:tc>
        <w:tc>
          <w:tcPr>
            <w:tcW w:w="0" w:type="auto"/>
            <w:tcBorders>
              <w:top w:val="single" w:color="000000" w:sz="4" w:space="0"/>
              <w:left w:val="nil"/>
              <w:bottom w:val="single" w:color="000000" w:sz="4" w:space="0"/>
              <w:right w:val="single" w:color="000000" w:sz="4" w:space="0"/>
            </w:tcBorders>
            <w:noWrap/>
            <w:vAlign w:val="center"/>
          </w:tcPr>
          <w:p w14:paraId="60FD88D3">
            <w:pPr>
              <w:widowControl/>
              <w:ind w:firstLine="0" w:firstLineChars="0"/>
              <w:jc w:val="center"/>
              <w:textAlignment w:val="center"/>
              <w:rPr>
                <w:color w:val="000000"/>
                <w:sz w:val="22"/>
              </w:rPr>
            </w:pPr>
            <w:r>
              <w:rPr>
                <w:color w:val="000000"/>
                <w:kern w:val="0"/>
                <w:sz w:val="22"/>
              </w:rPr>
              <w:t>96%</w:t>
            </w:r>
          </w:p>
        </w:tc>
        <w:tc>
          <w:tcPr>
            <w:tcW w:w="0" w:type="auto"/>
            <w:tcBorders>
              <w:top w:val="single" w:color="000000" w:sz="4" w:space="0"/>
              <w:left w:val="nil"/>
              <w:bottom w:val="single" w:color="000000" w:sz="4" w:space="0"/>
              <w:right w:val="single" w:color="000000" w:sz="4" w:space="0"/>
            </w:tcBorders>
            <w:noWrap/>
            <w:vAlign w:val="center"/>
          </w:tcPr>
          <w:p w14:paraId="7976EFC6">
            <w:pPr>
              <w:widowControl/>
              <w:ind w:firstLine="0" w:firstLineChars="0"/>
              <w:jc w:val="center"/>
              <w:textAlignment w:val="center"/>
              <w:rPr>
                <w:color w:val="000000"/>
                <w:sz w:val="22"/>
              </w:rPr>
            </w:pPr>
            <w:r>
              <w:rPr>
                <w:color w:val="000000"/>
                <w:kern w:val="0"/>
                <w:sz w:val="22"/>
              </w:rPr>
              <w:t>96%</w:t>
            </w:r>
          </w:p>
        </w:tc>
        <w:tc>
          <w:tcPr>
            <w:tcW w:w="0" w:type="auto"/>
            <w:tcBorders>
              <w:top w:val="single" w:color="000000" w:sz="4" w:space="0"/>
              <w:left w:val="nil"/>
              <w:bottom w:val="single" w:color="000000" w:sz="4" w:space="0"/>
              <w:right w:val="single" w:color="000000" w:sz="4" w:space="0"/>
            </w:tcBorders>
            <w:noWrap/>
            <w:vAlign w:val="center"/>
          </w:tcPr>
          <w:p w14:paraId="62D97910">
            <w:pPr>
              <w:widowControl/>
              <w:ind w:firstLine="0" w:firstLineChars="0"/>
              <w:jc w:val="center"/>
              <w:textAlignment w:val="center"/>
              <w:rPr>
                <w:color w:val="000000"/>
                <w:sz w:val="22"/>
              </w:rPr>
            </w:pPr>
            <w:r>
              <w:rPr>
                <w:color w:val="000000"/>
                <w:kern w:val="0"/>
                <w:sz w:val="22"/>
              </w:rPr>
              <w:t>96%</w:t>
            </w:r>
          </w:p>
        </w:tc>
        <w:tc>
          <w:tcPr>
            <w:tcW w:w="0" w:type="auto"/>
            <w:tcBorders>
              <w:top w:val="single" w:color="000000" w:sz="4" w:space="0"/>
              <w:left w:val="nil"/>
              <w:bottom w:val="single" w:color="000000" w:sz="4" w:space="0"/>
              <w:right w:val="single" w:color="000000" w:sz="4" w:space="0"/>
            </w:tcBorders>
            <w:noWrap/>
            <w:vAlign w:val="center"/>
          </w:tcPr>
          <w:p w14:paraId="4C0637A6">
            <w:pPr>
              <w:widowControl/>
              <w:ind w:firstLine="0" w:firstLineChars="0"/>
              <w:jc w:val="center"/>
              <w:textAlignment w:val="center"/>
              <w:rPr>
                <w:color w:val="000000"/>
                <w:sz w:val="22"/>
              </w:rPr>
            </w:pPr>
            <w:r>
              <w:rPr>
                <w:color w:val="000000"/>
                <w:kern w:val="0"/>
                <w:sz w:val="22"/>
              </w:rPr>
              <w:t>96%</w:t>
            </w:r>
          </w:p>
        </w:tc>
        <w:tc>
          <w:tcPr>
            <w:tcW w:w="0" w:type="auto"/>
            <w:tcBorders>
              <w:top w:val="single" w:color="000000" w:sz="4" w:space="0"/>
              <w:left w:val="nil"/>
              <w:bottom w:val="single" w:color="000000" w:sz="4" w:space="0"/>
              <w:right w:val="single" w:color="000000" w:sz="4" w:space="0"/>
            </w:tcBorders>
            <w:noWrap/>
            <w:vAlign w:val="center"/>
          </w:tcPr>
          <w:p w14:paraId="2591B72B">
            <w:pPr>
              <w:widowControl/>
              <w:ind w:firstLine="0" w:firstLineChars="0"/>
              <w:jc w:val="center"/>
              <w:textAlignment w:val="center"/>
              <w:rPr>
                <w:color w:val="000000"/>
                <w:sz w:val="22"/>
              </w:rPr>
            </w:pPr>
            <w:r>
              <w:rPr>
                <w:color w:val="000000"/>
                <w:kern w:val="0"/>
                <w:sz w:val="22"/>
              </w:rPr>
              <w:t>95%</w:t>
            </w:r>
          </w:p>
        </w:tc>
        <w:tc>
          <w:tcPr>
            <w:tcW w:w="0" w:type="auto"/>
            <w:tcBorders>
              <w:top w:val="single" w:color="000000" w:sz="4" w:space="0"/>
              <w:left w:val="nil"/>
              <w:bottom w:val="single" w:color="000000" w:sz="4" w:space="0"/>
              <w:right w:val="single" w:color="000000" w:sz="4" w:space="0"/>
            </w:tcBorders>
            <w:noWrap/>
            <w:vAlign w:val="center"/>
          </w:tcPr>
          <w:p w14:paraId="622CBA9F">
            <w:pPr>
              <w:widowControl/>
              <w:ind w:firstLine="0" w:firstLineChars="0"/>
              <w:jc w:val="center"/>
              <w:textAlignment w:val="center"/>
              <w:rPr>
                <w:color w:val="000000"/>
                <w:sz w:val="22"/>
              </w:rPr>
            </w:pPr>
            <w:r>
              <w:rPr>
                <w:color w:val="000000"/>
                <w:kern w:val="0"/>
                <w:sz w:val="22"/>
              </w:rPr>
              <w:t>95%</w:t>
            </w:r>
          </w:p>
        </w:tc>
        <w:tc>
          <w:tcPr>
            <w:tcW w:w="0" w:type="auto"/>
            <w:tcBorders>
              <w:top w:val="single" w:color="000000" w:sz="4" w:space="0"/>
              <w:left w:val="nil"/>
              <w:bottom w:val="single" w:color="000000" w:sz="4" w:space="0"/>
              <w:right w:val="single" w:color="000000" w:sz="4" w:space="0"/>
            </w:tcBorders>
            <w:noWrap/>
            <w:vAlign w:val="center"/>
          </w:tcPr>
          <w:p w14:paraId="690042F8">
            <w:pPr>
              <w:widowControl/>
              <w:ind w:firstLine="0" w:firstLineChars="0"/>
              <w:jc w:val="center"/>
              <w:textAlignment w:val="center"/>
              <w:rPr>
                <w:color w:val="000000"/>
                <w:sz w:val="22"/>
              </w:rPr>
            </w:pPr>
            <w:r>
              <w:rPr>
                <w:color w:val="000000"/>
                <w:kern w:val="0"/>
                <w:sz w:val="22"/>
              </w:rPr>
              <w:t>95%</w:t>
            </w:r>
          </w:p>
        </w:tc>
        <w:tc>
          <w:tcPr>
            <w:tcW w:w="0" w:type="auto"/>
            <w:tcBorders>
              <w:top w:val="single" w:color="000000" w:sz="4" w:space="0"/>
              <w:left w:val="nil"/>
              <w:bottom w:val="single" w:color="000000" w:sz="4" w:space="0"/>
              <w:right w:val="single" w:color="000000" w:sz="4" w:space="0"/>
            </w:tcBorders>
            <w:noWrap/>
            <w:vAlign w:val="center"/>
          </w:tcPr>
          <w:p w14:paraId="4A1622CC">
            <w:pPr>
              <w:widowControl/>
              <w:ind w:firstLine="0" w:firstLineChars="0"/>
              <w:jc w:val="center"/>
              <w:textAlignment w:val="center"/>
              <w:rPr>
                <w:color w:val="000000"/>
                <w:sz w:val="22"/>
              </w:rPr>
            </w:pPr>
            <w:r>
              <w:rPr>
                <w:color w:val="000000"/>
                <w:kern w:val="0"/>
                <w:sz w:val="22"/>
              </w:rPr>
              <w:t>95%</w:t>
            </w:r>
          </w:p>
        </w:tc>
      </w:tr>
      <w:tr w14:paraId="715B2181">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D36E2BB">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部门石化能源消费量百分比</w:t>
            </w:r>
            <w:r>
              <w:rPr>
                <w:rFonts w:eastAsia="仿宋"/>
                <w:color w:val="000000"/>
                <w:kern w:val="0"/>
                <w:sz w:val="20"/>
                <w:szCs w:val="20"/>
              </w:rPr>
              <w:t xml:space="preserve">  X10-5</w:t>
            </w:r>
          </w:p>
        </w:tc>
        <w:tc>
          <w:tcPr>
            <w:tcW w:w="0" w:type="auto"/>
            <w:tcBorders>
              <w:top w:val="single" w:color="000000" w:sz="4" w:space="0"/>
              <w:left w:val="nil"/>
              <w:bottom w:val="single" w:color="000000" w:sz="4" w:space="0"/>
              <w:right w:val="single" w:color="000000" w:sz="4" w:space="0"/>
            </w:tcBorders>
            <w:noWrap/>
            <w:vAlign w:val="center"/>
          </w:tcPr>
          <w:p w14:paraId="4DA50D07">
            <w:pPr>
              <w:widowControl/>
              <w:ind w:firstLine="0" w:firstLineChars="0"/>
              <w:jc w:val="center"/>
              <w:textAlignment w:val="center"/>
              <w:rPr>
                <w:color w:val="000000"/>
                <w:sz w:val="22"/>
              </w:rPr>
            </w:pPr>
            <w:r>
              <w:rPr>
                <w:color w:val="000000"/>
                <w:kern w:val="0"/>
                <w:sz w:val="22"/>
              </w:rPr>
              <w:t>22.45%</w:t>
            </w:r>
          </w:p>
        </w:tc>
        <w:tc>
          <w:tcPr>
            <w:tcW w:w="0" w:type="auto"/>
            <w:tcBorders>
              <w:top w:val="single" w:color="000000" w:sz="4" w:space="0"/>
              <w:left w:val="nil"/>
              <w:bottom w:val="single" w:color="000000" w:sz="4" w:space="0"/>
              <w:right w:val="single" w:color="000000" w:sz="4" w:space="0"/>
            </w:tcBorders>
            <w:noWrap/>
            <w:vAlign w:val="center"/>
          </w:tcPr>
          <w:p w14:paraId="4FF1B15D">
            <w:pPr>
              <w:widowControl/>
              <w:ind w:firstLine="0" w:firstLineChars="0"/>
              <w:jc w:val="center"/>
              <w:textAlignment w:val="center"/>
              <w:rPr>
                <w:color w:val="000000"/>
                <w:sz w:val="22"/>
              </w:rPr>
            </w:pPr>
            <w:r>
              <w:rPr>
                <w:color w:val="000000"/>
                <w:kern w:val="0"/>
                <w:sz w:val="22"/>
              </w:rPr>
              <w:t>24.54%</w:t>
            </w:r>
          </w:p>
        </w:tc>
        <w:tc>
          <w:tcPr>
            <w:tcW w:w="0" w:type="auto"/>
            <w:tcBorders>
              <w:top w:val="single" w:color="000000" w:sz="4" w:space="0"/>
              <w:left w:val="nil"/>
              <w:bottom w:val="single" w:color="000000" w:sz="4" w:space="0"/>
              <w:right w:val="single" w:color="000000" w:sz="4" w:space="0"/>
            </w:tcBorders>
            <w:noWrap/>
            <w:vAlign w:val="center"/>
          </w:tcPr>
          <w:p w14:paraId="062E253D">
            <w:pPr>
              <w:widowControl/>
              <w:ind w:firstLine="0" w:firstLineChars="0"/>
              <w:jc w:val="center"/>
              <w:textAlignment w:val="center"/>
              <w:rPr>
                <w:color w:val="000000"/>
                <w:sz w:val="22"/>
              </w:rPr>
            </w:pPr>
            <w:r>
              <w:rPr>
                <w:color w:val="000000"/>
                <w:kern w:val="0"/>
                <w:sz w:val="22"/>
              </w:rPr>
              <w:t>24.36%</w:t>
            </w:r>
          </w:p>
        </w:tc>
        <w:tc>
          <w:tcPr>
            <w:tcW w:w="0" w:type="auto"/>
            <w:tcBorders>
              <w:top w:val="single" w:color="000000" w:sz="4" w:space="0"/>
              <w:left w:val="nil"/>
              <w:bottom w:val="single" w:color="000000" w:sz="4" w:space="0"/>
              <w:right w:val="single" w:color="000000" w:sz="4" w:space="0"/>
            </w:tcBorders>
            <w:noWrap/>
            <w:vAlign w:val="center"/>
          </w:tcPr>
          <w:p w14:paraId="33575094">
            <w:pPr>
              <w:widowControl/>
              <w:ind w:firstLine="0" w:firstLineChars="0"/>
              <w:jc w:val="center"/>
              <w:textAlignment w:val="center"/>
              <w:rPr>
                <w:color w:val="000000"/>
                <w:sz w:val="22"/>
              </w:rPr>
            </w:pPr>
            <w:r>
              <w:rPr>
                <w:color w:val="000000"/>
                <w:kern w:val="0"/>
                <w:sz w:val="22"/>
              </w:rPr>
              <w:t>20.93%</w:t>
            </w:r>
          </w:p>
        </w:tc>
        <w:tc>
          <w:tcPr>
            <w:tcW w:w="0" w:type="auto"/>
            <w:tcBorders>
              <w:top w:val="single" w:color="000000" w:sz="4" w:space="0"/>
              <w:left w:val="nil"/>
              <w:bottom w:val="single" w:color="000000" w:sz="4" w:space="0"/>
              <w:right w:val="single" w:color="000000" w:sz="4" w:space="0"/>
            </w:tcBorders>
            <w:noWrap/>
            <w:vAlign w:val="center"/>
          </w:tcPr>
          <w:p w14:paraId="37BB192E">
            <w:pPr>
              <w:widowControl/>
              <w:ind w:firstLine="0" w:firstLineChars="0"/>
              <w:jc w:val="center"/>
              <w:textAlignment w:val="center"/>
              <w:rPr>
                <w:color w:val="000000"/>
                <w:sz w:val="22"/>
              </w:rPr>
            </w:pPr>
            <w:r>
              <w:rPr>
                <w:color w:val="000000"/>
                <w:kern w:val="0"/>
                <w:sz w:val="22"/>
              </w:rPr>
              <w:t>17.41%</w:t>
            </w:r>
          </w:p>
        </w:tc>
        <w:tc>
          <w:tcPr>
            <w:tcW w:w="0" w:type="auto"/>
            <w:tcBorders>
              <w:top w:val="single" w:color="000000" w:sz="4" w:space="0"/>
              <w:left w:val="nil"/>
              <w:bottom w:val="single" w:color="000000" w:sz="4" w:space="0"/>
              <w:right w:val="single" w:color="000000" w:sz="4" w:space="0"/>
            </w:tcBorders>
            <w:noWrap/>
            <w:vAlign w:val="center"/>
          </w:tcPr>
          <w:p w14:paraId="1FC1C444">
            <w:pPr>
              <w:widowControl/>
              <w:ind w:firstLine="0" w:firstLineChars="0"/>
              <w:jc w:val="center"/>
              <w:textAlignment w:val="center"/>
              <w:rPr>
                <w:color w:val="000000"/>
                <w:sz w:val="22"/>
              </w:rPr>
            </w:pPr>
            <w:r>
              <w:rPr>
                <w:color w:val="000000"/>
                <w:kern w:val="0"/>
                <w:sz w:val="22"/>
              </w:rPr>
              <w:t>15.46%</w:t>
            </w:r>
          </w:p>
        </w:tc>
        <w:tc>
          <w:tcPr>
            <w:tcW w:w="0" w:type="auto"/>
            <w:tcBorders>
              <w:top w:val="single" w:color="000000" w:sz="4" w:space="0"/>
              <w:left w:val="nil"/>
              <w:bottom w:val="single" w:color="000000" w:sz="4" w:space="0"/>
              <w:right w:val="single" w:color="000000" w:sz="4" w:space="0"/>
            </w:tcBorders>
            <w:noWrap/>
            <w:vAlign w:val="center"/>
          </w:tcPr>
          <w:p w14:paraId="67933446">
            <w:pPr>
              <w:widowControl/>
              <w:ind w:firstLine="0" w:firstLineChars="0"/>
              <w:jc w:val="center"/>
              <w:textAlignment w:val="center"/>
              <w:rPr>
                <w:color w:val="000000"/>
                <w:sz w:val="22"/>
              </w:rPr>
            </w:pPr>
            <w:r>
              <w:rPr>
                <w:color w:val="000000"/>
                <w:kern w:val="0"/>
                <w:sz w:val="22"/>
              </w:rPr>
              <w:t>10.14%</w:t>
            </w:r>
          </w:p>
        </w:tc>
        <w:tc>
          <w:tcPr>
            <w:tcW w:w="0" w:type="auto"/>
            <w:tcBorders>
              <w:top w:val="single" w:color="000000" w:sz="4" w:space="0"/>
              <w:left w:val="nil"/>
              <w:bottom w:val="single" w:color="000000" w:sz="4" w:space="0"/>
              <w:right w:val="single" w:color="000000" w:sz="4" w:space="0"/>
            </w:tcBorders>
            <w:noWrap/>
            <w:vAlign w:val="center"/>
          </w:tcPr>
          <w:p w14:paraId="15495DE3">
            <w:pPr>
              <w:widowControl/>
              <w:ind w:firstLine="0" w:firstLineChars="0"/>
              <w:jc w:val="center"/>
              <w:textAlignment w:val="center"/>
              <w:rPr>
                <w:color w:val="000000"/>
                <w:sz w:val="22"/>
              </w:rPr>
            </w:pPr>
            <w:r>
              <w:rPr>
                <w:color w:val="000000"/>
                <w:kern w:val="0"/>
                <w:sz w:val="22"/>
              </w:rPr>
              <w:t>6.43%</w:t>
            </w:r>
          </w:p>
        </w:tc>
        <w:tc>
          <w:tcPr>
            <w:tcW w:w="0" w:type="auto"/>
            <w:tcBorders>
              <w:top w:val="single" w:color="000000" w:sz="4" w:space="0"/>
              <w:left w:val="nil"/>
              <w:bottom w:val="single" w:color="000000" w:sz="4" w:space="0"/>
              <w:right w:val="single" w:color="000000" w:sz="4" w:space="0"/>
            </w:tcBorders>
            <w:noWrap/>
            <w:vAlign w:val="center"/>
          </w:tcPr>
          <w:p w14:paraId="3AA39BFE">
            <w:pPr>
              <w:widowControl/>
              <w:ind w:firstLine="0" w:firstLineChars="0"/>
              <w:jc w:val="center"/>
              <w:textAlignment w:val="center"/>
              <w:rPr>
                <w:color w:val="000000"/>
                <w:sz w:val="22"/>
              </w:rPr>
            </w:pPr>
            <w:r>
              <w:rPr>
                <w:color w:val="000000"/>
                <w:kern w:val="0"/>
                <w:sz w:val="22"/>
              </w:rPr>
              <w:t>4.65%</w:t>
            </w:r>
          </w:p>
        </w:tc>
        <w:tc>
          <w:tcPr>
            <w:tcW w:w="0" w:type="auto"/>
            <w:tcBorders>
              <w:top w:val="single" w:color="000000" w:sz="4" w:space="0"/>
              <w:left w:val="nil"/>
              <w:bottom w:val="single" w:color="000000" w:sz="4" w:space="0"/>
              <w:right w:val="single" w:color="000000" w:sz="4" w:space="0"/>
            </w:tcBorders>
            <w:noWrap/>
            <w:vAlign w:val="center"/>
          </w:tcPr>
          <w:p w14:paraId="31A4208A">
            <w:pPr>
              <w:widowControl/>
              <w:ind w:firstLine="0" w:firstLineChars="0"/>
              <w:jc w:val="center"/>
              <w:textAlignment w:val="center"/>
              <w:rPr>
                <w:color w:val="000000"/>
                <w:sz w:val="22"/>
              </w:rPr>
            </w:pPr>
            <w:r>
              <w:rPr>
                <w:color w:val="000000"/>
                <w:kern w:val="0"/>
                <w:sz w:val="22"/>
              </w:rPr>
              <w:t>4.42%</w:t>
            </w:r>
          </w:p>
        </w:tc>
        <w:tc>
          <w:tcPr>
            <w:tcW w:w="0" w:type="auto"/>
            <w:tcBorders>
              <w:top w:val="single" w:color="000000" w:sz="4" w:space="0"/>
              <w:left w:val="nil"/>
              <w:bottom w:val="single" w:color="000000" w:sz="4" w:space="0"/>
              <w:right w:val="single" w:color="000000" w:sz="4" w:space="0"/>
            </w:tcBorders>
            <w:noWrap/>
            <w:vAlign w:val="center"/>
          </w:tcPr>
          <w:p w14:paraId="008109A1">
            <w:pPr>
              <w:widowControl/>
              <w:ind w:firstLine="0" w:firstLineChars="0"/>
              <w:jc w:val="center"/>
              <w:textAlignment w:val="center"/>
              <w:rPr>
                <w:color w:val="000000"/>
                <w:sz w:val="22"/>
              </w:rPr>
            </w:pPr>
            <w:r>
              <w:rPr>
                <w:color w:val="000000"/>
                <w:kern w:val="0"/>
                <w:sz w:val="22"/>
              </w:rPr>
              <w:t>2.22%</w:t>
            </w:r>
          </w:p>
        </w:tc>
      </w:tr>
      <w:tr w14:paraId="5931EC00">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0213EA9">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部门石化能源消费量百分比</w:t>
            </w:r>
            <w:r>
              <w:rPr>
                <w:rFonts w:eastAsia="仿宋"/>
                <w:color w:val="000000"/>
                <w:kern w:val="0"/>
                <w:sz w:val="20"/>
                <w:szCs w:val="20"/>
              </w:rPr>
              <w:t xml:space="preserve">  X10-6</w:t>
            </w:r>
          </w:p>
        </w:tc>
        <w:tc>
          <w:tcPr>
            <w:tcW w:w="0" w:type="auto"/>
            <w:tcBorders>
              <w:top w:val="single" w:color="000000" w:sz="4" w:space="0"/>
              <w:left w:val="nil"/>
              <w:bottom w:val="single" w:color="000000" w:sz="4" w:space="0"/>
              <w:right w:val="single" w:color="000000" w:sz="4" w:space="0"/>
            </w:tcBorders>
            <w:noWrap/>
            <w:vAlign w:val="center"/>
          </w:tcPr>
          <w:p w14:paraId="266DB4E2">
            <w:pPr>
              <w:widowControl/>
              <w:ind w:firstLine="0" w:firstLineChars="0"/>
              <w:jc w:val="center"/>
              <w:textAlignment w:val="center"/>
              <w:rPr>
                <w:color w:val="000000"/>
                <w:sz w:val="22"/>
              </w:rPr>
            </w:pPr>
            <w:r>
              <w:rPr>
                <w:color w:val="000000"/>
                <w:kern w:val="0"/>
                <w:sz w:val="22"/>
              </w:rPr>
              <w:t>56.21%</w:t>
            </w:r>
          </w:p>
        </w:tc>
        <w:tc>
          <w:tcPr>
            <w:tcW w:w="0" w:type="auto"/>
            <w:tcBorders>
              <w:top w:val="single" w:color="000000" w:sz="4" w:space="0"/>
              <w:left w:val="nil"/>
              <w:bottom w:val="single" w:color="000000" w:sz="4" w:space="0"/>
              <w:right w:val="single" w:color="000000" w:sz="4" w:space="0"/>
            </w:tcBorders>
            <w:noWrap/>
            <w:vAlign w:val="center"/>
          </w:tcPr>
          <w:p w14:paraId="59C1139F">
            <w:pPr>
              <w:widowControl/>
              <w:ind w:firstLine="0" w:firstLineChars="0"/>
              <w:jc w:val="center"/>
              <w:textAlignment w:val="center"/>
              <w:rPr>
                <w:color w:val="000000"/>
                <w:sz w:val="22"/>
              </w:rPr>
            </w:pPr>
            <w:r>
              <w:rPr>
                <w:color w:val="000000"/>
                <w:kern w:val="0"/>
                <w:sz w:val="22"/>
              </w:rPr>
              <w:t>56.93%</w:t>
            </w:r>
          </w:p>
        </w:tc>
        <w:tc>
          <w:tcPr>
            <w:tcW w:w="0" w:type="auto"/>
            <w:tcBorders>
              <w:top w:val="single" w:color="000000" w:sz="4" w:space="0"/>
              <w:left w:val="nil"/>
              <w:bottom w:val="single" w:color="000000" w:sz="4" w:space="0"/>
              <w:right w:val="single" w:color="000000" w:sz="4" w:space="0"/>
            </w:tcBorders>
            <w:noWrap/>
            <w:vAlign w:val="center"/>
          </w:tcPr>
          <w:p w14:paraId="5F1AAC94">
            <w:pPr>
              <w:widowControl/>
              <w:ind w:firstLine="0" w:firstLineChars="0"/>
              <w:jc w:val="center"/>
              <w:textAlignment w:val="center"/>
              <w:rPr>
                <w:color w:val="000000"/>
                <w:sz w:val="22"/>
              </w:rPr>
            </w:pPr>
            <w:r>
              <w:rPr>
                <w:color w:val="000000"/>
                <w:kern w:val="0"/>
                <w:sz w:val="22"/>
              </w:rPr>
              <w:t>57.16%</w:t>
            </w:r>
          </w:p>
        </w:tc>
        <w:tc>
          <w:tcPr>
            <w:tcW w:w="0" w:type="auto"/>
            <w:tcBorders>
              <w:top w:val="single" w:color="000000" w:sz="4" w:space="0"/>
              <w:left w:val="nil"/>
              <w:bottom w:val="single" w:color="000000" w:sz="4" w:space="0"/>
              <w:right w:val="single" w:color="000000" w:sz="4" w:space="0"/>
            </w:tcBorders>
            <w:noWrap/>
            <w:vAlign w:val="center"/>
          </w:tcPr>
          <w:p w14:paraId="1D5B803C">
            <w:pPr>
              <w:widowControl/>
              <w:ind w:firstLine="0" w:firstLineChars="0"/>
              <w:jc w:val="center"/>
              <w:textAlignment w:val="center"/>
              <w:rPr>
                <w:color w:val="000000"/>
                <w:sz w:val="22"/>
              </w:rPr>
            </w:pPr>
            <w:r>
              <w:rPr>
                <w:color w:val="000000"/>
                <w:kern w:val="0"/>
                <w:sz w:val="22"/>
              </w:rPr>
              <w:t>53.07%</w:t>
            </w:r>
          </w:p>
        </w:tc>
        <w:tc>
          <w:tcPr>
            <w:tcW w:w="0" w:type="auto"/>
            <w:tcBorders>
              <w:top w:val="single" w:color="000000" w:sz="4" w:space="0"/>
              <w:left w:val="nil"/>
              <w:bottom w:val="single" w:color="000000" w:sz="4" w:space="0"/>
              <w:right w:val="single" w:color="000000" w:sz="4" w:space="0"/>
            </w:tcBorders>
            <w:noWrap/>
            <w:vAlign w:val="center"/>
          </w:tcPr>
          <w:p w14:paraId="5A5348CC">
            <w:pPr>
              <w:widowControl/>
              <w:ind w:firstLine="0" w:firstLineChars="0"/>
              <w:jc w:val="center"/>
              <w:textAlignment w:val="center"/>
              <w:rPr>
                <w:color w:val="000000"/>
                <w:sz w:val="22"/>
              </w:rPr>
            </w:pPr>
            <w:r>
              <w:rPr>
                <w:color w:val="000000"/>
                <w:kern w:val="0"/>
                <w:sz w:val="22"/>
              </w:rPr>
              <w:t>57.47%</w:t>
            </w:r>
          </w:p>
        </w:tc>
        <w:tc>
          <w:tcPr>
            <w:tcW w:w="0" w:type="auto"/>
            <w:tcBorders>
              <w:top w:val="single" w:color="000000" w:sz="4" w:space="0"/>
              <w:left w:val="nil"/>
              <w:bottom w:val="single" w:color="000000" w:sz="4" w:space="0"/>
              <w:right w:val="single" w:color="000000" w:sz="4" w:space="0"/>
            </w:tcBorders>
            <w:noWrap/>
            <w:vAlign w:val="center"/>
          </w:tcPr>
          <w:p w14:paraId="481CB37E">
            <w:pPr>
              <w:widowControl/>
              <w:ind w:firstLine="0" w:firstLineChars="0"/>
              <w:jc w:val="center"/>
              <w:textAlignment w:val="center"/>
              <w:rPr>
                <w:color w:val="000000"/>
                <w:sz w:val="22"/>
              </w:rPr>
            </w:pPr>
            <w:r>
              <w:rPr>
                <w:color w:val="000000"/>
                <w:kern w:val="0"/>
                <w:sz w:val="22"/>
              </w:rPr>
              <w:t>57.50%</w:t>
            </w:r>
          </w:p>
        </w:tc>
        <w:tc>
          <w:tcPr>
            <w:tcW w:w="0" w:type="auto"/>
            <w:tcBorders>
              <w:top w:val="single" w:color="000000" w:sz="4" w:space="0"/>
              <w:left w:val="nil"/>
              <w:bottom w:val="single" w:color="000000" w:sz="4" w:space="0"/>
              <w:right w:val="single" w:color="000000" w:sz="4" w:space="0"/>
            </w:tcBorders>
            <w:noWrap/>
            <w:vAlign w:val="center"/>
          </w:tcPr>
          <w:p w14:paraId="101ECC82">
            <w:pPr>
              <w:widowControl/>
              <w:ind w:firstLine="0" w:firstLineChars="0"/>
              <w:jc w:val="center"/>
              <w:textAlignment w:val="center"/>
              <w:rPr>
                <w:color w:val="000000"/>
                <w:sz w:val="22"/>
              </w:rPr>
            </w:pPr>
            <w:r>
              <w:rPr>
                <w:color w:val="000000"/>
                <w:kern w:val="0"/>
                <w:sz w:val="22"/>
              </w:rPr>
              <w:t>55.01%</w:t>
            </w:r>
          </w:p>
        </w:tc>
        <w:tc>
          <w:tcPr>
            <w:tcW w:w="0" w:type="auto"/>
            <w:tcBorders>
              <w:top w:val="single" w:color="000000" w:sz="4" w:space="0"/>
              <w:left w:val="nil"/>
              <w:bottom w:val="single" w:color="000000" w:sz="4" w:space="0"/>
              <w:right w:val="single" w:color="000000" w:sz="4" w:space="0"/>
            </w:tcBorders>
            <w:noWrap/>
            <w:vAlign w:val="center"/>
          </w:tcPr>
          <w:p w14:paraId="089841A4">
            <w:pPr>
              <w:widowControl/>
              <w:ind w:firstLine="0" w:firstLineChars="0"/>
              <w:jc w:val="center"/>
              <w:textAlignment w:val="center"/>
              <w:rPr>
                <w:color w:val="000000"/>
                <w:sz w:val="22"/>
              </w:rPr>
            </w:pPr>
            <w:r>
              <w:rPr>
                <w:color w:val="000000"/>
                <w:kern w:val="0"/>
                <w:sz w:val="22"/>
              </w:rPr>
              <w:t>54.53%</w:t>
            </w:r>
          </w:p>
        </w:tc>
        <w:tc>
          <w:tcPr>
            <w:tcW w:w="0" w:type="auto"/>
            <w:tcBorders>
              <w:top w:val="single" w:color="000000" w:sz="4" w:space="0"/>
              <w:left w:val="nil"/>
              <w:bottom w:val="single" w:color="000000" w:sz="4" w:space="0"/>
              <w:right w:val="single" w:color="000000" w:sz="4" w:space="0"/>
            </w:tcBorders>
            <w:noWrap/>
            <w:vAlign w:val="center"/>
          </w:tcPr>
          <w:p w14:paraId="541ADCB6">
            <w:pPr>
              <w:widowControl/>
              <w:ind w:firstLine="0" w:firstLineChars="0"/>
              <w:jc w:val="center"/>
              <w:textAlignment w:val="center"/>
              <w:rPr>
                <w:color w:val="000000"/>
                <w:sz w:val="22"/>
              </w:rPr>
            </w:pPr>
            <w:r>
              <w:rPr>
                <w:color w:val="000000"/>
                <w:kern w:val="0"/>
                <w:sz w:val="22"/>
              </w:rPr>
              <w:t>53.86%</w:t>
            </w:r>
          </w:p>
        </w:tc>
        <w:tc>
          <w:tcPr>
            <w:tcW w:w="0" w:type="auto"/>
            <w:tcBorders>
              <w:top w:val="single" w:color="000000" w:sz="4" w:space="0"/>
              <w:left w:val="nil"/>
              <w:bottom w:val="single" w:color="000000" w:sz="4" w:space="0"/>
              <w:right w:val="single" w:color="000000" w:sz="4" w:space="0"/>
            </w:tcBorders>
            <w:noWrap/>
            <w:vAlign w:val="center"/>
          </w:tcPr>
          <w:p w14:paraId="25920B6F">
            <w:pPr>
              <w:widowControl/>
              <w:ind w:firstLine="0" w:firstLineChars="0"/>
              <w:jc w:val="center"/>
              <w:textAlignment w:val="center"/>
              <w:rPr>
                <w:color w:val="000000"/>
                <w:sz w:val="22"/>
              </w:rPr>
            </w:pPr>
            <w:r>
              <w:rPr>
                <w:color w:val="000000"/>
                <w:kern w:val="0"/>
                <w:sz w:val="22"/>
              </w:rPr>
              <w:t>54.08%</w:t>
            </w:r>
          </w:p>
        </w:tc>
        <w:tc>
          <w:tcPr>
            <w:tcW w:w="0" w:type="auto"/>
            <w:tcBorders>
              <w:top w:val="single" w:color="000000" w:sz="4" w:space="0"/>
              <w:left w:val="nil"/>
              <w:bottom w:val="single" w:color="000000" w:sz="4" w:space="0"/>
              <w:right w:val="single" w:color="000000" w:sz="4" w:space="0"/>
            </w:tcBorders>
            <w:noWrap/>
            <w:vAlign w:val="center"/>
          </w:tcPr>
          <w:p w14:paraId="6ECD6894">
            <w:pPr>
              <w:widowControl/>
              <w:ind w:firstLine="0" w:firstLineChars="0"/>
              <w:jc w:val="center"/>
              <w:textAlignment w:val="center"/>
              <w:rPr>
                <w:color w:val="000000"/>
                <w:sz w:val="22"/>
              </w:rPr>
            </w:pPr>
            <w:r>
              <w:rPr>
                <w:color w:val="000000"/>
                <w:kern w:val="0"/>
                <w:sz w:val="22"/>
              </w:rPr>
              <w:t>54.61%</w:t>
            </w:r>
          </w:p>
        </w:tc>
      </w:tr>
      <w:tr w14:paraId="7C6959FB">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B37AE1D">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部门能源消费量</w:t>
            </w:r>
            <w:r>
              <w:rPr>
                <w:rFonts w:eastAsia="仿宋"/>
                <w:color w:val="000000"/>
                <w:kern w:val="0"/>
                <w:sz w:val="20"/>
                <w:szCs w:val="20"/>
              </w:rPr>
              <w:t xml:space="preserve">  X11-1</w:t>
            </w:r>
          </w:p>
        </w:tc>
        <w:tc>
          <w:tcPr>
            <w:tcW w:w="0" w:type="auto"/>
            <w:tcBorders>
              <w:top w:val="single" w:color="000000" w:sz="4" w:space="0"/>
              <w:left w:val="nil"/>
              <w:bottom w:val="single" w:color="000000" w:sz="4" w:space="0"/>
              <w:right w:val="single" w:color="000000" w:sz="4" w:space="0"/>
            </w:tcBorders>
            <w:noWrap/>
            <w:vAlign w:val="center"/>
          </w:tcPr>
          <w:p w14:paraId="521F80E0">
            <w:pPr>
              <w:widowControl/>
              <w:ind w:firstLine="0" w:firstLineChars="0"/>
              <w:jc w:val="center"/>
              <w:textAlignment w:val="center"/>
              <w:rPr>
                <w:color w:val="000000"/>
                <w:sz w:val="22"/>
              </w:rPr>
            </w:pPr>
            <w:r>
              <w:rPr>
                <w:color w:val="000000"/>
                <w:kern w:val="0"/>
                <w:sz w:val="22"/>
              </w:rPr>
              <w:t>345.36</w:t>
            </w:r>
          </w:p>
        </w:tc>
        <w:tc>
          <w:tcPr>
            <w:tcW w:w="0" w:type="auto"/>
            <w:tcBorders>
              <w:top w:val="single" w:color="000000" w:sz="4" w:space="0"/>
              <w:left w:val="nil"/>
              <w:bottom w:val="single" w:color="000000" w:sz="4" w:space="0"/>
              <w:right w:val="single" w:color="000000" w:sz="4" w:space="0"/>
            </w:tcBorders>
            <w:noWrap/>
            <w:vAlign w:val="center"/>
          </w:tcPr>
          <w:p w14:paraId="1D9FF269">
            <w:pPr>
              <w:widowControl/>
              <w:ind w:firstLine="0" w:firstLineChars="0"/>
              <w:jc w:val="center"/>
              <w:textAlignment w:val="center"/>
              <w:rPr>
                <w:color w:val="000000"/>
                <w:sz w:val="22"/>
              </w:rPr>
            </w:pPr>
            <w:r>
              <w:rPr>
                <w:color w:val="000000"/>
                <w:kern w:val="0"/>
                <w:sz w:val="22"/>
              </w:rPr>
              <w:t>393.87</w:t>
            </w:r>
          </w:p>
        </w:tc>
        <w:tc>
          <w:tcPr>
            <w:tcW w:w="0" w:type="auto"/>
            <w:tcBorders>
              <w:top w:val="single" w:color="000000" w:sz="4" w:space="0"/>
              <w:left w:val="nil"/>
              <w:bottom w:val="single" w:color="000000" w:sz="4" w:space="0"/>
              <w:right w:val="single" w:color="000000" w:sz="4" w:space="0"/>
            </w:tcBorders>
            <w:noWrap/>
            <w:vAlign w:val="center"/>
          </w:tcPr>
          <w:p w14:paraId="1C23623D">
            <w:pPr>
              <w:widowControl/>
              <w:ind w:firstLine="0" w:firstLineChars="0"/>
              <w:jc w:val="center"/>
              <w:textAlignment w:val="center"/>
              <w:rPr>
                <w:color w:val="000000"/>
                <w:sz w:val="22"/>
              </w:rPr>
            </w:pPr>
            <w:r>
              <w:rPr>
                <w:color w:val="000000"/>
                <w:kern w:val="0"/>
                <w:sz w:val="22"/>
              </w:rPr>
              <w:t>448.95</w:t>
            </w:r>
          </w:p>
        </w:tc>
        <w:tc>
          <w:tcPr>
            <w:tcW w:w="0" w:type="auto"/>
            <w:tcBorders>
              <w:top w:val="single" w:color="000000" w:sz="4" w:space="0"/>
              <w:left w:val="nil"/>
              <w:bottom w:val="single" w:color="000000" w:sz="4" w:space="0"/>
              <w:right w:val="single" w:color="000000" w:sz="4" w:space="0"/>
            </w:tcBorders>
            <w:noWrap/>
            <w:vAlign w:val="center"/>
          </w:tcPr>
          <w:p w14:paraId="147C8B90">
            <w:pPr>
              <w:widowControl/>
              <w:ind w:firstLine="0" w:firstLineChars="0"/>
              <w:jc w:val="center"/>
              <w:textAlignment w:val="center"/>
              <w:rPr>
                <w:color w:val="000000"/>
                <w:sz w:val="22"/>
              </w:rPr>
            </w:pPr>
            <w:r>
              <w:rPr>
                <w:color w:val="000000"/>
                <w:kern w:val="0"/>
                <w:sz w:val="22"/>
              </w:rPr>
              <w:t>362.18</w:t>
            </w:r>
          </w:p>
        </w:tc>
        <w:tc>
          <w:tcPr>
            <w:tcW w:w="0" w:type="auto"/>
            <w:tcBorders>
              <w:top w:val="single" w:color="000000" w:sz="4" w:space="0"/>
              <w:left w:val="nil"/>
              <w:bottom w:val="single" w:color="000000" w:sz="4" w:space="0"/>
              <w:right w:val="single" w:color="000000" w:sz="4" w:space="0"/>
            </w:tcBorders>
            <w:noWrap/>
            <w:vAlign w:val="center"/>
          </w:tcPr>
          <w:p w14:paraId="0902DF25">
            <w:pPr>
              <w:widowControl/>
              <w:ind w:firstLine="0" w:firstLineChars="0"/>
              <w:jc w:val="center"/>
              <w:textAlignment w:val="center"/>
              <w:rPr>
                <w:color w:val="000000"/>
                <w:sz w:val="22"/>
              </w:rPr>
            </w:pPr>
            <w:r>
              <w:rPr>
                <w:color w:val="000000"/>
                <w:kern w:val="0"/>
                <w:sz w:val="22"/>
              </w:rPr>
              <w:t>383.72</w:t>
            </w:r>
          </w:p>
        </w:tc>
        <w:tc>
          <w:tcPr>
            <w:tcW w:w="0" w:type="auto"/>
            <w:tcBorders>
              <w:top w:val="single" w:color="000000" w:sz="4" w:space="0"/>
              <w:left w:val="nil"/>
              <w:bottom w:val="single" w:color="000000" w:sz="4" w:space="0"/>
              <w:right w:val="single" w:color="000000" w:sz="4" w:space="0"/>
            </w:tcBorders>
            <w:noWrap/>
            <w:vAlign w:val="center"/>
          </w:tcPr>
          <w:p w14:paraId="4E373B06">
            <w:pPr>
              <w:widowControl/>
              <w:ind w:firstLine="0" w:firstLineChars="0"/>
              <w:jc w:val="center"/>
              <w:textAlignment w:val="center"/>
              <w:rPr>
                <w:color w:val="000000"/>
                <w:sz w:val="22"/>
              </w:rPr>
            </w:pPr>
            <w:r>
              <w:rPr>
                <w:color w:val="000000"/>
                <w:kern w:val="0"/>
                <w:sz w:val="22"/>
              </w:rPr>
              <w:t>429.37</w:t>
            </w:r>
          </w:p>
        </w:tc>
        <w:tc>
          <w:tcPr>
            <w:tcW w:w="0" w:type="auto"/>
            <w:tcBorders>
              <w:top w:val="single" w:color="000000" w:sz="4" w:space="0"/>
              <w:left w:val="nil"/>
              <w:bottom w:val="single" w:color="000000" w:sz="4" w:space="0"/>
              <w:right w:val="single" w:color="000000" w:sz="4" w:space="0"/>
            </w:tcBorders>
            <w:noWrap/>
            <w:vAlign w:val="center"/>
          </w:tcPr>
          <w:p w14:paraId="37E031F1">
            <w:pPr>
              <w:widowControl/>
              <w:ind w:firstLine="0" w:firstLineChars="0"/>
              <w:jc w:val="center"/>
              <w:textAlignment w:val="center"/>
              <w:rPr>
                <w:color w:val="000000"/>
                <w:sz w:val="22"/>
              </w:rPr>
            </w:pPr>
            <w:r>
              <w:rPr>
                <w:color w:val="000000"/>
                <w:kern w:val="0"/>
                <w:sz w:val="22"/>
              </w:rPr>
              <w:t>433.46</w:t>
            </w:r>
          </w:p>
        </w:tc>
        <w:tc>
          <w:tcPr>
            <w:tcW w:w="0" w:type="auto"/>
            <w:tcBorders>
              <w:top w:val="single" w:color="000000" w:sz="4" w:space="0"/>
              <w:left w:val="nil"/>
              <w:bottom w:val="single" w:color="000000" w:sz="4" w:space="0"/>
              <w:right w:val="single" w:color="000000" w:sz="4" w:space="0"/>
            </w:tcBorders>
            <w:noWrap/>
            <w:vAlign w:val="center"/>
          </w:tcPr>
          <w:p w14:paraId="2EE8BF72">
            <w:pPr>
              <w:widowControl/>
              <w:ind w:firstLine="0" w:firstLineChars="0"/>
              <w:jc w:val="center"/>
              <w:textAlignment w:val="center"/>
              <w:rPr>
                <w:color w:val="000000"/>
                <w:sz w:val="22"/>
              </w:rPr>
            </w:pPr>
            <w:r>
              <w:rPr>
                <w:color w:val="000000"/>
                <w:kern w:val="0"/>
                <w:sz w:val="22"/>
              </w:rPr>
              <w:t>440.49</w:t>
            </w:r>
          </w:p>
        </w:tc>
        <w:tc>
          <w:tcPr>
            <w:tcW w:w="0" w:type="auto"/>
            <w:tcBorders>
              <w:top w:val="single" w:color="000000" w:sz="4" w:space="0"/>
              <w:left w:val="nil"/>
              <w:bottom w:val="single" w:color="000000" w:sz="4" w:space="0"/>
              <w:right w:val="single" w:color="000000" w:sz="4" w:space="0"/>
            </w:tcBorders>
            <w:noWrap/>
            <w:vAlign w:val="center"/>
          </w:tcPr>
          <w:p w14:paraId="32054A89">
            <w:pPr>
              <w:widowControl/>
              <w:ind w:firstLine="0" w:firstLineChars="0"/>
              <w:jc w:val="center"/>
              <w:textAlignment w:val="center"/>
              <w:rPr>
                <w:color w:val="000000"/>
                <w:sz w:val="22"/>
              </w:rPr>
            </w:pPr>
            <w:r>
              <w:rPr>
                <w:color w:val="000000"/>
                <w:kern w:val="0"/>
                <w:sz w:val="22"/>
              </w:rPr>
              <w:t>457.99</w:t>
            </w:r>
          </w:p>
        </w:tc>
        <w:tc>
          <w:tcPr>
            <w:tcW w:w="0" w:type="auto"/>
            <w:tcBorders>
              <w:top w:val="single" w:color="000000" w:sz="4" w:space="0"/>
              <w:left w:val="nil"/>
              <w:bottom w:val="single" w:color="000000" w:sz="4" w:space="0"/>
              <w:right w:val="single" w:color="000000" w:sz="4" w:space="0"/>
            </w:tcBorders>
            <w:noWrap/>
            <w:vAlign w:val="center"/>
          </w:tcPr>
          <w:p w14:paraId="1009469C">
            <w:pPr>
              <w:widowControl/>
              <w:ind w:firstLine="0" w:firstLineChars="0"/>
              <w:jc w:val="center"/>
              <w:textAlignment w:val="center"/>
              <w:rPr>
                <w:color w:val="000000"/>
                <w:sz w:val="22"/>
              </w:rPr>
            </w:pPr>
            <w:r>
              <w:rPr>
                <w:color w:val="000000"/>
                <w:kern w:val="0"/>
                <w:sz w:val="22"/>
              </w:rPr>
              <w:t>438.58</w:t>
            </w:r>
          </w:p>
        </w:tc>
        <w:tc>
          <w:tcPr>
            <w:tcW w:w="0" w:type="auto"/>
            <w:tcBorders>
              <w:top w:val="single" w:color="000000" w:sz="4" w:space="0"/>
              <w:left w:val="nil"/>
              <w:bottom w:val="single" w:color="000000" w:sz="4" w:space="0"/>
              <w:right w:val="single" w:color="000000" w:sz="4" w:space="0"/>
            </w:tcBorders>
            <w:noWrap/>
            <w:vAlign w:val="center"/>
          </w:tcPr>
          <w:p w14:paraId="4EE6842C">
            <w:pPr>
              <w:widowControl/>
              <w:ind w:firstLine="0" w:firstLineChars="0"/>
              <w:jc w:val="center"/>
              <w:textAlignment w:val="center"/>
              <w:rPr>
                <w:color w:val="000000"/>
                <w:sz w:val="22"/>
              </w:rPr>
            </w:pPr>
            <w:r>
              <w:rPr>
                <w:color w:val="000000"/>
                <w:kern w:val="0"/>
                <w:sz w:val="22"/>
              </w:rPr>
              <w:t>423.78</w:t>
            </w:r>
          </w:p>
        </w:tc>
      </w:tr>
      <w:tr w14:paraId="087C7ECD">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EF949F"/>
            <w:noWrap/>
            <w:vAlign w:val="center"/>
          </w:tcPr>
          <w:p w14:paraId="70ADF5C1">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部门能源消费量</w:t>
            </w:r>
            <w:r>
              <w:rPr>
                <w:rFonts w:eastAsia="仿宋"/>
                <w:color w:val="000000"/>
                <w:kern w:val="0"/>
                <w:sz w:val="20"/>
                <w:szCs w:val="20"/>
              </w:rPr>
              <w:t xml:space="preserve">  X11-2</w:t>
            </w:r>
          </w:p>
        </w:tc>
        <w:tc>
          <w:tcPr>
            <w:tcW w:w="0" w:type="auto"/>
            <w:tcBorders>
              <w:top w:val="single" w:color="000000" w:sz="4" w:space="0"/>
              <w:left w:val="nil"/>
              <w:bottom w:val="single" w:color="000000" w:sz="4" w:space="0"/>
              <w:right w:val="single" w:color="000000" w:sz="4" w:space="0"/>
            </w:tcBorders>
            <w:shd w:val="clear" w:color="auto" w:fill="EF949F"/>
            <w:noWrap/>
            <w:vAlign w:val="center"/>
          </w:tcPr>
          <w:p w14:paraId="5CB9EBD1">
            <w:pPr>
              <w:widowControl/>
              <w:ind w:firstLine="0" w:firstLineChars="0"/>
              <w:jc w:val="center"/>
              <w:textAlignment w:val="center"/>
              <w:rPr>
                <w:color w:val="000000"/>
                <w:sz w:val="22"/>
              </w:rPr>
            </w:pPr>
            <w:r>
              <w:rPr>
                <w:color w:val="000000"/>
                <w:kern w:val="0"/>
                <w:sz w:val="22"/>
              </w:rPr>
              <w:t>11202.09</w:t>
            </w:r>
          </w:p>
        </w:tc>
        <w:tc>
          <w:tcPr>
            <w:tcW w:w="0" w:type="auto"/>
            <w:tcBorders>
              <w:top w:val="single" w:color="000000" w:sz="4" w:space="0"/>
              <w:left w:val="nil"/>
              <w:bottom w:val="single" w:color="000000" w:sz="4" w:space="0"/>
              <w:right w:val="single" w:color="000000" w:sz="4" w:space="0"/>
            </w:tcBorders>
            <w:shd w:val="clear" w:color="auto" w:fill="EF949F"/>
            <w:noWrap/>
            <w:vAlign w:val="center"/>
          </w:tcPr>
          <w:p w14:paraId="639890C2">
            <w:pPr>
              <w:widowControl/>
              <w:ind w:firstLine="0" w:firstLineChars="0"/>
              <w:jc w:val="center"/>
              <w:textAlignment w:val="center"/>
              <w:rPr>
                <w:color w:val="000000"/>
                <w:sz w:val="22"/>
              </w:rPr>
            </w:pPr>
            <w:r>
              <w:rPr>
                <w:color w:val="000000"/>
                <w:kern w:val="0"/>
                <w:sz w:val="22"/>
              </w:rPr>
              <w:t>13919.43</w:t>
            </w:r>
          </w:p>
        </w:tc>
        <w:tc>
          <w:tcPr>
            <w:tcW w:w="0" w:type="auto"/>
            <w:tcBorders>
              <w:top w:val="single" w:color="000000" w:sz="4" w:space="0"/>
              <w:left w:val="nil"/>
              <w:bottom w:val="single" w:color="000000" w:sz="4" w:space="0"/>
              <w:right w:val="single" w:color="000000" w:sz="4" w:space="0"/>
            </w:tcBorders>
            <w:shd w:val="clear" w:color="auto" w:fill="EF949F"/>
            <w:noWrap/>
            <w:vAlign w:val="center"/>
          </w:tcPr>
          <w:p w14:paraId="6EF64887">
            <w:pPr>
              <w:widowControl/>
              <w:ind w:firstLine="0" w:firstLineChars="0"/>
              <w:jc w:val="center"/>
              <w:textAlignment w:val="center"/>
              <w:rPr>
                <w:color w:val="000000"/>
                <w:sz w:val="22"/>
              </w:rPr>
            </w:pPr>
            <w:r>
              <w:rPr>
                <w:color w:val="000000"/>
                <w:kern w:val="0"/>
                <w:sz w:val="22"/>
              </w:rPr>
              <w:t>14632.96</w:t>
            </w:r>
          </w:p>
        </w:tc>
        <w:tc>
          <w:tcPr>
            <w:tcW w:w="0" w:type="auto"/>
            <w:tcBorders>
              <w:top w:val="single" w:color="000000" w:sz="4" w:space="0"/>
              <w:left w:val="nil"/>
              <w:bottom w:val="single" w:color="000000" w:sz="4" w:space="0"/>
              <w:right w:val="single" w:color="000000" w:sz="4" w:space="0"/>
            </w:tcBorders>
            <w:shd w:val="clear" w:color="auto" w:fill="EF949F"/>
            <w:noWrap/>
            <w:vAlign w:val="center"/>
          </w:tcPr>
          <w:p w14:paraId="79494C04">
            <w:pPr>
              <w:widowControl/>
              <w:ind w:firstLine="0" w:firstLineChars="0"/>
              <w:jc w:val="center"/>
              <w:textAlignment w:val="center"/>
              <w:rPr>
                <w:color w:val="000000"/>
                <w:sz w:val="22"/>
              </w:rPr>
            </w:pPr>
            <w:r>
              <w:rPr>
                <w:color w:val="000000"/>
                <w:kern w:val="0"/>
                <w:sz w:val="22"/>
              </w:rPr>
              <w:t>14246.39</w:t>
            </w:r>
          </w:p>
        </w:tc>
        <w:tc>
          <w:tcPr>
            <w:tcW w:w="0" w:type="auto"/>
            <w:tcBorders>
              <w:top w:val="single" w:color="000000" w:sz="4" w:space="0"/>
              <w:left w:val="nil"/>
              <w:bottom w:val="single" w:color="000000" w:sz="4" w:space="0"/>
              <w:right w:val="single" w:color="000000" w:sz="4" w:space="0"/>
            </w:tcBorders>
            <w:shd w:val="clear" w:color="auto" w:fill="EF949F"/>
            <w:noWrap/>
            <w:vAlign w:val="center"/>
          </w:tcPr>
          <w:p w14:paraId="0BF621BA">
            <w:pPr>
              <w:widowControl/>
              <w:ind w:firstLine="0" w:firstLineChars="0"/>
              <w:jc w:val="center"/>
              <w:textAlignment w:val="center"/>
              <w:rPr>
                <w:color w:val="000000"/>
                <w:sz w:val="22"/>
              </w:rPr>
            </w:pPr>
            <w:r>
              <w:rPr>
                <w:color w:val="000000"/>
                <w:kern w:val="0"/>
                <w:sz w:val="22"/>
              </w:rPr>
              <w:t>13201.16</w:t>
            </w:r>
          </w:p>
        </w:tc>
        <w:tc>
          <w:tcPr>
            <w:tcW w:w="0" w:type="auto"/>
            <w:tcBorders>
              <w:top w:val="single" w:color="000000" w:sz="4" w:space="0"/>
              <w:left w:val="nil"/>
              <w:bottom w:val="single" w:color="000000" w:sz="4" w:space="0"/>
              <w:right w:val="single" w:color="000000" w:sz="4" w:space="0"/>
            </w:tcBorders>
            <w:shd w:val="clear" w:color="auto" w:fill="EF949F"/>
            <w:noWrap/>
            <w:vAlign w:val="center"/>
          </w:tcPr>
          <w:p w14:paraId="7C78A22D">
            <w:pPr>
              <w:widowControl/>
              <w:ind w:firstLine="0" w:firstLineChars="0"/>
              <w:jc w:val="center"/>
              <w:textAlignment w:val="center"/>
              <w:rPr>
                <w:color w:val="000000"/>
                <w:sz w:val="22"/>
              </w:rPr>
            </w:pPr>
            <w:r>
              <w:rPr>
                <w:color w:val="000000"/>
                <w:kern w:val="0"/>
                <w:sz w:val="22"/>
              </w:rPr>
              <w:t>13755.52</w:t>
            </w:r>
          </w:p>
        </w:tc>
        <w:tc>
          <w:tcPr>
            <w:tcW w:w="0" w:type="auto"/>
            <w:tcBorders>
              <w:top w:val="single" w:color="000000" w:sz="4" w:space="0"/>
              <w:left w:val="nil"/>
              <w:bottom w:val="single" w:color="000000" w:sz="4" w:space="0"/>
              <w:right w:val="single" w:color="000000" w:sz="4" w:space="0"/>
            </w:tcBorders>
            <w:shd w:val="clear" w:color="auto" w:fill="EF949F"/>
            <w:noWrap/>
            <w:vAlign w:val="center"/>
          </w:tcPr>
          <w:p w14:paraId="3AF28EBC">
            <w:pPr>
              <w:widowControl/>
              <w:ind w:firstLine="0" w:firstLineChars="0"/>
              <w:jc w:val="center"/>
              <w:textAlignment w:val="center"/>
              <w:rPr>
                <w:color w:val="000000"/>
                <w:sz w:val="22"/>
              </w:rPr>
            </w:pPr>
            <w:r>
              <w:rPr>
                <w:color w:val="000000"/>
                <w:kern w:val="0"/>
                <w:sz w:val="22"/>
              </w:rPr>
              <w:t>14359.98</w:t>
            </w:r>
          </w:p>
        </w:tc>
        <w:tc>
          <w:tcPr>
            <w:tcW w:w="0" w:type="auto"/>
            <w:tcBorders>
              <w:top w:val="single" w:color="000000" w:sz="4" w:space="0"/>
              <w:left w:val="nil"/>
              <w:bottom w:val="single" w:color="000000" w:sz="4" w:space="0"/>
              <w:right w:val="single" w:color="000000" w:sz="4" w:space="0"/>
            </w:tcBorders>
            <w:shd w:val="clear" w:color="auto" w:fill="EF949F"/>
            <w:noWrap/>
            <w:vAlign w:val="center"/>
          </w:tcPr>
          <w:p w14:paraId="065A9BD7">
            <w:pPr>
              <w:widowControl/>
              <w:ind w:firstLine="0" w:firstLineChars="0"/>
              <w:jc w:val="center"/>
              <w:textAlignment w:val="center"/>
              <w:rPr>
                <w:color w:val="000000"/>
                <w:sz w:val="22"/>
              </w:rPr>
            </w:pPr>
            <w:r>
              <w:rPr>
                <w:color w:val="000000"/>
                <w:kern w:val="0"/>
                <w:sz w:val="22"/>
              </w:rPr>
              <w:t>14896.40</w:t>
            </w:r>
          </w:p>
        </w:tc>
        <w:tc>
          <w:tcPr>
            <w:tcW w:w="0" w:type="auto"/>
            <w:tcBorders>
              <w:top w:val="single" w:color="000000" w:sz="4" w:space="0"/>
              <w:left w:val="nil"/>
              <w:bottom w:val="single" w:color="000000" w:sz="4" w:space="0"/>
              <w:right w:val="single" w:color="000000" w:sz="4" w:space="0"/>
            </w:tcBorders>
            <w:shd w:val="clear" w:color="auto" w:fill="EF949F"/>
            <w:noWrap/>
            <w:vAlign w:val="center"/>
          </w:tcPr>
          <w:p w14:paraId="5D193CE7">
            <w:pPr>
              <w:widowControl/>
              <w:ind w:firstLine="0" w:firstLineChars="0"/>
              <w:jc w:val="center"/>
              <w:textAlignment w:val="center"/>
              <w:rPr>
                <w:color w:val="000000"/>
                <w:sz w:val="22"/>
              </w:rPr>
            </w:pPr>
            <w:r>
              <w:rPr>
                <w:color w:val="000000"/>
                <w:kern w:val="0"/>
                <w:sz w:val="22"/>
              </w:rPr>
              <w:t>15059.63</w:t>
            </w:r>
          </w:p>
        </w:tc>
        <w:tc>
          <w:tcPr>
            <w:tcW w:w="0" w:type="auto"/>
            <w:tcBorders>
              <w:top w:val="single" w:color="000000" w:sz="4" w:space="0"/>
              <w:left w:val="nil"/>
              <w:bottom w:val="single" w:color="000000" w:sz="4" w:space="0"/>
              <w:right w:val="single" w:color="000000" w:sz="4" w:space="0"/>
            </w:tcBorders>
            <w:shd w:val="clear" w:color="auto" w:fill="EF949F"/>
            <w:noWrap/>
            <w:vAlign w:val="center"/>
          </w:tcPr>
          <w:p w14:paraId="2C4253CB">
            <w:pPr>
              <w:widowControl/>
              <w:ind w:firstLine="0" w:firstLineChars="0"/>
              <w:jc w:val="center"/>
              <w:textAlignment w:val="center"/>
              <w:rPr>
                <w:color w:val="000000"/>
                <w:sz w:val="22"/>
              </w:rPr>
            </w:pPr>
            <w:r>
              <w:rPr>
                <w:color w:val="000000"/>
                <w:kern w:val="0"/>
                <w:sz w:val="22"/>
              </w:rPr>
              <w:t>14608.89</w:t>
            </w:r>
          </w:p>
        </w:tc>
        <w:tc>
          <w:tcPr>
            <w:tcW w:w="0" w:type="auto"/>
            <w:tcBorders>
              <w:top w:val="single" w:color="000000" w:sz="4" w:space="0"/>
              <w:left w:val="nil"/>
              <w:bottom w:val="single" w:color="000000" w:sz="4" w:space="0"/>
              <w:right w:val="single" w:color="000000" w:sz="4" w:space="0"/>
            </w:tcBorders>
            <w:shd w:val="clear" w:color="auto" w:fill="EF949F"/>
            <w:noWrap/>
            <w:vAlign w:val="center"/>
          </w:tcPr>
          <w:p w14:paraId="07955F7A">
            <w:pPr>
              <w:widowControl/>
              <w:ind w:firstLine="0" w:firstLineChars="0"/>
              <w:jc w:val="center"/>
              <w:textAlignment w:val="center"/>
              <w:rPr>
                <w:color w:val="000000"/>
                <w:sz w:val="22"/>
              </w:rPr>
            </w:pPr>
            <w:r>
              <w:rPr>
                <w:color w:val="000000"/>
                <w:kern w:val="0"/>
                <w:sz w:val="22"/>
              </w:rPr>
              <w:t>13915.33</w:t>
            </w:r>
          </w:p>
        </w:tc>
      </w:tr>
      <w:tr w14:paraId="1A4C6DCE">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B1929C8">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部门能源消费量</w:t>
            </w:r>
            <w:r>
              <w:rPr>
                <w:rFonts w:eastAsia="仿宋"/>
                <w:color w:val="000000"/>
                <w:kern w:val="0"/>
                <w:sz w:val="20"/>
                <w:szCs w:val="20"/>
              </w:rPr>
              <w:t xml:space="preserve">  X11-3</w:t>
            </w:r>
          </w:p>
        </w:tc>
        <w:tc>
          <w:tcPr>
            <w:tcW w:w="0" w:type="auto"/>
            <w:tcBorders>
              <w:top w:val="single" w:color="000000" w:sz="4" w:space="0"/>
              <w:left w:val="nil"/>
              <w:bottom w:val="single" w:color="000000" w:sz="4" w:space="0"/>
              <w:right w:val="single" w:color="000000" w:sz="4" w:space="0"/>
            </w:tcBorders>
            <w:noWrap/>
            <w:vAlign w:val="center"/>
          </w:tcPr>
          <w:p w14:paraId="7F64B70B">
            <w:pPr>
              <w:widowControl/>
              <w:ind w:firstLine="0" w:firstLineChars="0"/>
              <w:jc w:val="center"/>
              <w:textAlignment w:val="center"/>
              <w:rPr>
                <w:color w:val="000000"/>
                <w:sz w:val="22"/>
              </w:rPr>
            </w:pPr>
            <w:r>
              <w:rPr>
                <w:color w:val="000000"/>
                <w:kern w:val="0"/>
                <w:sz w:val="22"/>
              </w:rPr>
              <w:t>14312.68</w:t>
            </w:r>
          </w:p>
        </w:tc>
        <w:tc>
          <w:tcPr>
            <w:tcW w:w="0" w:type="auto"/>
            <w:tcBorders>
              <w:top w:val="single" w:color="000000" w:sz="4" w:space="0"/>
              <w:left w:val="nil"/>
              <w:bottom w:val="single" w:color="000000" w:sz="4" w:space="0"/>
              <w:right w:val="single" w:color="000000" w:sz="4" w:space="0"/>
            </w:tcBorders>
            <w:noWrap/>
            <w:vAlign w:val="center"/>
          </w:tcPr>
          <w:p w14:paraId="55CF1595">
            <w:pPr>
              <w:widowControl/>
              <w:ind w:firstLine="0" w:firstLineChars="0"/>
              <w:jc w:val="center"/>
              <w:textAlignment w:val="center"/>
              <w:rPr>
                <w:color w:val="000000"/>
                <w:sz w:val="22"/>
              </w:rPr>
            </w:pPr>
            <w:r>
              <w:rPr>
                <w:color w:val="000000"/>
                <w:kern w:val="0"/>
                <w:sz w:val="22"/>
              </w:rPr>
              <w:t>15171.86</w:t>
            </w:r>
          </w:p>
        </w:tc>
        <w:tc>
          <w:tcPr>
            <w:tcW w:w="0" w:type="auto"/>
            <w:tcBorders>
              <w:top w:val="single" w:color="000000" w:sz="4" w:space="0"/>
              <w:left w:val="nil"/>
              <w:bottom w:val="single" w:color="000000" w:sz="4" w:space="0"/>
              <w:right w:val="single" w:color="000000" w:sz="4" w:space="0"/>
            </w:tcBorders>
            <w:noWrap/>
            <w:vAlign w:val="center"/>
          </w:tcPr>
          <w:p w14:paraId="047BE740">
            <w:pPr>
              <w:widowControl/>
              <w:ind w:firstLine="0" w:firstLineChars="0"/>
              <w:jc w:val="center"/>
              <w:textAlignment w:val="center"/>
              <w:rPr>
                <w:color w:val="000000"/>
                <w:sz w:val="22"/>
              </w:rPr>
            </w:pPr>
            <w:r>
              <w:rPr>
                <w:color w:val="000000"/>
                <w:kern w:val="0"/>
                <w:sz w:val="22"/>
              </w:rPr>
              <w:t>15494.59</w:t>
            </w:r>
          </w:p>
        </w:tc>
        <w:tc>
          <w:tcPr>
            <w:tcW w:w="0" w:type="auto"/>
            <w:tcBorders>
              <w:top w:val="single" w:color="000000" w:sz="4" w:space="0"/>
              <w:left w:val="nil"/>
              <w:bottom w:val="single" w:color="000000" w:sz="4" w:space="0"/>
              <w:right w:val="single" w:color="000000" w:sz="4" w:space="0"/>
            </w:tcBorders>
            <w:noWrap/>
            <w:vAlign w:val="center"/>
          </w:tcPr>
          <w:p w14:paraId="206327DE">
            <w:pPr>
              <w:widowControl/>
              <w:ind w:firstLine="0" w:firstLineChars="0"/>
              <w:jc w:val="center"/>
              <w:textAlignment w:val="center"/>
              <w:rPr>
                <w:color w:val="000000"/>
                <w:sz w:val="22"/>
              </w:rPr>
            </w:pPr>
            <w:r>
              <w:rPr>
                <w:color w:val="000000"/>
                <w:kern w:val="0"/>
                <w:sz w:val="22"/>
              </w:rPr>
              <w:t>16347.81</w:t>
            </w:r>
          </w:p>
        </w:tc>
        <w:tc>
          <w:tcPr>
            <w:tcW w:w="0" w:type="auto"/>
            <w:tcBorders>
              <w:top w:val="single" w:color="000000" w:sz="4" w:space="0"/>
              <w:left w:val="nil"/>
              <w:bottom w:val="single" w:color="000000" w:sz="4" w:space="0"/>
              <w:right w:val="single" w:color="000000" w:sz="4" w:space="0"/>
            </w:tcBorders>
            <w:noWrap/>
            <w:vAlign w:val="center"/>
          </w:tcPr>
          <w:p w14:paraId="16FD2A2C">
            <w:pPr>
              <w:widowControl/>
              <w:ind w:firstLine="0" w:firstLineChars="0"/>
              <w:jc w:val="center"/>
              <w:textAlignment w:val="center"/>
              <w:rPr>
                <w:color w:val="000000"/>
                <w:sz w:val="22"/>
              </w:rPr>
            </w:pPr>
            <w:r>
              <w:rPr>
                <w:color w:val="000000"/>
                <w:kern w:val="0"/>
                <w:sz w:val="22"/>
              </w:rPr>
              <w:t>17018.53</w:t>
            </w:r>
          </w:p>
        </w:tc>
        <w:tc>
          <w:tcPr>
            <w:tcW w:w="0" w:type="auto"/>
            <w:tcBorders>
              <w:top w:val="single" w:color="000000" w:sz="4" w:space="0"/>
              <w:left w:val="nil"/>
              <w:bottom w:val="single" w:color="000000" w:sz="4" w:space="0"/>
              <w:right w:val="single" w:color="000000" w:sz="4" w:space="0"/>
            </w:tcBorders>
            <w:noWrap/>
            <w:vAlign w:val="center"/>
          </w:tcPr>
          <w:p w14:paraId="09478825">
            <w:pPr>
              <w:widowControl/>
              <w:ind w:firstLine="0" w:firstLineChars="0"/>
              <w:jc w:val="center"/>
              <w:textAlignment w:val="center"/>
              <w:rPr>
                <w:color w:val="000000"/>
                <w:sz w:val="22"/>
              </w:rPr>
            </w:pPr>
            <w:r>
              <w:rPr>
                <w:color w:val="000000"/>
                <w:kern w:val="0"/>
                <w:sz w:val="22"/>
              </w:rPr>
              <w:t>17242.19</w:t>
            </w:r>
          </w:p>
        </w:tc>
        <w:tc>
          <w:tcPr>
            <w:tcW w:w="0" w:type="auto"/>
            <w:tcBorders>
              <w:top w:val="single" w:color="000000" w:sz="4" w:space="0"/>
              <w:left w:val="nil"/>
              <w:bottom w:val="single" w:color="000000" w:sz="4" w:space="0"/>
              <w:right w:val="single" w:color="000000" w:sz="4" w:space="0"/>
            </w:tcBorders>
            <w:noWrap/>
            <w:vAlign w:val="center"/>
          </w:tcPr>
          <w:p w14:paraId="183EA2B9">
            <w:pPr>
              <w:widowControl/>
              <w:ind w:firstLine="0" w:firstLineChars="0"/>
              <w:jc w:val="center"/>
              <w:textAlignment w:val="center"/>
              <w:rPr>
                <w:color w:val="000000"/>
                <w:sz w:val="22"/>
              </w:rPr>
            </w:pPr>
            <w:r>
              <w:rPr>
                <w:color w:val="000000"/>
                <w:kern w:val="0"/>
                <w:sz w:val="22"/>
              </w:rPr>
              <w:t>17724.55</w:t>
            </w:r>
          </w:p>
        </w:tc>
        <w:tc>
          <w:tcPr>
            <w:tcW w:w="0" w:type="auto"/>
            <w:tcBorders>
              <w:top w:val="single" w:color="000000" w:sz="4" w:space="0"/>
              <w:left w:val="nil"/>
              <w:bottom w:val="single" w:color="000000" w:sz="4" w:space="0"/>
              <w:right w:val="single" w:color="000000" w:sz="4" w:space="0"/>
            </w:tcBorders>
            <w:noWrap/>
            <w:vAlign w:val="center"/>
          </w:tcPr>
          <w:p w14:paraId="35F55E49">
            <w:pPr>
              <w:widowControl/>
              <w:ind w:firstLine="0" w:firstLineChars="0"/>
              <w:jc w:val="center"/>
              <w:textAlignment w:val="center"/>
              <w:rPr>
                <w:color w:val="000000"/>
                <w:sz w:val="22"/>
              </w:rPr>
            </w:pPr>
            <w:r>
              <w:rPr>
                <w:color w:val="000000"/>
                <w:kern w:val="0"/>
                <w:sz w:val="22"/>
              </w:rPr>
              <w:t>17832.32</w:t>
            </w:r>
          </w:p>
        </w:tc>
        <w:tc>
          <w:tcPr>
            <w:tcW w:w="0" w:type="auto"/>
            <w:tcBorders>
              <w:top w:val="single" w:color="000000" w:sz="4" w:space="0"/>
              <w:left w:val="nil"/>
              <w:bottom w:val="single" w:color="000000" w:sz="4" w:space="0"/>
              <w:right w:val="single" w:color="000000" w:sz="4" w:space="0"/>
            </w:tcBorders>
            <w:noWrap/>
            <w:vAlign w:val="center"/>
          </w:tcPr>
          <w:p w14:paraId="212EF083">
            <w:pPr>
              <w:widowControl/>
              <w:ind w:firstLine="0" w:firstLineChars="0"/>
              <w:jc w:val="center"/>
              <w:textAlignment w:val="center"/>
              <w:rPr>
                <w:color w:val="000000"/>
                <w:sz w:val="22"/>
              </w:rPr>
            </w:pPr>
            <w:r>
              <w:rPr>
                <w:color w:val="000000"/>
                <w:kern w:val="0"/>
                <w:sz w:val="22"/>
              </w:rPr>
              <w:t>18123.66</w:t>
            </w:r>
          </w:p>
        </w:tc>
        <w:tc>
          <w:tcPr>
            <w:tcW w:w="0" w:type="auto"/>
            <w:tcBorders>
              <w:top w:val="single" w:color="000000" w:sz="4" w:space="0"/>
              <w:left w:val="nil"/>
              <w:bottom w:val="single" w:color="000000" w:sz="4" w:space="0"/>
              <w:right w:val="single" w:color="000000" w:sz="4" w:space="0"/>
            </w:tcBorders>
            <w:noWrap/>
            <w:vAlign w:val="center"/>
          </w:tcPr>
          <w:p w14:paraId="20CD8AD6">
            <w:pPr>
              <w:widowControl/>
              <w:ind w:firstLine="0" w:firstLineChars="0"/>
              <w:jc w:val="center"/>
              <w:textAlignment w:val="center"/>
              <w:rPr>
                <w:color w:val="000000"/>
                <w:sz w:val="22"/>
              </w:rPr>
            </w:pPr>
            <w:r>
              <w:rPr>
                <w:color w:val="000000"/>
                <w:kern w:val="0"/>
                <w:sz w:val="22"/>
              </w:rPr>
              <w:t>19109.55</w:t>
            </w:r>
          </w:p>
        </w:tc>
        <w:tc>
          <w:tcPr>
            <w:tcW w:w="0" w:type="auto"/>
            <w:tcBorders>
              <w:top w:val="single" w:color="000000" w:sz="4" w:space="0"/>
              <w:left w:val="nil"/>
              <w:bottom w:val="single" w:color="000000" w:sz="4" w:space="0"/>
              <w:right w:val="single" w:color="000000" w:sz="4" w:space="0"/>
            </w:tcBorders>
            <w:noWrap/>
            <w:vAlign w:val="center"/>
          </w:tcPr>
          <w:p w14:paraId="085404E5">
            <w:pPr>
              <w:widowControl/>
              <w:ind w:firstLine="0" w:firstLineChars="0"/>
              <w:jc w:val="center"/>
              <w:textAlignment w:val="center"/>
              <w:rPr>
                <w:color w:val="000000"/>
                <w:sz w:val="22"/>
              </w:rPr>
            </w:pPr>
            <w:r>
              <w:rPr>
                <w:color w:val="000000"/>
                <w:kern w:val="0"/>
                <w:sz w:val="22"/>
              </w:rPr>
              <w:t>18872.74</w:t>
            </w:r>
          </w:p>
        </w:tc>
      </w:tr>
      <w:tr w14:paraId="068DC54A">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11D3C8D">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部门能源消费量</w:t>
            </w:r>
            <w:r>
              <w:rPr>
                <w:rFonts w:eastAsia="仿宋"/>
                <w:color w:val="000000"/>
                <w:kern w:val="0"/>
                <w:sz w:val="20"/>
                <w:szCs w:val="20"/>
              </w:rPr>
              <w:t xml:space="preserve">  X11-4</w:t>
            </w:r>
          </w:p>
        </w:tc>
        <w:tc>
          <w:tcPr>
            <w:tcW w:w="0" w:type="auto"/>
            <w:tcBorders>
              <w:top w:val="single" w:color="000000" w:sz="4" w:space="0"/>
              <w:left w:val="nil"/>
              <w:bottom w:val="single" w:color="000000" w:sz="4" w:space="0"/>
              <w:right w:val="single" w:color="000000" w:sz="4" w:space="0"/>
            </w:tcBorders>
            <w:noWrap/>
            <w:vAlign w:val="center"/>
          </w:tcPr>
          <w:p w14:paraId="59A88FFD">
            <w:pPr>
              <w:widowControl/>
              <w:ind w:firstLine="0" w:firstLineChars="0"/>
              <w:jc w:val="center"/>
              <w:textAlignment w:val="center"/>
              <w:rPr>
                <w:color w:val="000000"/>
                <w:sz w:val="22"/>
              </w:rPr>
            </w:pPr>
            <w:r>
              <w:rPr>
                <w:color w:val="000000"/>
                <w:kern w:val="0"/>
                <w:sz w:val="22"/>
              </w:rPr>
              <w:t>1398.26</w:t>
            </w:r>
          </w:p>
        </w:tc>
        <w:tc>
          <w:tcPr>
            <w:tcW w:w="0" w:type="auto"/>
            <w:tcBorders>
              <w:top w:val="single" w:color="000000" w:sz="4" w:space="0"/>
              <w:left w:val="nil"/>
              <w:bottom w:val="single" w:color="000000" w:sz="4" w:space="0"/>
              <w:right w:val="single" w:color="000000" w:sz="4" w:space="0"/>
            </w:tcBorders>
            <w:noWrap/>
            <w:vAlign w:val="center"/>
          </w:tcPr>
          <w:p w14:paraId="32A8C18B">
            <w:pPr>
              <w:widowControl/>
              <w:ind w:firstLine="0" w:firstLineChars="0"/>
              <w:jc w:val="center"/>
              <w:textAlignment w:val="center"/>
              <w:rPr>
                <w:color w:val="000000"/>
                <w:sz w:val="22"/>
              </w:rPr>
            </w:pPr>
            <w:r>
              <w:rPr>
                <w:color w:val="000000"/>
                <w:kern w:val="0"/>
                <w:sz w:val="22"/>
              </w:rPr>
              <w:t>1494.74</w:t>
            </w:r>
          </w:p>
        </w:tc>
        <w:tc>
          <w:tcPr>
            <w:tcW w:w="0" w:type="auto"/>
            <w:tcBorders>
              <w:top w:val="single" w:color="000000" w:sz="4" w:space="0"/>
              <w:left w:val="nil"/>
              <w:bottom w:val="single" w:color="000000" w:sz="4" w:space="0"/>
              <w:right w:val="single" w:color="000000" w:sz="4" w:space="0"/>
            </w:tcBorders>
            <w:noWrap/>
            <w:vAlign w:val="center"/>
          </w:tcPr>
          <w:p w14:paraId="0F15AE44">
            <w:pPr>
              <w:widowControl/>
              <w:ind w:firstLine="0" w:firstLineChars="0"/>
              <w:jc w:val="center"/>
              <w:textAlignment w:val="center"/>
              <w:rPr>
                <w:color w:val="000000"/>
                <w:sz w:val="22"/>
              </w:rPr>
            </w:pPr>
            <w:r>
              <w:rPr>
                <w:color w:val="000000"/>
                <w:kern w:val="0"/>
                <w:sz w:val="22"/>
              </w:rPr>
              <w:t>1618.15</w:t>
            </w:r>
          </w:p>
        </w:tc>
        <w:tc>
          <w:tcPr>
            <w:tcW w:w="0" w:type="auto"/>
            <w:tcBorders>
              <w:top w:val="single" w:color="000000" w:sz="4" w:space="0"/>
              <w:left w:val="nil"/>
              <w:bottom w:val="single" w:color="000000" w:sz="4" w:space="0"/>
              <w:right w:val="single" w:color="000000" w:sz="4" w:space="0"/>
            </w:tcBorders>
            <w:noWrap/>
            <w:vAlign w:val="center"/>
          </w:tcPr>
          <w:p w14:paraId="4DCB2618">
            <w:pPr>
              <w:widowControl/>
              <w:ind w:firstLine="0" w:firstLineChars="0"/>
              <w:jc w:val="center"/>
              <w:textAlignment w:val="center"/>
              <w:rPr>
                <w:color w:val="000000"/>
                <w:sz w:val="22"/>
              </w:rPr>
            </w:pPr>
            <w:r>
              <w:rPr>
                <w:color w:val="000000"/>
                <w:kern w:val="0"/>
                <w:sz w:val="22"/>
              </w:rPr>
              <w:t>1743.67</w:t>
            </w:r>
          </w:p>
        </w:tc>
        <w:tc>
          <w:tcPr>
            <w:tcW w:w="0" w:type="auto"/>
            <w:tcBorders>
              <w:top w:val="single" w:color="000000" w:sz="4" w:space="0"/>
              <w:left w:val="nil"/>
              <w:bottom w:val="single" w:color="000000" w:sz="4" w:space="0"/>
              <w:right w:val="single" w:color="000000" w:sz="4" w:space="0"/>
            </w:tcBorders>
            <w:noWrap/>
            <w:vAlign w:val="center"/>
          </w:tcPr>
          <w:p w14:paraId="058133D3">
            <w:pPr>
              <w:widowControl/>
              <w:ind w:firstLine="0" w:firstLineChars="0"/>
              <w:jc w:val="center"/>
              <w:textAlignment w:val="center"/>
              <w:rPr>
                <w:color w:val="000000"/>
                <w:sz w:val="22"/>
              </w:rPr>
            </w:pPr>
            <w:r>
              <w:rPr>
                <w:color w:val="000000"/>
                <w:kern w:val="0"/>
                <w:sz w:val="22"/>
              </w:rPr>
              <w:t>1915.88</w:t>
            </w:r>
          </w:p>
        </w:tc>
        <w:tc>
          <w:tcPr>
            <w:tcW w:w="0" w:type="auto"/>
            <w:tcBorders>
              <w:top w:val="single" w:color="000000" w:sz="4" w:space="0"/>
              <w:left w:val="nil"/>
              <w:bottom w:val="single" w:color="000000" w:sz="4" w:space="0"/>
              <w:right w:val="single" w:color="000000" w:sz="4" w:space="0"/>
            </w:tcBorders>
            <w:noWrap/>
            <w:vAlign w:val="center"/>
          </w:tcPr>
          <w:p w14:paraId="48ADD59B">
            <w:pPr>
              <w:widowControl/>
              <w:ind w:firstLine="0" w:firstLineChars="0"/>
              <w:jc w:val="center"/>
              <w:textAlignment w:val="center"/>
              <w:rPr>
                <w:color w:val="000000"/>
                <w:sz w:val="22"/>
              </w:rPr>
            </w:pPr>
            <w:r>
              <w:rPr>
                <w:color w:val="000000"/>
                <w:kern w:val="0"/>
                <w:sz w:val="22"/>
              </w:rPr>
              <w:t>2019.29</w:t>
            </w:r>
          </w:p>
        </w:tc>
        <w:tc>
          <w:tcPr>
            <w:tcW w:w="0" w:type="auto"/>
            <w:tcBorders>
              <w:top w:val="single" w:color="000000" w:sz="4" w:space="0"/>
              <w:left w:val="nil"/>
              <w:bottom w:val="single" w:color="000000" w:sz="4" w:space="0"/>
              <w:right w:val="single" w:color="000000" w:sz="4" w:space="0"/>
            </w:tcBorders>
            <w:noWrap/>
            <w:vAlign w:val="center"/>
          </w:tcPr>
          <w:p w14:paraId="4FE87EBD">
            <w:pPr>
              <w:widowControl/>
              <w:ind w:firstLine="0" w:firstLineChars="0"/>
              <w:jc w:val="center"/>
              <w:textAlignment w:val="center"/>
              <w:rPr>
                <w:color w:val="000000"/>
                <w:sz w:val="22"/>
              </w:rPr>
            </w:pPr>
            <w:r>
              <w:rPr>
                <w:color w:val="000000"/>
                <w:kern w:val="0"/>
                <w:sz w:val="22"/>
              </w:rPr>
              <w:t>2083.59</w:t>
            </w:r>
          </w:p>
        </w:tc>
        <w:tc>
          <w:tcPr>
            <w:tcW w:w="0" w:type="auto"/>
            <w:tcBorders>
              <w:top w:val="single" w:color="000000" w:sz="4" w:space="0"/>
              <w:left w:val="nil"/>
              <w:bottom w:val="single" w:color="000000" w:sz="4" w:space="0"/>
              <w:right w:val="single" w:color="000000" w:sz="4" w:space="0"/>
            </w:tcBorders>
            <w:noWrap/>
            <w:vAlign w:val="center"/>
          </w:tcPr>
          <w:p w14:paraId="2552F3ED">
            <w:pPr>
              <w:widowControl/>
              <w:ind w:firstLine="0" w:firstLineChars="0"/>
              <w:jc w:val="center"/>
              <w:textAlignment w:val="center"/>
              <w:rPr>
                <w:color w:val="000000"/>
                <w:sz w:val="22"/>
              </w:rPr>
            </w:pPr>
            <w:r>
              <w:rPr>
                <w:color w:val="000000"/>
                <w:kern w:val="0"/>
                <w:sz w:val="22"/>
              </w:rPr>
              <w:t>2187.96</w:t>
            </w:r>
          </w:p>
        </w:tc>
        <w:tc>
          <w:tcPr>
            <w:tcW w:w="0" w:type="auto"/>
            <w:tcBorders>
              <w:top w:val="single" w:color="000000" w:sz="4" w:space="0"/>
              <w:left w:val="nil"/>
              <w:bottom w:val="single" w:color="000000" w:sz="4" w:space="0"/>
              <w:right w:val="single" w:color="000000" w:sz="4" w:space="0"/>
            </w:tcBorders>
            <w:noWrap/>
            <w:vAlign w:val="center"/>
          </w:tcPr>
          <w:p w14:paraId="7A6487B6">
            <w:pPr>
              <w:widowControl/>
              <w:ind w:firstLine="0" w:firstLineChars="0"/>
              <w:jc w:val="center"/>
              <w:textAlignment w:val="center"/>
              <w:rPr>
                <w:color w:val="000000"/>
                <w:sz w:val="22"/>
              </w:rPr>
            </w:pPr>
            <w:r>
              <w:rPr>
                <w:color w:val="000000"/>
                <w:kern w:val="0"/>
                <w:sz w:val="22"/>
              </w:rPr>
              <w:t>2324.65</w:t>
            </w:r>
          </w:p>
        </w:tc>
        <w:tc>
          <w:tcPr>
            <w:tcW w:w="0" w:type="auto"/>
            <w:tcBorders>
              <w:top w:val="single" w:color="000000" w:sz="4" w:space="0"/>
              <w:left w:val="nil"/>
              <w:bottom w:val="single" w:color="000000" w:sz="4" w:space="0"/>
              <w:right w:val="single" w:color="000000" w:sz="4" w:space="0"/>
            </w:tcBorders>
            <w:noWrap/>
            <w:vAlign w:val="center"/>
          </w:tcPr>
          <w:p w14:paraId="7DB74F4B">
            <w:pPr>
              <w:widowControl/>
              <w:ind w:firstLine="0" w:firstLineChars="0"/>
              <w:jc w:val="center"/>
              <w:textAlignment w:val="center"/>
              <w:rPr>
                <w:color w:val="000000"/>
                <w:sz w:val="22"/>
              </w:rPr>
            </w:pPr>
            <w:r>
              <w:rPr>
                <w:color w:val="000000"/>
                <w:kern w:val="0"/>
                <w:sz w:val="22"/>
              </w:rPr>
              <w:t>2482.93</w:t>
            </w:r>
          </w:p>
        </w:tc>
        <w:tc>
          <w:tcPr>
            <w:tcW w:w="0" w:type="auto"/>
            <w:tcBorders>
              <w:top w:val="single" w:color="000000" w:sz="4" w:space="0"/>
              <w:left w:val="nil"/>
              <w:bottom w:val="single" w:color="000000" w:sz="4" w:space="0"/>
              <w:right w:val="single" w:color="000000" w:sz="4" w:space="0"/>
            </w:tcBorders>
            <w:noWrap/>
            <w:vAlign w:val="center"/>
          </w:tcPr>
          <w:p w14:paraId="7C69EBF3">
            <w:pPr>
              <w:widowControl/>
              <w:ind w:firstLine="0" w:firstLineChars="0"/>
              <w:jc w:val="center"/>
              <w:textAlignment w:val="center"/>
              <w:rPr>
                <w:color w:val="000000"/>
                <w:sz w:val="22"/>
              </w:rPr>
            </w:pPr>
            <w:r>
              <w:rPr>
                <w:color w:val="000000"/>
                <w:kern w:val="0"/>
                <w:sz w:val="22"/>
              </w:rPr>
              <w:t>2484.47</w:t>
            </w:r>
          </w:p>
        </w:tc>
      </w:tr>
      <w:tr w14:paraId="01B8F1CD">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7D64CAD">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部门能源消费量</w:t>
            </w:r>
            <w:r>
              <w:rPr>
                <w:rFonts w:eastAsia="仿宋"/>
                <w:color w:val="000000"/>
                <w:kern w:val="0"/>
                <w:sz w:val="20"/>
                <w:szCs w:val="20"/>
              </w:rPr>
              <w:t xml:space="preserve">  X11-5</w:t>
            </w:r>
          </w:p>
        </w:tc>
        <w:tc>
          <w:tcPr>
            <w:tcW w:w="0" w:type="auto"/>
            <w:tcBorders>
              <w:top w:val="single" w:color="000000" w:sz="4" w:space="0"/>
              <w:left w:val="nil"/>
              <w:bottom w:val="single" w:color="000000" w:sz="4" w:space="0"/>
              <w:right w:val="single" w:color="000000" w:sz="4" w:space="0"/>
            </w:tcBorders>
            <w:noWrap/>
            <w:vAlign w:val="center"/>
          </w:tcPr>
          <w:p w14:paraId="43484371">
            <w:pPr>
              <w:widowControl/>
              <w:ind w:firstLine="0" w:firstLineChars="0"/>
              <w:jc w:val="center"/>
              <w:textAlignment w:val="center"/>
              <w:rPr>
                <w:color w:val="000000"/>
                <w:sz w:val="22"/>
              </w:rPr>
            </w:pPr>
            <w:r>
              <w:rPr>
                <w:color w:val="000000"/>
                <w:kern w:val="0"/>
                <w:sz w:val="22"/>
              </w:rPr>
              <w:t>534.58</w:t>
            </w:r>
          </w:p>
        </w:tc>
        <w:tc>
          <w:tcPr>
            <w:tcW w:w="0" w:type="auto"/>
            <w:tcBorders>
              <w:top w:val="single" w:color="000000" w:sz="4" w:space="0"/>
              <w:left w:val="nil"/>
              <w:bottom w:val="single" w:color="000000" w:sz="4" w:space="0"/>
              <w:right w:val="single" w:color="000000" w:sz="4" w:space="0"/>
            </w:tcBorders>
            <w:noWrap/>
            <w:vAlign w:val="center"/>
          </w:tcPr>
          <w:p w14:paraId="4650218A">
            <w:pPr>
              <w:widowControl/>
              <w:ind w:firstLine="0" w:firstLineChars="0"/>
              <w:jc w:val="center"/>
              <w:textAlignment w:val="center"/>
              <w:rPr>
                <w:color w:val="000000"/>
                <w:sz w:val="22"/>
              </w:rPr>
            </w:pPr>
            <w:r>
              <w:rPr>
                <w:color w:val="000000"/>
                <w:kern w:val="0"/>
                <w:sz w:val="22"/>
              </w:rPr>
              <w:t>620.83</w:t>
            </w:r>
          </w:p>
        </w:tc>
        <w:tc>
          <w:tcPr>
            <w:tcW w:w="0" w:type="auto"/>
            <w:tcBorders>
              <w:top w:val="single" w:color="000000" w:sz="4" w:space="0"/>
              <w:left w:val="nil"/>
              <w:bottom w:val="single" w:color="000000" w:sz="4" w:space="0"/>
              <w:right w:val="single" w:color="000000" w:sz="4" w:space="0"/>
            </w:tcBorders>
            <w:noWrap/>
            <w:vAlign w:val="center"/>
          </w:tcPr>
          <w:p w14:paraId="0B237CA9">
            <w:pPr>
              <w:widowControl/>
              <w:ind w:firstLine="0" w:firstLineChars="0"/>
              <w:jc w:val="center"/>
              <w:textAlignment w:val="center"/>
              <w:rPr>
                <w:color w:val="000000"/>
                <w:sz w:val="22"/>
              </w:rPr>
            </w:pPr>
            <w:r>
              <w:rPr>
                <w:color w:val="000000"/>
                <w:kern w:val="0"/>
                <w:sz w:val="22"/>
              </w:rPr>
              <w:t>690.81</w:t>
            </w:r>
          </w:p>
        </w:tc>
        <w:tc>
          <w:tcPr>
            <w:tcW w:w="0" w:type="auto"/>
            <w:tcBorders>
              <w:top w:val="single" w:color="000000" w:sz="4" w:space="0"/>
              <w:left w:val="nil"/>
              <w:bottom w:val="single" w:color="000000" w:sz="4" w:space="0"/>
              <w:right w:val="single" w:color="000000" w:sz="4" w:space="0"/>
            </w:tcBorders>
            <w:noWrap/>
            <w:vAlign w:val="center"/>
          </w:tcPr>
          <w:p w14:paraId="6B72047B">
            <w:pPr>
              <w:widowControl/>
              <w:ind w:firstLine="0" w:firstLineChars="0"/>
              <w:jc w:val="center"/>
              <w:textAlignment w:val="center"/>
              <w:rPr>
                <w:color w:val="000000"/>
                <w:sz w:val="22"/>
              </w:rPr>
            </w:pPr>
            <w:r>
              <w:rPr>
                <w:color w:val="000000"/>
                <w:kern w:val="0"/>
                <w:sz w:val="22"/>
              </w:rPr>
              <w:t>738.21</w:t>
            </w:r>
          </w:p>
        </w:tc>
        <w:tc>
          <w:tcPr>
            <w:tcW w:w="0" w:type="auto"/>
            <w:tcBorders>
              <w:top w:val="single" w:color="000000" w:sz="4" w:space="0"/>
              <w:left w:val="nil"/>
              <w:bottom w:val="single" w:color="000000" w:sz="4" w:space="0"/>
              <w:right w:val="single" w:color="000000" w:sz="4" w:space="0"/>
            </w:tcBorders>
            <w:noWrap/>
            <w:vAlign w:val="center"/>
          </w:tcPr>
          <w:p w14:paraId="1022DF84">
            <w:pPr>
              <w:widowControl/>
              <w:ind w:firstLine="0" w:firstLineChars="0"/>
              <w:jc w:val="center"/>
              <w:textAlignment w:val="center"/>
              <w:rPr>
                <w:color w:val="000000"/>
                <w:sz w:val="22"/>
              </w:rPr>
            </w:pPr>
            <w:r>
              <w:rPr>
                <w:color w:val="000000"/>
                <w:kern w:val="0"/>
                <w:sz w:val="22"/>
              </w:rPr>
              <w:t>728.32</w:t>
            </w:r>
          </w:p>
        </w:tc>
        <w:tc>
          <w:tcPr>
            <w:tcW w:w="0" w:type="auto"/>
            <w:tcBorders>
              <w:top w:val="single" w:color="000000" w:sz="4" w:space="0"/>
              <w:left w:val="nil"/>
              <w:bottom w:val="single" w:color="000000" w:sz="4" w:space="0"/>
              <w:right w:val="single" w:color="000000" w:sz="4" w:space="0"/>
            </w:tcBorders>
            <w:noWrap/>
            <w:vAlign w:val="center"/>
          </w:tcPr>
          <w:p w14:paraId="24E5961C">
            <w:pPr>
              <w:widowControl/>
              <w:ind w:firstLine="0" w:firstLineChars="0"/>
              <w:jc w:val="center"/>
              <w:textAlignment w:val="center"/>
              <w:rPr>
                <w:color w:val="000000"/>
                <w:sz w:val="22"/>
              </w:rPr>
            </w:pPr>
            <w:r>
              <w:rPr>
                <w:color w:val="000000"/>
                <w:kern w:val="0"/>
                <w:sz w:val="22"/>
              </w:rPr>
              <w:t>756.83</w:t>
            </w:r>
          </w:p>
        </w:tc>
        <w:tc>
          <w:tcPr>
            <w:tcW w:w="0" w:type="auto"/>
            <w:tcBorders>
              <w:top w:val="single" w:color="000000" w:sz="4" w:space="0"/>
              <w:left w:val="nil"/>
              <w:bottom w:val="single" w:color="000000" w:sz="4" w:space="0"/>
              <w:right w:val="single" w:color="000000" w:sz="4" w:space="0"/>
            </w:tcBorders>
            <w:noWrap/>
            <w:vAlign w:val="center"/>
          </w:tcPr>
          <w:p w14:paraId="16BC6AC5">
            <w:pPr>
              <w:widowControl/>
              <w:ind w:firstLine="0" w:firstLineChars="0"/>
              <w:jc w:val="center"/>
              <w:textAlignment w:val="center"/>
              <w:rPr>
                <w:color w:val="000000"/>
                <w:sz w:val="22"/>
              </w:rPr>
            </w:pPr>
            <w:r>
              <w:rPr>
                <w:color w:val="000000"/>
                <w:kern w:val="0"/>
                <w:sz w:val="22"/>
              </w:rPr>
              <w:t>794.94</w:t>
            </w:r>
          </w:p>
        </w:tc>
        <w:tc>
          <w:tcPr>
            <w:tcW w:w="0" w:type="auto"/>
            <w:tcBorders>
              <w:top w:val="single" w:color="000000" w:sz="4" w:space="0"/>
              <w:left w:val="nil"/>
              <w:bottom w:val="single" w:color="000000" w:sz="4" w:space="0"/>
              <w:right w:val="single" w:color="000000" w:sz="4" w:space="0"/>
            </w:tcBorders>
            <w:noWrap/>
            <w:vAlign w:val="center"/>
          </w:tcPr>
          <w:p w14:paraId="5558BCB1">
            <w:pPr>
              <w:widowControl/>
              <w:ind w:firstLine="0" w:firstLineChars="0"/>
              <w:jc w:val="center"/>
              <w:textAlignment w:val="center"/>
              <w:rPr>
                <w:color w:val="000000"/>
                <w:sz w:val="22"/>
              </w:rPr>
            </w:pPr>
            <w:r>
              <w:rPr>
                <w:color w:val="000000"/>
                <w:kern w:val="0"/>
                <w:sz w:val="22"/>
              </w:rPr>
              <w:t>861.24</w:t>
            </w:r>
          </w:p>
        </w:tc>
        <w:tc>
          <w:tcPr>
            <w:tcW w:w="0" w:type="auto"/>
            <w:tcBorders>
              <w:top w:val="single" w:color="000000" w:sz="4" w:space="0"/>
              <w:left w:val="nil"/>
              <w:bottom w:val="single" w:color="000000" w:sz="4" w:space="0"/>
              <w:right w:val="single" w:color="000000" w:sz="4" w:space="0"/>
            </w:tcBorders>
            <w:noWrap/>
            <w:vAlign w:val="center"/>
          </w:tcPr>
          <w:p w14:paraId="484BA3D3">
            <w:pPr>
              <w:widowControl/>
              <w:ind w:firstLine="0" w:firstLineChars="0"/>
              <w:jc w:val="center"/>
              <w:textAlignment w:val="center"/>
              <w:rPr>
                <w:color w:val="000000"/>
                <w:sz w:val="22"/>
              </w:rPr>
            </w:pPr>
            <w:r>
              <w:rPr>
                <w:color w:val="000000"/>
                <w:kern w:val="0"/>
                <w:sz w:val="22"/>
              </w:rPr>
              <w:t>976.14</w:t>
            </w:r>
          </w:p>
        </w:tc>
        <w:tc>
          <w:tcPr>
            <w:tcW w:w="0" w:type="auto"/>
            <w:tcBorders>
              <w:top w:val="single" w:color="000000" w:sz="4" w:space="0"/>
              <w:left w:val="nil"/>
              <w:bottom w:val="single" w:color="000000" w:sz="4" w:space="0"/>
              <w:right w:val="single" w:color="000000" w:sz="4" w:space="0"/>
            </w:tcBorders>
            <w:noWrap/>
            <w:vAlign w:val="center"/>
          </w:tcPr>
          <w:p w14:paraId="18D8A11C">
            <w:pPr>
              <w:widowControl/>
              <w:ind w:firstLine="0" w:firstLineChars="0"/>
              <w:jc w:val="center"/>
              <w:textAlignment w:val="center"/>
              <w:rPr>
                <w:color w:val="000000"/>
                <w:sz w:val="22"/>
              </w:rPr>
            </w:pPr>
            <w:r>
              <w:rPr>
                <w:color w:val="000000"/>
                <w:kern w:val="0"/>
                <w:sz w:val="22"/>
              </w:rPr>
              <w:t>1039.46</w:t>
            </w:r>
          </w:p>
        </w:tc>
        <w:tc>
          <w:tcPr>
            <w:tcW w:w="0" w:type="auto"/>
            <w:tcBorders>
              <w:top w:val="single" w:color="000000" w:sz="4" w:space="0"/>
              <w:left w:val="nil"/>
              <w:bottom w:val="single" w:color="000000" w:sz="4" w:space="0"/>
              <w:right w:val="single" w:color="000000" w:sz="4" w:space="0"/>
            </w:tcBorders>
            <w:noWrap/>
            <w:vAlign w:val="center"/>
          </w:tcPr>
          <w:p w14:paraId="49A95F47">
            <w:pPr>
              <w:widowControl/>
              <w:ind w:firstLine="0" w:firstLineChars="0"/>
              <w:jc w:val="center"/>
              <w:textAlignment w:val="center"/>
              <w:rPr>
                <w:color w:val="000000"/>
                <w:sz w:val="22"/>
              </w:rPr>
            </w:pPr>
            <w:r>
              <w:rPr>
                <w:color w:val="000000"/>
                <w:kern w:val="0"/>
                <w:sz w:val="22"/>
              </w:rPr>
              <w:t>1023.15</w:t>
            </w:r>
          </w:p>
        </w:tc>
      </w:tr>
      <w:tr w14:paraId="4A69EEAE">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20F222">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部门能源消费量</w:t>
            </w:r>
            <w:r>
              <w:rPr>
                <w:rFonts w:eastAsia="仿宋"/>
                <w:color w:val="000000"/>
                <w:kern w:val="0"/>
                <w:sz w:val="20"/>
                <w:szCs w:val="20"/>
              </w:rPr>
              <w:t xml:space="preserve">  X11-6</w:t>
            </w:r>
          </w:p>
        </w:tc>
        <w:tc>
          <w:tcPr>
            <w:tcW w:w="0" w:type="auto"/>
            <w:tcBorders>
              <w:top w:val="single" w:color="000000" w:sz="4" w:space="0"/>
              <w:left w:val="nil"/>
              <w:bottom w:val="single" w:color="000000" w:sz="4" w:space="0"/>
              <w:right w:val="single" w:color="000000" w:sz="4" w:space="0"/>
            </w:tcBorders>
            <w:noWrap/>
            <w:vAlign w:val="center"/>
          </w:tcPr>
          <w:p w14:paraId="1DF5BFB9">
            <w:pPr>
              <w:widowControl/>
              <w:ind w:firstLine="0" w:firstLineChars="0"/>
              <w:jc w:val="center"/>
              <w:textAlignment w:val="center"/>
              <w:rPr>
                <w:color w:val="000000"/>
                <w:sz w:val="22"/>
              </w:rPr>
            </w:pPr>
            <w:r>
              <w:rPr>
                <w:color w:val="000000"/>
                <w:kern w:val="0"/>
                <w:sz w:val="22"/>
              </w:rPr>
              <w:t>1148.05</w:t>
            </w:r>
          </w:p>
        </w:tc>
        <w:tc>
          <w:tcPr>
            <w:tcW w:w="0" w:type="auto"/>
            <w:tcBorders>
              <w:top w:val="single" w:color="000000" w:sz="4" w:space="0"/>
              <w:left w:val="nil"/>
              <w:bottom w:val="single" w:color="000000" w:sz="4" w:space="0"/>
              <w:right w:val="single" w:color="000000" w:sz="4" w:space="0"/>
            </w:tcBorders>
            <w:noWrap/>
            <w:vAlign w:val="center"/>
          </w:tcPr>
          <w:p w14:paraId="77C8DD9E">
            <w:pPr>
              <w:widowControl/>
              <w:ind w:firstLine="0" w:firstLineChars="0"/>
              <w:jc w:val="center"/>
              <w:textAlignment w:val="center"/>
              <w:rPr>
                <w:color w:val="000000"/>
                <w:sz w:val="22"/>
              </w:rPr>
            </w:pPr>
            <w:r>
              <w:rPr>
                <w:color w:val="000000"/>
                <w:kern w:val="0"/>
                <w:sz w:val="22"/>
              </w:rPr>
              <w:t>1205.13</w:t>
            </w:r>
          </w:p>
        </w:tc>
        <w:tc>
          <w:tcPr>
            <w:tcW w:w="0" w:type="auto"/>
            <w:tcBorders>
              <w:top w:val="single" w:color="000000" w:sz="4" w:space="0"/>
              <w:left w:val="nil"/>
              <w:bottom w:val="single" w:color="000000" w:sz="4" w:space="0"/>
              <w:right w:val="single" w:color="000000" w:sz="4" w:space="0"/>
            </w:tcBorders>
            <w:noWrap/>
            <w:vAlign w:val="center"/>
          </w:tcPr>
          <w:p w14:paraId="6FEAE630">
            <w:pPr>
              <w:widowControl/>
              <w:ind w:firstLine="0" w:firstLineChars="0"/>
              <w:jc w:val="center"/>
              <w:textAlignment w:val="center"/>
              <w:rPr>
                <w:color w:val="000000"/>
                <w:sz w:val="22"/>
              </w:rPr>
            </w:pPr>
            <w:r>
              <w:rPr>
                <w:color w:val="000000"/>
                <w:kern w:val="0"/>
                <w:sz w:val="22"/>
              </w:rPr>
              <w:t>1372.09</w:t>
            </w:r>
          </w:p>
        </w:tc>
        <w:tc>
          <w:tcPr>
            <w:tcW w:w="0" w:type="auto"/>
            <w:tcBorders>
              <w:top w:val="single" w:color="000000" w:sz="4" w:space="0"/>
              <w:left w:val="nil"/>
              <w:bottom w:val="single" w:color="000000" w:sz="4" w:space="0"/>
              <w:right w:val="single" w:color="000000" w:sz="4" w:space="0"/>
            </w:tcBorders>
            <w:noWrap/>
            <w:vAlign w:val="center"/>
          </w:tcPr>
          <w:p w14:paraId="218DBFF1">
            <w:pPr>
              <w:widowControl/>
              <w:ind w:firstLine="0" w:firstLineChars="0"/>
              <w:jc w:val="center"/>
              <w:textAlignment w:val="center"/>
              <w:rPr>
                <w:color w:val="000000"/>
                <w:sz w:val="22"/>
              </w:rPr>
            </w:pPr>
            <w:r>
              <w:rPr>
                <w:color w:val="000000"/>
                <w:kern w:val="0"/>
                <w:sz w:val="22"/>
              </w:rPr>
              <w:t>1469.91</w:t>
            </w:r>
          </w:p>
        </w:tc>
        <w:tc>
          <w:tcPr>
            <w:tcW w:w="0" w:type="auto"/>
            <w:tcBorders>
              <w:top w:val="single" w:color="000000" w:sz="4" w:space="0"/>
              <w:left w:val="nil"/>
              <w:bottom w:val="single" w:color="000000" w:sz="4" w:space="0"/>
              <w:right w:val="single" w:color="000000" w:sz="4" w:space="0"/>
            </w:tcBorders>
            <w:noWrap/>
            <w:vAlign w:val="center"/>
          </w:tcPr>
          <w:p w14:paraId="560947CE">
            <w:pPr>
              <w:widowControl/>
              <w:ind w:firstLine="0" w:firstLineChars="0"/>
              <w:jc w:val="center"/>
              <w:textAlignment w:val="center"/>
              <w:rPr>
                <w:color w:val="000000"/>
                <w:sz w:val="22"/>
              </w:rPr>
            </w:pPr>
            <w:r>
              <w:rPr>
                <w:color w:val="000000"/>
                <w:kern w:val="0"/>
                <w:sz w:val="22"/>
              </w:rPr>
              <w:t>1472.45</w:t>
            </w:r>
          </w:p>
        </w:tc>
        <w:tc>
          <w:tcPr>
            <w:tcW w:w="0" w:type="auto"/>
            <w:tcBorders>
              <w:top w:val="single" w:color="000000" w:sz="4" w:space="0"/>
              <w:left w:val="nil"/>
              <w:bottom w:val="single" w:color="000000" w:sz="4" w:space="0"/>
              <w:right w:val="single" w:color="000000" w:sz="4" w:space="0"/>
            </w:tcBorders>
            <w:noWrap/>
            <w:vAlign w:val="center"/>
          </w:tcPr>
          <w:p w14:paraId="3D14A013">
            <w:pPr>
              <w:widowControl/>
              <w:ind w:firstLine="0" w:firstLineChars="0"/>
              <w:jc w:val="center"/>
              <w:textAlignment w:val="center"/>
              <w:rPr>
                <w:color w:val="000000"/>
                <w:sz w:val="22"/>
              </w:rPr>
            </w:pPr>
            <w:r>
              <w:rPr>
                <w:color w:val="000000"/>
                <w:kern w:val="0"/>
                <w:sz w:val="22"/>
              </w:rPr>
              <w:t>1566.16</w:t>
            </w:r>
          </w:p>
        </w:tc>
        <w:tc>
          <w:tcPr>
            <w:tcW w:w="0" w:type="auto"/>
            <w:tcBorders>
              <w:top w:val="single" w:color="000000" w:sz="4" w:space="0"/>
              <w:left w:val="nil"/>
              <w:bottom w:val="single" w:color="000000" w:sz="4" w:space="0"/>
              <w:right w:val="single" w:color="000000" w:sz="4" w:space="0"/>
            </w:tcBorders>
            <w:noWrap/>
            <w:vAlign w:val="center"/>
          </w:tcPr>
          <w:p w14:paraId="5B4DC481">
            <w:pPr>
              <w:widowControl/>
              <w:ind w:firstLine="0" w:firstLineChars="0"/>
              <w:jc w:val="center"/>
              <w:textAlignment w:val="center"/>
              <w:rPr>
                <w:color w:val="000000"/>
                <w:sz w:val="22"/>
              </w:rPr>
            </w:pPr>
            <w:r>
              <w:rPr>
                <w:color w:val="000000"/>
                <w:kern w:val="0"/>
                <w:sz w:val="22"/>
              </w:rPr>
              <w:t>1706.31</w:t>
            </w:r>
          </w:p>
        </w:tc>
        <w:tc>
          <w:tcPr>
            <w:tcW w:w="0" w:type="auto"/>
            <w:tcBorders>
              <w:top w:val="single" w:color="000000" w:sz="4" w:space="0"/>
              <w:left w:val="nil"/>
              <w:bottom w:val="single" w:color="000000" w:sz="4" w:space="0"/>
              <w:right w:val="single" w:color="000000" w:sz="4" w:space="0"/>
            </w:tcBorders>
            <w:noWrap/>
            <w:vAlign w:val="center"/>
          </w:tcPr>
          <w:p w14:paraId="51786D44">
            <w:pPr>
              <w:widowControl/>
              <w:ind w:firstLine="0" w:firstLineChars="0"/>
              <w:jc w:val="center"/>
              <w:textAlignment w:val="center"/>
              <w:rPr>
                <w:color w:val="000000"/>
                <w:sz w:val="22"/>
              </w:rPr>
            </w:pPr>
            <w:r>
              <w:rPr>
                <w:color w:val="000000"/>
                <w:kern w:val="0"/>
                <w:sz w:val="22"/>
              </w:rPr>
              <w:t>1862.64</w:t>
            </w:r>
          </w:p>
        </w:tc>
        <w:tc>
          <w:tcPr>
            <w:tcW w:w="0" w:type="auto"/>
            <w:tcBorders>
              <w:top w:val="single" w:color="000000" w:sz="4" w:space="0"/>
              <w:left w:val="nil"/>
              <w:bottom w:val="single" w:color="000000" w:sz="4" w:space="0"/>
              <w:right w:val="single" w:color="000000" w:sz="4" w:space="0"/>
            </w:tcBorders>
            <w:noWrap/>
            <w:vAlign w:val="center"/>
          </w:tcPr>
          <w:p w14:paraId="1404B2D5">
            <w:pPr>
              <w:widowControl/>
              <w:ind w:firstLine="0" w:firstLineChars="0"/>
              <w:jc w:val="center"/>
              <w:textAlignment w:val="center"/>
              <w:rPr>
                <w:color w:val="000000"/>
                <w:sz w:val="22"/>
              </w:rPr>
            </w:pPr>
            <w:r>
              <w:rPr>
                <w:color w:val="000000"/>
                <w:kern w:val="0"/>
                <w:sz w:val="22"/>
              </w:rPr>
              <w:t>2033.69</w:t>
            </w:r>
          </w:p>
        </w:tc>
        <w:tc>
          <w:tcPr>
            <w:tcW w:w="0" w:type="auto"/>
            <w:tcBorders>
              <w:top w:val="single" w:color="000000" w:sz="4" w:space="0"/>
              <w:left w:val="nil"/>
              <w:bottom w:val="single" w:color="000000" w:sz="4" w:space="0"/>
              <w:right w:val="single" w:color="000000" w:sz="4" w:space="0"/>
            </w:tcBorders>
            <w:noWrap/>
            <w:vAlign w:val="center"/>
          </w:tcPr>
          <w:p w14:paraId="134D42CA">
            <w:pPr>
              <w:widowControl/>
              <w:ind w:firstLine="0" w:firstLineChars="0"/>
              <w:jc w:val="center"/>
              <w:textAlignment w:val="center"/>
              <w:rPr>
                <w:color w:val="000000"/>
                <w:sz w:val="22"/>
              </w:rPr>
            </w:pPr>
            <w:r>
              <w:rPr>
                <w:color w:val="000000"/>
                <w:kern w:val="0"/>
                <w:sz w:val="22"/>
              </w:rPr>
              <w:t>2070.43</w:t>
            </w:r>
          </w:p>
        </w:tc>
        <w:tc>
          <w:tcPr>
            <w:tcW w:w="0" w:type="auto"/>
            <w:tcBorders>
              <w:top w:val="single" w:color="000000" w:sz="4" w:space="0"/>
              <w:left w:val="nil"/>
              <w:bottom w:val="single" w:color="000000" w:sz="4" w:space="0"/>
              <w:right w:val="single" w:color="000000" w:sz="4" w:space="0"/>
            </w:tcBorders>
            <w:noWrap/>
            <w:vAlign w:val="center"/>
          </w:tcPr>
          <w:p w14:paraId="1607F5B5">
            <w:pPr>
              <w:widowControl/>
              <w:ind w:firstLine="0" w:firstLineChars="0"/>
              <w:jc w:val="center"/>
              <w:textAlignment w:val="center"/>
              <w:rPr>
                <w:color w:val="000000"/>
                <w:sz w:val="22"/>
              </w:rPr>
            </w:pPr>
            <w:r>
              <w:rPr>
                <w:color w:val="000000"/>
                <w:kern w:val="0"/>
                <w:sz w:val="22"/>
              </w:rPr>
              <w:t>2180.60</w:t>
            </w:r>
          </w:p>
        </w:tc>
      </w:tr>
      <w:tr w14:paraId="648A8181">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F65F74">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部门石化能源碳排放因子</w:t>
            </w:r>
            <w:r>
              <w:rPr>
                <w:rFonts w:eastAsia="仿宋"/>
                <w:color w:val="000000"/>
                <w:kern w:val="0"/>
                <w:sz w:val="20"/>
                <w:szCs w:val="20"/>
              </w:rPr>
              <w:t xml:space="preserve">  X12-1</w:t>
            </w:r>
          </w:p>
        </w:tc>
        <w:tc>
          <w:tcPr>
            <w:tcW w:w="0" w:type="auto"/>
            <w:tcBorders>
              <w:top w:val="single" w:color="000000" w:sz="4" w:space="0"/>
              <w:left w:val="nil"/>
              <w:bottom w:val="single" w:color="000000" w:sz="4" w:space="0"/>
              <w:right w:val="single" w:color="000000" w:sz="4" w:space="0"/>
            </w:tcBorders>
            <w:noWrap/>
            <w:vAlign w:val="center"/>
          </w:tcPr>
          <w:p w14:paraId="72B8C199">
            <w:pPr>
              <w:widowControl/>
              <w:ind w:firstLine="0" w:firstLineChars="0"/>
              <w:jc w:val="center"/>
              <w:textAlignment w:val="center"/>
              <w:rPr>
                <w:color w:val="000000"/>
                <w:sz w:val="22"/>
              </w:rPr>
            </w:pPr>
            <w:r>
              <w:rPr>
                <w:color w:val="000000"/>
                <w:kern w:val="0"/>
                <w:sz w:val="22"/>
              </w:rPr>
              <w:t>4.78</w:t>
            </w:r>
          </w:p>
        </w:tc>
        <w:tc>
          <w:tcPr>
            <w:tcW w:w="0" w:type="auto"/>
            <w:tcBorders>
              <w:top w:val="single" w:color="000000" w:sz="4" w:space="0"/>
              <w:left w:val="nil"/>
              <w:bottom w:val="single" w:color="000000" w:sz="4" w:space="0"/>
              <w:right w:val="single" w:color="000000" w:sz="4" w:space="0"/>
            </w:tcBorders>
            <w:noWrap/>
            <w:vAlign w:val="center"/>
          </w:tcPr>
          <w:p w14:paraId="34E81054">
            <w:pPr>
              <w:widowControl/>
              <w:ind w:firstLine="0" w:firstLineChars="0"/>
              <w:jc w:val="center"/>
              <w:textAlignment w:val="center"/>
              <w:rPr>
                <w:color w:val="000000"/>
                <w:sz w:val="22"/>
              </w:rPr>
            </w:pPr>
            <w:r>
              <w:rPr>
                <w:color w:val="000000"/>
                <w:kern w:val="0"/>
                <w:sz w:val="22"/>
              </w:rPr>
              <w:t>4.78</w:t>
            </w:r>
          </w:p>
        </w:tc>
        <w:tc>
          <w:tcPr>
            <w:tcW w:w="0" w:type="auto"/>
            <w:tcBorders>
              <w:top w:val="single" w:color="000000" w:sz="4" w:space="0"/>
              <w:left w:val="nil"/>
              <w:bottom w:val="single" w:color="000000" w:sz="4" w:space="0"/>
              <w:right w:val="single" w:color="000000" w:sz="4" w:space="0"/>
            </w:tcBorders>
            <w:noWrap/>
            <w:vAlign w:val="center"/>
          </w:tcPr>
          <w:p w14:paraId="45C74932">
            <w:pPr>
              <w:widowControl/>
              <w:ind w:firstLine="0" w:firstLineChars="0"/>
              <w:jc w:val="center"/>
              <w:textAlignment w:val="center"/>
              <w:rPr>
                <w:color w:val="000000"/>
                <w:sz w:val="22"/>
              </w:rPr>
            </w:pPr>
            <w:r>
              <w:rPr>
                <w:color w:val="000000"/>
                <w:kern w:val="0"/>
                <w:sz w:val="22"/>
              </w:rPr>
              <w:t>4.78</w:t>
            </w:r>
          </w:p>
        </w:tc>
        <w:tc>
          <w:tcPr>
            <w:tcW w:w="0" w:type="auto"/>
            <w:tcBorders>
              <w:top w:val="single" w:color="000000" w:sz="4" w:space="0"/>
              <w:left w:val="nil"/>
              <w:bottom w:val="single" w:color="000000" w:sz="4" w:space="0"/>
              <w:right w:val="single" w:color="000000" w:sz="4" w:space="0"/>
            </w:tcBorders>
            <w:noWrap/>
            <w:vAlign w:val="center"/>
          </w:tcPr>
          <w:p w14:paraId="094FE579">
            <w:pPr>
              <w:widowControl/>
              <w:ind w:firstLine="0" w:firstLineChars="0"/>
              <w:jc w:val="center"/>
              <w:textAlignment w:val="center"/>
              <w:rPr>
                <w:color w:val="000000"/>
                <w:sz w:val="22"/>
              </w:rPr>
            </w:pPr>
            <w:r>
              <w:rPr>
                <w:color w:val="000000"/>
                <w:kern w:val="0"/>
                <w:sz w:val="22"/>
              </w:rPr>
              <w:t>4.78</w:t>
            </w:r>
          </w:p>
        </w:tc>
        <w:tc>
          <w:tcPr>
            <w:tcW w:w="0" w:type="auto"/>
            <w:tcBorders>
              <w:top w:val="single" w:color="000000" w:sz="4" w:space="0"/>
              <w:left w:val="nil"/>
              <w:bottom w:val="single" w:color="000000" w:sz="4" w:space="0"/>
              <w:right w:val="single" w:color="000000" w:sz="4" w:space="0"/>
            </w:tcBorders>
            <w:noWrap/>
            <w:vAlign w:val="center"/>
          </w:tcPr>
          <w:p w14:paraId="5923126C">
            <w:pPr>
              <w:widowControl/>
              <w:ind w:firstLine="0" w:firstLineChars="0"/>
              <w:jc w:val="center"/>
              <w:textAlignment w:val="center"/>
              <w:rPr>
                <w:color w:val="000000"/>
                <w:sz w:val="22"/>
              </w:rPr>
            </w:pPr>
            <w:r>
              <w:rPr>
                <w:color w:val="000000"/>
                <w:kern w:val="0"/>
                <w:sz w:val="22"/>
              </w:rPr>
              <w:t>4.77</w:t>
            </w:r>
          </w:p>
        </w:tc>
        <w:tc>
          <w:tcPr>
            <w:tcW w:w="0" w:type="auto"/>
            <w:tcBorders>
              <w:top w:val="single" w:color="000000" w:sz="4" w:space="0"/>
              <w:left w:val="nil"/>
              <w:bottom w:val="single" w:color="000000" w:sz="4" w:space="0"/>
              <w:right w:val="single" w:color="000000" w:sz="4" w:space="0"/>
            </w:tcBorders>
            <w:noWrap/>
            <w:vAlign w:val="center"/>
          </w:tcPr>
          <w:p w14:paraId="31868D4E">
            <w:pPr>
              <w:widowControl/>
              <w:ind w:firstLine="0" w:firstLineChars="0"/>
              <w:jc w:val="center"/>
              <w:textAlignment w:val="center"/>
              <w:rPr>
                <w:color w:val="000000"/>
                <w:sz w:val="22"/>
              </w:rPr>
            </w:pPr>
            <w:r>
              <w:rPr>
                <w:color w:val="000000"/>
                <w:kern w:val="0"/>
                <w:sz w:val="22"/>
              </w:rPr>
              <w:t>4.77</w:t>
            </w:r>
          </w:p>
        </w:tc>
        <w:tc>
          <w:tcPr>
            <w:tcW w:w="0" w:type="auto"/>
            <w:tcBorders>
              <w:top w:val="single" w:color="000000" w:sz="4" w:space="0"/>
              <w:left w:val="nil"/>
              <w:bottom w:val="single" w:color="000000" w:sz="4" w:space="0"/>
              <w:right w:val="single" w:color="000000" w:sz="4" w:space="0"/>
            </w:tcBorders>
            <w:noWrap/>
            <w:vAlign w:val="center"/>
          </w:tcPr>
          <w:p w14:paraId="11E7BB89">
            <w:pPr>
              <w:widowControl/>
              <w:ind w:firstLine="0" w:firstLineChars="0"/>
              <w:jc w:val="center"/>
              <w:textAlignment w:val="center"/>
              <w:rPr>
                <w:color w:val="000000"/>
                <w:sz w:val="22"/>
              </w:rPr>
            </w:pPr>
            <w:r>
              <w:rPr>
                <w:color w:val="000000"/>
                <w:kern w:val="0"/>
                <w:sz w:val="22"/>
              </w:rPr>
              <w:t>4.78</w:t>
            </w:r>
          </w:p>
        </w:tc>
        <w:tc>
          <w:tcPr>
            <w:tcW w:w="0" w:type="auto"/>
            <w:tcBorders>
              <w:top w:val="single" w:color="000000" w:sz="4" w:space="0"/>
              <w:left w:val="nil"/>
              <w:bottom w:val="single" w:color="000000" w:sz="4" w:space="0"/>
              <w:right w:val="single" w:color="000000" w:sz="4" w:space="0"/>
            </w:tcBorders>
            <w:noWrap/>
            <w:vAlign w:val="center"/>
          </w:tcPr>
          <w:p w14:paraId="02123437">
            <w:pPr>
              <w:widowControl/>
              <w:ind w:firstLine="0" w:firstLineChars="0"/>
              <w:jc w:val="center"/>
              <w:textAlignment w:val="center"/>
              <w:rPr>
                <w:color w:val="000000"/>
                <w:sz w:val="22"/>
              </w:rPr>
            </w:pPr>
            <w:r>
              <w:rPr>
                <w:color w:val="000000"/>
                <w:kern w:val="0"/>
                <w:sz w:val="22"/>
              </w:rPr>
              <w:t>4.78</w:t>
            </w:r>
          </w:p>
        </w:tc>
        <w:tc>
          <w:tcPr>
            <w:tcW w:w="0" w:type="auto"/>
            <w:tcBorders>
              <w:top w:val="single" w:color="000000" w:sz="4" w:space="0"/>
              <w:left w:val="nil"/>
              <w:bottom w:val="single" w:color="000000" w:sz="4" w:space="0"/>
              <w:right w:val="single" w:color="000000" w:sz="4" w:space="0"/>
            </w:tcBorders>
            <w:noWrap/>
            <w:vAlign w:val="center"/>
          </w:tcPr>
          <w:p w14:paraId="0F69D35D">
            <w:pPr>
              <w:widowControl/>
              <w:ind w:firstLine="0" w:firstLineChars="0"/>
              <w:jc w:val="center"/>
              <w:textAlignment w:val="center"/>
              <w:rPr>
                <w:color w:val="000000"/>
                <w:sz w:val="22"/>
              </w:rPr>
            </w:pPr>
            <w:r>
              <w:rPr>
                <w:color w:val="000000"/>
                <w:kern w:val="0"/>
                <w:sz w:val="22"/>
              </w:rPr>
              <w:t>4.78</w:t>
            </w:r>
          </w:p>
        </w:tc>
        <w:tc>
          <w:tcPr>
            <w:tcW w:w="0" w:type="auto"/>
            <w:tcBorders>
              <w:top w:val="single" w:color="000000" w:sz="4" w:space="0"/>
              <w:left w:val="nil"/>
              <w:bottom w:val="single" w:color="000000" w:sz="4" w:space="0"/>
              <w:right w:val="single" w:color="000000" w:sz="4" w:space="0"/>
            </w:tcBorders>
            <w:noWrap/>
            <w:vAlign w:val="center"/>
          </w:tcPr>
          <w:p w14:paraId="69DE3ECC">
            <w:pPr>
              <w:widowControl/>
              <w:ind w:firstLine="0" w:firstLineChars="0"/>
              <w:jc w:val="center"/>
              <w:textAlignment w:val="center"/>
              <w:rPr>
                <w:color w:val="000000"/>
                <w:sz w:val="22"/>
              </w:rPr>
            </w:pPr>
            <w:r>
              <w:rPr>
                <w:color w:val="000000"/>
                <w:kern w:val="0"/>
                <w:sz w:val="22"/>
              </w:rPr>
              <w:t>4.78</w:t>
            </w:r>
          </w:p>
        </w:tc>
        <w:tc>
          <w:tcPr>
            <w:tcW w:w="0" w:type="auto"/>
            <w:tcBorders>
              <w:top w:val="single" w:color="000000" w:sz="4" w:space="0"/>
              <w:left w:val="nil"/>
              <w:bottom w:val="single" w:color="000000" w:sz="4" w:space="0"/>
              <w:right w:val="single" w:color="000000" w:sz="4" w:space="0"/>
            </w:tcBorders>
            <w:noWrap/>
            <w:vAlign w:val="center"/>
          </w:tcPr>
          <w:p w14:paraId="0E1C08CE">
            <w:pPr>
              <w:widowControl/>
              <w:ind w:firstLine="0" w:firstLineChars="0"/>
              <w:jc w:val="center"/>
              <w:textAlignment w:val="center"/>
              <w:rPr>
                <w:color w:val="000000"/>
                <w:sz w:val="22"/>
              </w:rPr>
            </w:pPr>
            <w:r>
              <w:rPr>
                <w:color w:val="000000"/>
                <w:kern w:val="0"/>
                <w:sz w:val="22"/>
              </w:rPr>
              <w:t>4.78</w:t>
            </w:r>
          </w:p>
        </w:tc>
      </w:tr>
      <w:tr w14:paraId="25C64D53">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971452">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部门石化能源碳排放因子</w:t>
            </w:r>
            <w:r>
              <w:rPr>
                <w:rFonts w:eastAsia="仿宋"/>
                <w:color w:val="000000"/>
                <w:kern w:val="0"/>
                <w:sz w:val="20"/>
                <w:szCs w:val="20"/>
              </w:rPr>
              <w:t xml:space="preserve">  X12-3</w:t>
            </w:r>
          </w:p>
        </w:tc>
        <w:tc>
          <w:tcPr>
            <w:tcW w:w="0" w:type="auto"/>
            <w:tcBorders>
              <w:top w:val="single" w:color="000000" w:sz="4" w:space="0"/>
              <w:left w:val="nil"/>
              <w:bottom w:val="single" w:color="000000" w:sz="4" w:space="0"/>
              <w:right w:val="single" w:color="000000" w:sz="4" w:space="0"/>
            </w:tcBorders>
            <w:noWrap/>
            <w:vAlign w:val="center"/>
          </w:tcPr>
          <w:p w14:paraId="2EF35B31">
            <w:pPr>
              <w:widowControl/>
              <w:ind w:firstLine="0" w:firstLineChars="0"/>
              <w:jc w:val="center"/>
              <w:textAlignment w:val="center"/>
              <w:rPr>
                <w:color w:val="000000"/>
                <w:sz w:val="22"/>
              </w:rPr>
            </w:pPr>
            <w:r>
              <w:rPr>
                <w:color w:val="000000"/>
                <w:kern w:val="0"/>
                <w:sz w:val="22"/>
              </w:rPr>
              <w:t>5.97</w:t>
            </w:r>
          </w:p>
        </w:tc>
        <w:tc>
          <w:tcPr>
            <w:tcW w:w="0" w:type="auto"/>
            <w:tcBorders>
              <w:top w:val="single" w:color="000000" w:sz="4" w:space="0"/>
              <w:left w:val="nil"/>
              <w:bottom w:val="single" w:color="000000" w:sz="4" w:space="0"/>
              <w:right w:val="single" w:color="000000" w:sz="4" w:space="0"/>
            </w:tcBorders>
            <w:noWrap/>
            <w:vAlign w:val="center"/>
          </w:tcPr>
          <w:p w14:paraId="48FE32A1">
            <w:pPr>
              <w:widowControl/>
              <w:ind w:firstLine="0" w:firstLineChars="0"/>
              <w:jc w:val="center"/>
              <w:textAlignment w:val="center"/>
              <w:rPr>
                <w:color w:val="000000"/>
                <w:sz w:val="22"/>
              </w:rPr>
            </w:pPr>
            <w:r>
              <w:rPr>
                <w:color w:val="000000"/>
                <w:kern w:val="0"/>
                <w:sz w:val="22"/>
              </w:rPr>
              <w:t>5.70</w:t>
            </w:r>
          </w:p>
        </w:tc>
        <w:tc>
          <w:tcPr>
            <w:tcW w:w="0" w:type="auto"/>
            <w:tcBorders>
              <w:top w:val="single" w:color="000000" w:sz="4" w:space="0"/>
              <w:left w:val="nil"/>
              <w:bottom w:val="single" w:color="000000" w:sz="4" w:space="0"/>
              <w:right w:val="single" w:color="000000" w:sz="4" w:space="0"/>
            </w:tcBorders>
            <w:noWrap/>
            <w:vAlign w:val="center"/>
          </w:tcPr>
          <w:p w14:paraId="5AE91D6F">
            <w:pPr>
              <w:widowControl/>
              <w:ind w:firstLine="0" w:firstLineChars="0"/>
              <w:jc w:val="center"/>
              <w:textAlignment w:val="center"/>
              <w:rPr>
                <w:color w:val="000000"/>
                <w:sz w:val="22"/>
              </w:rPr>
            </w:pPr>
            <w:r>
              <w:rPr>
                <w:color w:val="000000"/>
                <w:kern w:val="0"/>
                <w:sz w:val="22"/>
              </w:rPr>
              <w:t>5.87</w:t>
            </w:r>
          </w:p>
        </w:tc>
        <w:tc>
          <w:tcPr>
            <w:tcW w:w="0" w:type="auto"/>
            <w:tcBorders>
              <w:top w:val="single" w:color="000000" w:sz="4" w:space="0"/>
              <w:left w:val="nil"/>
              <w:bottom w:val="single" w:color="000000" w:sz="4" w:space="0"/>
              <w:right w:val="single" w:color="000000" w:sz="4" w:space="0"/>
            </w:tcBorders>
            <w:noWrap/>
            <w:vAlign w:val="center"/>
          </w:tcPr>
          <w:p w14:paraId="3C1B0816">
            <w:pPr>
              <w:widowControl/>
              <w:ind w:firstLine="0" w:firstLineChars="0"/>
              <w:jc w:val="center"/>
              <w:textAlignment w:val="center"/>
              <w:rPr>
                <w:color w:val="000000"/>
                <w:sz w:val="22"/>
              </w:rPr>
            </w:pPr>
            <w:r>
              <w:rPr>
                <w:color w:val="000000"/>
                <w:kern w:val="0"/>
                <w:sz w:val="22"/>
              </w:rPr>
              <w:t>6.28</w:t>
            </w:r>
          </w:p>
        </w:tc>
        <w:tc>
          <w:tcPr>
            <w:tcW w:w="0" w:type="auto"/>
            <w:tcBorders>
              <w:top w:val="single" w:color="000000" w:sz="4" w:space="0"/>
              <w:left w:val="nil"/>
              <w:bottom w:val="single" w:color="000000" w:sz="4" w:space="0"/>
              <w:right w:val="single" w:color="000000" w:sz="4" w:space="0"/>
            </w:tcBorders>
            <w:noWrap/>
            <w:vAlign w:val="center"/>
          </w:tcPr>
          <w:p w14:paraId="741208E2">
            <w:pPr>
              <w:widowControl/>
              <w:ind w:firstLine="0" w:firstLineChars="0"/>
              <w:jc w:val="center"/>
              <w:textAlignment w:val="center"/>
              <w:rPr>
                <w:color w:val="000000"/>
                <w:sz w:val="22"/>
              </w:rPr>
            </w:pPr>
            <w:r>
              <w:rPr>
                <w:color w:val="000000"/>
                <w:kern w:val="0"/>
                <w:sz w:val="22"/>
              </w:rPr>
              <w:t>6.48</w:t>
            </w:r>
          </w:p>
        </w:tc>
        <w:tc>
          <w:tcPr>
            <w:tcW w:w="0" w:type="auto"/>
            <w:tcBorders>
              <w:top w:val="single" w:color="000000" w:sz="4" w:space="0"/>
              <w:left w:val="nil"/>
              <w:bottom w:val="single" w:color="000000" w:sz="4" w:space="0"/>
              <w:right w:val="single" w:color="000000" w:sz="4" w:space="0"/>
            </w:tcBorders>
            <w:noWrap/>
            <w:vAlign w:val="center"/>
          </w:tcPr>
          <w:p w14:paraId="72EBBE95">
            <w:pPr>
              <w:widowControl/>
              <w:ind w:firstLine="0" w:firstLineChars="0"/>
              <w:jc w:val="center"/>
              <w:textAlignment w:val="center"/>
              <w:rPr>
                <w:color w:val="000000"/>
                <w:sz w:val="22"/>
              </w:rPr>
            </w:pPr>
            <w:r>
              <w:rPr>
                <w:color w:val="000000"/>
                <w:kern w:val="0"/>
                <w:sz w:val="22"/>
              </w:rPr>
              <w:t>13512.89</w:t>
            </w:r>
          </w:p>
        </w:tc>
        <w:tc>
          <w:tcPr>
            <w:tcW w:w="0" w:type="auto"/>
            <w:tcBorders>
              <w:top w:val="single" w:color="000000" w:sz="4" w:space="0"/>
              <w:left w:val="nil"/>
              <w:bottom w:val="single" w:color="000000" w:sz="4" w:space="0"/>
              <w:right w:val="single" w:color="000000" w:sz="4" w:space="0"/>
            </w:tcBorders>
            <w:noWrap/>
            <w:vAlign w:val="center"/>
          </w:tcPr>
          <w:p w14:paraId="58FB5D54">
            <w:pPr>
              <w:widowControl/>
              <w:ind w:firstLine="0" w:firstLineChars="0"/>
              <w:jc w:val="center"/>
              <w:textAlignment w:val="center"/>
              <w:rPr>
                <w:color w:val="000000"/>
                <w:sz w:val="22"/>
              </w:rPr>
            </w:pPr>
            <w:r>
              <w:rPr>
                <w:color w:val="000000"/>
                <w:kern w:val="0"/>
                <w:sz w:val="22"/>
              </w:rPr>
              <w:t>13264.37</w:t>
            </w:r>
          </w:p>
        </w:tc>
        <w:tc>
          <w:tcPr>
            <w:tcW w:w="0" w:type="auto"/>
            <w:tcBorders>
              <w:top w:val="single" w:color="000000" w:sz="4" w:space="0"/>
              <w:left w:val="nil"/>
              <w:bottom w:val="single" w:color="000000" w:sz="4" w:space="0"/>
              <w:right w:val="single" w:color="000000" w:sz="4" w:space="0"/>
            </w:tcBorders>
            <w:noWrap/>
            <w:vAlign w:val="center"/>
          </w:tcPr>
          <w:p w14:paraId="3E383B74">
            <w:pPr>
              <w:widowControl/>
              <w:ind w:firstLine="0" w:firstLineChars="0"/>
              <w:jc w:val="center"/>
              <w:textAlignment w:val="center"/>
              <w:rPr>
                <w:color w:val="000000"/>
                <w:sz w:val="22"/>
              </w:rPr>
            </w:pPr>
            <w:r>
              <w:rPr>
                <w:color w:val="000000"/>
                <w:kern w:val="0"/>
                <w:sz w:val="22"/>
              </w:rPr>
              <w:t>13280.85</w:t>
            </w:r>
          </w:p>
        </w:tc>
        <w:tc>
          <w:tcPr>
            <w:tcW w:w="0" w:type="auto"/>
            <w:tcBorders>
              <w:top w:val="single" w:color="000000" w:sz="4" w:space="0"/>
              <w:left w:val="nil"/>
              <w:bottom w:val="single" w:color="000000" w:sz="4" w:space="0"/>
              <w:right w:val="single" w:color="000000" w:sz="4" w:space="0"/>
            </w:tcBorders>
            <w:noWrap/>
            <w:vAlign w:val="center"/>
          </w:tcPr>
          <w:p w14:paraId="0E4DA61D">
            <w:pPr>
              <w:widowControl/>
              <w:ind w:firstLine="0" w:firstLineChars="0"/>
              <w:jc w:val="center"/>
              <w:textAlignment w:val="center"/>
              <w:rPr>
                <w:color w:val="000000"/>
                <w:sz w:val="22"/>
              </w:rPr>
            </w:pPr>
            <w:r>
              <w:rPr>
                <w:color w:val="000000"/>
                <w:kern w:val="0"/>
                <w:sz w:val="22"/>
              </w:rPr>
              <w:t>12876.62</w:t>
            </w:r>
          </w:p>
        </w:tc>
        <w:tc>
          <w:tcPr>
            <w:tcW w:w="0" w:type="auto"/>
            <w:tcBorders>
              <w:top w:val="single" w:color="000000" w:sz="4" w:space="0"/>
              <w:left w:val="nil"/>
              <w:bottom w:val="single" w:color="000000" w:sz="4" w:space="0"/>
              <w:right w:val="single" w:color="000000" w:sz="4" w:space="0"/>
            </w:tcBorders>
            <w:noWrap/>
            <w:vAlign w:val="center"/>
          </w:tcPr>
          <w:p w14:paraId="53EA5943">
            <w:pPr>
              <w:widowControl/>
              <w:ind w:firstLine="0" w:firstLineChars="0"/>
              <w:jc w:val="center"/>
              <w:textAlignment w:val="center"/>
              <w:rPr>
                <w:color w:val="000000"/>
                <w:sz w:val="22"/>
              </w:rPr>
            </w:pPr>
            <w:r>
              <w:rPr>
                <w:color w:val="000000"/>
                <w:kern w:val="0"/>
                <w:sz w:val="22"/>
              </w:rPr>
              <w:t>12601.09</w:t>
            </w:r>
          </w:p>
        </w:tc>
        <w:tc>
          <w:tcPr>
            <w:tcW w:w="0" w:type="auto"/>
            <w:tcBorders>
              <w:top w:val="single" w:color="000000" w:sz="4" w:space="0"/>
              <w:left w:val="nil"/>
              <w:bottom w:val="single" w:color="000000" w:sz="4" w:space="0"/>
              <w:right w:val="single" w:color="000000" w:sz="4" w:space="0"/>
            </w:tcBorders>
            <w:noWrap/>
            <w:vAlign w:val="center"/>
          </w:tcPr>
          <w:p w14:paraId="606F380E">
            <w:pPr>
              <w:widowControl/>
              <w:ind w:firstLine="0" w:firstLineChars="0"/>
              <w:jc w:val="center"/>
              <w:textAlignment w:val="center"/>
              <w:rPr>
                <w:color w:val="000000"/>
                <w:sz w:val="22"/>
              </w:rPr>
            </w:pPr>
            <w:r>
              <w:rPr>
                <w:color w:val="000000"/>
                <w:kern w:val="0"/>
                <w:sz w:val="22"/>
              </w:rPr>
              <w:t>0.00</w:t>
            </w:r>
          </w:p>
        </w:tc>
      </w:tr>
      <w:tr w14:paraId="2F3A6B55">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39133A2">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部门石化能源碳排放因子</w:t>
            </w:r>
            <w:r>
              <w:rPr>
                <w:rFonts w:eastAsia="仿宋"/>
                <w:color w:val="000000"/>
                <w:kern w:val="0"/>
                <w:sz w:val="20"/>
                <w:szCs w:val="20"/>
              </w:rPr>
              <w:t xml:space="preserve">  X12-4</w:t>
            </w:r>
          </w:p>
        </w:tc>
        <w:tc>
          <w:tcPr>
            <w:tcW w:w="0" w:type="auto"/>
            <w:tcBorders>
              <w:top w:val="single" w:color="000000" w:sz="4" w:space="0"/>
              <w:left w:val="nil"/>
              <w:bottom w:val="single" w:color="000000" w:sz="4" w:space="0"/>
              <w:right w:val="single" w:color="000000" w:sz="4" w:space="0"/>
            </w:tcBorders>
            <w:noWrap/>
            <w:vAlign w:val="center"/>
          </w:tcPr>
          <w:p w14:paraId="34769675">
            <w:pPr>
              <w:widowControl/>
              <w:ind w:firstLine="0" w:firstLineChars="0"/>
              <w:jc w:val="center"/>
              <w:textAlignment w:val="center"/>
              <w:rPr>
                <w:color w:val="000000"/>
                <w:sz w:val="22"/>
              </w:rPr>
            </w:pPr>
            <w:r>
              <w:rPr>
                <w:color w:val="000000"/>
                <w:kern w:val="0"/>
                <w:sz w:val="22"/>
              </w:rPr>
              <w:t>6.36</w:t>
            </w:r>
          </w:p>
        </w:tc>
        <w:tc>
          <w:tcPr>
            <w:tcW w:w="0" w:type="auto"/>
            <w:tcBorders>
              <w:top w:val="single" w:color="000000" w:sz="4" w:space="0"/>
              <w:left w:val="nil"/>
              <w:bottom w:val="single" w:color="000000" w:sz="4" w:space="0"/>
              <w:right w:val="single" w:color="000000" w:sz="4" w:space="0"/>
            </w:tcBorders>
            <w:noWrap/>
            <w:vAlign w:val="center"/>
          </w:tcPr>
          <w:p w14:paraId="4476E0B8">
            <w:pPr>
              <w:widowControl/>
              <w:ind w:firstLine="0" w:firstLineChars="0"/>
              <w:jc w:val="center"/>
              <w:textAlignment w:val="center"/>
              <w:rPr>
                <w:color w:val="000000"/>
                <w:sz w:val="22"/>
              </w:rPr>
            </w:pPr>
            <w:r>
              <w:rPr>
                <w:color w:val="000000"/>
                <w:kern w:val="0"/>
                <w:sz w:val="22"/>
              </w:rPr>
              <w:t>6.36</w:t>
            </w:r>
          </w:p>
        </w:tc>
        <w:tc>
          <w:tcPr>
            <w:tcW w:w="0" w:type="auto"/>
            <w:tcBorders>
              <w:top w:val="single" w:color="000000" w:sz="4" w:space="0"/>
              <w:left w:val="nil"/>
              <w:bottom w:val="single" w:color="000000" w:sz="4" w:space="0"/>
              <w:right w:val="single" w:color="000000" w:sz="4" w:space="0"/>
            </w:tcBorders>
            <w:noWrap/>
            <w:vAlign w:val="center"/>
          </w:tcPr>
          <w:p w14:paraId="1F97C0FF">
            <w:pPr>
              <w:widowControl/>
              <w:ind w:firstLine="0" w:firstLineChars="0"/>
              <w:jc w:val="center"/>
              <w:textAlignment w:val="center"/>
              <w:rPr>
                <w:color w:val="000000"/>
                <w:sz w:val="22"/>
              </w:rPr>
            </w:pPr>
            <w:r>
              <w:rPr>
                <w:color w:val="000000"/>
                <w:kern w:val="0"/>
                <w:sz w:val="22"/>
              </w:rPr>
              <w:t>6.36</w:t>
            </w:r>
          </w:p>
        </w:tc>
        <w:tc>
          <w:tcPr>
            <w:tcW w:w="0" w:type="auto"/>
            <w:tcBorders>
              <w:top w:val="single" w:color="000000" w:sz="4" w:space="0"/>
              <w:left w:val="nil"/>
              <w:bottom w:val="single" w:color="000000" w:sz="4" w:space="0"/>
              <w:right w:val="single" w:color="000000" w:sz="4" w:space="0"/>
            </w:tcBorders>
            <w:noWrap/>
            <w:vAlign w:val="center"/>
          </w:tcPr>
          <w:p w14:paraId="1BD3BB6C">
            <w:pPr>
              <w:widowControl/>
              <w:ind w:firstLine="0" w:firstLineChars="0"/>
              <w:jc w:val="center"/>
              <w:textAlignment w:val="center"/>
              <w:rPr>
                <w:color w:val="000000"/>
                <w:sz w:val="22"/>
              </w:rPr>
            </w:pPr>
            <w:r>
              <w:rPr>
                <w:color w:val="000000"/>
                <w:kern w:val="0"/>
                <w:sz w:val="22"/>
              </w:rPr>
              <w:t>6.36</w:t>
            </w:r>
          </w:p>
        </w:tc>
        <w:tc>
          <w:tcPr>
            <w:tcW w:w="0" w:type="auto"/>
            <w:tcBorders>
              <w:top w:val="single" w:color="000000" w:sz="4" w:space="0"/>
              <w:left w:val="nil"/>
              <w:bottom w:val="single" w:color="000000" w:sz="4" w:space="0"/>
              <w:right w:val="single" w:color="000000" w:sz="4" w:space="0"/>
            </w:tcBorders>
            <w:noWrap/>
            <w:vAlign w:val="center"/>
          </w:tcPr>
          <w:p w14:paraId="24C9EE56">
            <w:pPr>
              <w:widowControl/>
              <w:ind w:firstLine="0" w:firstLineChars="0"/>
              <w:jc w:val="center"/>
              <w:textAlignment w:val="center"/>
              <w:rPr>
                <w:color w:val="000000"/>
                <w:sz w:val="22"/>
              </w:rPr>
            </w:pPr>
            <w:r>
              <w:rPr>
                <w:color w:val="000000"/>
                <w:kern w:val="0"/>
                <w:sz w:val="22"/>
              </w:rPr>
              <w:t>6.36</w:t>
            </w:r>
          </w:p>
        </w:tc>
        <w:tc>
          <w:tcPr>
            <w:tcW w:w="0" w:type="auto"/>
            <w:tcBorders>
              <w:top w:val="single" w:color="000000" w:sz="4" w:space="0"/>
              <w:left w:val="nil"/>
              <w:bottom w:val="single" w:color="000000" w:sz="4" w:space="0"/>
              <w:right w:val="single" w:color="000000" w:sz="4" w:space="0"/>
            </w:tcBorders>
            <w:noWrap/>
            <w:vAlign w:val="center"/>
          </w:tcPr>
          <w:p w14:paraId="71C91362">
            <w:pPr>
              <w:widowControl/>
              <w:ind w:firstLine="0" w:firstLineChars="0"/>
              <w:jc w:val="center"/>
              <w:textAlignment w:val="center"/>
              <w:rPr>
                <w:color w:val="000000"/>
                <w:sz w:val="22"/>
              </w:rPr>
            </w:pPr>
            <w:r>
              <w:rPr>
                <w:color w:val="000000"/>
                <w:kern w:val="0"/>
                <w:sz w:val="22"/>
              </w:rPr>
              <w:t>10216.41</w:t>
            </w:r>
          </w:p>
        </w:tc>
        <w:tc>
          <w:tcPr>
            <w:tcW w:w="0" w:type="auto"/>
            <w:tcBorders>
              <w:top w:val="single" w:color="000000" w:sz="4" w:space="0"/>
              <w:left w:val="nil"/>
              <w:bottom w:val="single" w:color="000000" w:sz="4" w:space="0"/>
              <w:right w:val="single" w:color="000000" w:sz="4" w:space="0"/>
            </w:tcBorders>
            <w:noWrap/>
            <w:vAlign w:val="center"/>
          </w:tcPr>
          <w:p w14:paraId="49F99501">
            <w:pPr>
              <w:widowControl/>
              <w:ind w:firstLine="0" w:firstLineChars="0"/>
              <w:jc w:val="center"/>
              <w:textAlignment w:val="center"/>
              <w:rPr>
                <w:color w:val="000000"/>
                <w:sz w:val="22"/>
              </w:rPr>
            </w:pPr>
            <w:r>
              <w:rPr>
                <w:color w:val="000000"/>
                <w:kern w:val="0"/>
                <w:sz w:val="22"/>
              </w:rPr>
              <w:t>9923.38</w:t>
            </w:r>
          </w:p>
        </w:tc>
        <w:tc>
          <w:tcPr>
            <w:tcW w:w="0" w:type="auto"/>
            <w:tcBorders>
              <w:top w:val="single" w:color="000000" w:sz="4" w:space="0"/>
              <w:left w:val="nil"/>
              <w:bottom w:val="single" w:color="000000" w:sz="4" w:space="0"/>
              <w:right w:val="single" w:color="000000" w:sz="4" w:space="0"/>
            </w:tcBorders>
            <w:noWrap/>
            <w:vAlign w:val="center"/>
          </w:tcPr>
          <w:p w14:paraId="06D631B1">
            <w:pPr>
              <w:widowControl/>
              <w:ind w:firstLine="0" w:firstLineChars="0"/>
              <w:jc w:val="center"/>
              <w:textAlignment w:val="center"/>
              <w:rPr>
                <w:color w:val="000000"/>
                <w:sz w:val="22"/>
              </w:rPr>
            </w:pPr>
            <w:r>
              <w:rPr>
                <w:color w:val="000000"/>
                <w:kern w:val="0"/>
                <w:sz w:val="22"/>
              </w:rPr>
              <w:t>9618.99</w:t>
            </w:r>
          </w:p>
        </w:tc>
        <w:tc>
          <w:tcPr>
            <w:tcW w:w="0" w:type="auto"/>
            <w:tcBorders>
              <w:top w:val="single" w:color="000000" w:sz="4" w:space="0"/>
              <w:left w:val="nil"/>
              <w:bottom w:val="single" w:color="000000" w:sz="4" w:space="0"/>
              <w:right w:val="single" w:color="000000" w:sz="4" w:space="0"/>
            </w:tcBorders>
            <w:noWrap/>
            <w:vAlign w:val="center"/>
          </w:tcPr>
          <w:p w14:paraId="623CFD1C">
            <w:pPr>
              <w:widowControl/>
              <w:ind w:firstLine="0" w:firstLineChars="0"/>
              <w:jc w:val="center"/>
              <w:textAlignment w:val="center"/>
              <w:rPr>
                <w:color w:val="000000"/>
                <w:sz w:val="22"/>
              </w:rPr>
            </w:pPr>
            <w:r>
              <w:rPr>
                <w:color w:val="000000"/>
                <w:kern w:val="0"/>
                <w:sz w:val="22"/>
              </w:rPr>
              <w:t>10469.21</w:t>
            </w:r>
          </w:p>
        </w:tc>
        <w:tc>
          <w:tcPr>
            <w:tcW w:w="0" w:type="auto"/>
            <w:tcBorders>
              <w:top w:val="single" w:color="000000" w:sz="4" w:space="0"/>
              <w:left w:val="nil"/>
              <w:bottom w:val="single" w:color="000000" w:sz="4" w:space="0"/>
              <w:right w:val="single" w:color="000000" w:sz="4" w:space="0"/>
            </w:tcBorders>
            <w:noWrap/>
            <w:vAlign w:val="center"/>
          </w:tcPr>
          <w:p w14:paraId="58C702A6">
            <w:pPr>
              <w:widowControl/>
              <w:ind w:firstLine="0" w:firstLineChars="0"/>
              <w:jc w:val="center"/>
              <w:textAlignment w:val="center"/>
              <w:rPr>
                <w:color w:val="000000"/>
                <w:sz w:val="22"/>
              </w:rPr>
            </w:pPr>
            <w:r>
              <w:rPr>
                <w:color w:val="000000"/>
                <w:kern w:val="0"/>
                <w:sz w:val="22"/>
              </w:rPr>
              <w:t>9816.73</w:t>
            </w:r>
          </w:p>
        </w:tc>
        <w:tc>
          <w:tcPr>
            <w:tcW w:w="0" w:type="auto"/>
            <w:tcBorders>
              <w:top w:val="single" w:color="000000" w:sz="4" w:space="0"/>
              <w:left w:val="nil"/>
              <w:bottom w:val="single" w:color="000000" w:sz="4" w:space="0"/>
              <w:right w:val="single" w:color="000000" w:sz="4" w:space="0"/>
            </w:tcBorders>
            <w:noWrap/>
            <w:vAlign w:val="center"/>
          </w:tcPr>
          <w:p w14:paraId="65BD6E39">
            <w:pPr>
              <w:widowControl/>
              <w:ind w:firstLine="0" w:firstLineChars="0"/>
              <w:jc w:val="center"/>
              <w:textAlignment w:val="center"/>
              <w:rPr>
                <w:color w:val="000000"/>
                <w:sz w:val="22"/>
              </w:rPr>
            </w:pPr>
            <w:r>
              <w:rPr>
                <w:color w:val="000000"/>
                <w:kern w:val="0"/>
                <w:sz w:val="22"/>
              </w:rPr>
              <w:t>0.00</w:t>
            </w:r>
          </w:p>
        </w:tc>
      </w:tr>
      <w:tr w14:paraId="62901238">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F34618F">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部门石化能源碳排放因子</w:t>
            </w:r>
            <w:r>
              <w:rPr>
                <w:rFonts w:eastAsia="仿宋"/>
                <w:color w:val="000000"/>
                <w:kern w:val="0"/>
                <w:sz w:val="20"/>
                <w:szCs w:val="20"/>
              </w:rPr>
              <w:t xml:space="preserve">  X12-5</w:t>
            </w:r>
          </w:p>
        </w:tc>
        <w:tc>
          <w:tcPr>
            <w:tcW w:w="0" w:type="auto"/>
            <w:tcBorders>
              <w:top w:val="single" w:color="000000" w:sz="4" w:space="0"/>
              <w:left w:val="nil"/>
              <w:bottom w:val="single" w:color="000000" w:sz="4" w:space="0"/>
              <w:right w:val="single" w:color="000000" w:sz="4" w:space="0"/>
            </w:tcBorders>
            <w:noWrap/>
            <w:vAlign w:val="center"/>
          </w:tcPr>
          <w:p w14:paraId="478FA84E">
            <w:pPr>
              <w:widowControl/>
              <w:ind w:firstLine="0" w:firstLineChars="0"/>
              <w:jc w:val="center"/>
              <w:textAlignment w:val="center"/>
              <w:rPr>
                <w:color w:val="000000"/>
                <w:sz w:val="22"/>
              </w:rPr>
            </w:pPr>
            <w:r>
              <w:rPr>
                <w:color w:val="000000"/>
                <w:kern w:val="0"/>
                <w:sz w:val="22"/>
              </w:rPr>
              <w:t>6.29</w:t>
            </w:r>
          </w:p>
        </w:tc>
        <w:tc>
          <w:tcPr>
            <w:tcW w:w="0" w:type="auto"/>
            <w:tcBorders>
              <w:top w:val="single" w:color="000000" w:sz="4" w:space="0"/>
              <w:left w:val="nil"/>
              <w:bottom w:val="single" w:color="000000" w:sz="4" w:space="0"/>
              <w:right w:val="single" w:color="000000" w:sz="4" w:space="0"/>
            </w:tcBorders>
            <w:noWrap/>
            <w:vAlign w:val="center"/>
          </w:tcPr>
          <w:p w14:paraId="6D388DD4">
            <w:pPr>
              <w:widowControl/>
              <w:ind w:firstLine="0" w:firstLineChars="0"/>
              <w:jc w:val="center"/>
              <w:textAlignment w:val="center"/>
              <w:rPr>
                <w:color w:val="000000"/>
                <w:sz w:val="22"/>
              </w:rPr>
            </w:pPr>
            <w:r>
              <w:rPr>
                <w:color w:val="000000"/>
                <w:kern w:val="0"/>
                <w:sz w:val="22"/>
              </w:rPr>
              <w:t>4.73</w:t>
            </w:r>
          </w:p>
        </w:tc>
        <w:tc>
          <w:tcPr>
            <w:tcW w:w="0" w:type="auto"/>
            <w:tcBorders>
              <w:top w:val="single" w:color="000000" w:sz="4" w:space="0"/>
              <w:left w:val="nil"/>
              <w:bottom w:val="single" w:color="000000" w:sz="4" w:space="0"/>
              <w:right w:val="single" w:color="000000" w:sz="4" w:space="0"/>
            </w:tcBorders>
            <w:noWrap/>
            <w:vAlign w:val="center"/>
          </w:tcPr>
          <w:p w14:paraId="2DA5E186">
            <w:pPr>
              <w:widowControl/>
              <w:ind w:firstLine="0" w:firstLineChars="0"/>
              <w:jc w:val="center"/>
              <w:textAlignment w:val="center"/>
              <w:rPr>
                <w:color w:val="000000"/>
                <w:sz w:val="22"/>
              </w:rPr>
            </w:pPr>
            <w:r>
              <w:rPr>
                <w:color w:val="000000"/>
                <w:kern w:val="0"/>
                <w:sz w:val="22"/>
              </w:rPr>
              <w:t>4.73</w:t>
            </w:r>
          </w:p>
        </w:tc>
        <w:tc>
          <w:tcPr>
            <w:tcW w:w="0" w:type="auto"/>
            <w:tcBorders>
              <w:top w:val="single" w:color="000000" w:sz="4" w:space="0"/>
              <w:left w:val="nil"/>
              <w:bottom w:val="single" w:color="000000" w:sz="4" w:space="0"/>
              <w:right w:val="single" w:color="000000" w:sz="4" w:space="0"/>
            </w:tcBorders>
            <w:noWrap/>
            <w:vAlign w:val="center"/>
          </w:tcPr>
          <w:p w14:paraId="4FC98D8C">
            <w:pPr>
              <w:widowControl/>
              <w:ind w:firstLine="0" w:firstLineChars="0"/>
              <w:jc w:val="center"/>
              <w:textAlignment w:val="center"/>
              <w:rPr>
                <w:color w:val="000000"/>
                <w:sz w:val="22"/>
              </w:rPr>
            </w:pPr>
            <w:r>
              <w:rPr>
                <w:color w:val="000000"/>
                <w:kern w:val="0"/>
                <w:sz w:val="22"/>
              </w:rPr>
              <w:t>4.73</w:t>
            </w:r>
          </w:p>
        </w:tc>
        <w:tc>
          <w:tcPr>
            <w:tcW w:w="0" w:type="auto"/>
            <w:tcBorders>
              <w:top w:val="single" w:color="000000" w:sz="4" w:space="0"/>
              <w:left w:val="nil"/>
              <w:bottom w:val="single" w:color="000000" w:sz="4" w:space="0"/>
              <w:right w:val="single" w:color="000000" w:sz="4" w:space="0"/>
            </w:tcBorders>
            <w:noWrap/>
            <w:vAlign w:val="center"/>
          </w:tcPr>
          <w:p w14:paraId="024812B9">
            <w:pPr>
              <w:widowControl/>
              <w:ind w:firstLine="0" w:firstLineChars="0"/>
              <w:jc w:val="center"/>
              <w:textAlignment w:val="center"/>
              <w:rPr>
                <w:color w:val="000000"/>
                <w:sz w:val="22"/>
              </w:rPr>
            </w:pPr>
            <w:r>
              <w:rPr>
                <w:color w:val="000000"/>
                <w:kern w:val="0"/>
                <w:sz w:val="22"/>
              </w:rPr>
              <w:t>4.73</w:t>
            </w:r>
          </w:p>
        </w:tc>
        <w:tc>
          <w:tcPr>
            <w:tcW w:w="0" w:type="auto"/>
            <w:tcBorders>
              <w:top w:val="single" w:color="000000" w:sz="4" w:space="0"/>
              <w:left w:val="nil"/>
              <w:bottom w:val="single" w:color="000000" w:sz="4" w:space="0"/>
              <w:right w:val="single" w:color="000000" w:sz="4" w:space="0"/>
            </w:tcBorders>
            <w:noWrap/>
            <w:vAlign w:val="center"/>
          </w:tcPr>
          <w:p w14:paraId="2202F509">
            <w:pPr>
              <w:widowControl/>
              <w:ind w:firstLine="0" w:firstLineChars="0"/>
              <w:jc w:val="center"/>
              <w:textAlignment w:val="center"/>
              <w:rPr>
                <w:color w:val="000000"/>
                <w:sz w:val="22"/>
              </w:rPr>
            </w:pPr>
            <w:r>
              <w:rPr>
                <w:color w:val="000000"/>
                <w:kern w:val="0"/>
                <w:sz w:val="22"/>
              </w:rPr>
              <w:t>4.73</w:t>
            </w:r>
          </w:p>
        </w:tc>
        <w:tc>
          <w:tcPr>
            <w:tcW w:w="0" w:type="auto"/>
            <w:tcBorders>
              <w:top w:val="single" w:color="000000" w:sz="4" w:space="0"/>
              <w:left w:val="nil"/>
              <w:bottom w:val="single" w:color="000000" w:sz="4" w:space="0"/>
              <w:right w:val="single" w:color="000000" w:sz="4" w:space="0"/>
            </w:tcBorders>
            <w:noWrap/>
            <w:vAlign w:val="center"/>
          </w:tcPr>
          <w:p w14:paraId="667F2C17">
            <w:pPr>
              <w:widowControl/>
              <w:ind w:firstLine="0" w:firstLineChars="0"/>
              <w:jc w:val="center"/>
              <w:textAlignment w:val="center"/>
              <w:rPr>
                <w:color w:val="000000"/>
                <w:sz w:val="22"/>
              </w:rPr>
            </w:pPr>
            <w:r>
              <w:rPr>
                <w:color w:val="000000"/>
                <w:kern w:val="0"/>
                <w:sz w:val="22"/>
              </w:rPr>
              <w:t>4.73</w:t>
            </w:r>
          </w:p>
        </w:tc>
        <w:tc>
          <w:tcPr>
            <w:tcW w:w="0" w:type="auto"/>
            <w:tcBorders>
              <w:top w:val="single" w:color="000000" w:sz="4" w:space="0"/>
              <w:left w:val="nil"/>
              <w:bottom w:val="single" w:color="000000" w:sz="4" w:space="0"/>
              <w:right w:val="single" w:color="000000" w:sz="4" w:space="0"/>
            </w:tcBorders>
            <w:noWrap/>
            <w:vAlign w:val="center"/>
          </w:tcPr>
          <w:p w14:paraId="37CB6CAF">
            <w:pPr>
              <w:widowControl/>
              <w:ind w:firstLine="0" w:firstLineChars="0"/>
              <w:jc w:val="center"/>
              <w:textAlignment w:val="center"/>
              <w:rPr>
                <w:color w:val="000000"/>
                <w:sz w:val="22"/>
              </w:rPr>
            </w:pPr>
            <w:r>
              <w:rPr>
                <w:color w:val="000000"/>
                <w:kern w:val="0"/>
                <w:sz w:val="22"/>
              </w:rPr>
              <w:t>4.73</w:t>
            </w:r>
          </w:p>
        </w:tc>
        <w:tc>
          <w:tcPr>
            <w:tcW w:w="0" w:type="auto"/>
            <w:tcBorders>
              <w:top w:val="single" w:color="000000" w:sz="4" w:space="0"/>
              <w:left w:val="nil"/>
              <w:bottom w:val="single" w:color="000000" w:sz="4" w:space="0"/>
              <w:right w:val="single" w:color="000000" w:sz="4" w:space="0"/>
            </w:tcBorders>
            <w:noWrap/>
            <w:vAlign w:val="center"/>
          </w:tcPr>
          <w:p w14:paraId="121558DB">
            <w:pPr>
              <w:widowControl/>
              <w:ind w:firstLine="0" w:firstLineChars="0"/>
              <w:jc w:val="center"/>
              <w:textAlignment w:val="center"/>
              <w:rPr>
                <w:color w:val="000000"/>
                <w:sz w:val="22"/>
              </w:rPr>
            </w:pPr>
            <w:r>
              <w:rPr>
                <w:color w:val="000000"/>
                <w:kern w:val="0"/>
                <w:sz w:val="22"/>
              </w:rPr>
              <w:t>4.73</w:t>
            </w:r>
          </w:p>
        </w:tc>
        <w:tc>
          <w:tcPr>
            <w:tcW w:w="0" w:type="auto"/>
            <w:tcBorders>
              <w:top w:val="single" w:color="000000" w:sz="4" w:space="0"/>
              <w:left w:val="nil"/>
              <w:bottom w:val="single" w:color="000000" w:sz="4" w:space="0"/>
              <w:right w:val="single" w:color="000000" w:sz="4" w:space="0"/>
            </w:tcBorders>
            <w:noWrap/>
            <w:vAlign w:val="center"/>
          </w:tcPr>
          <w:p w14:paraId="57FE96E2">
            <w:pPr>
              <w:widowControl/>
              <w:ind w:firstLine="0" w:firstLineChars="0"/>
              <w:jc w:val="center"/>
              <w:textAlignment w:val="center"/>
              <w:rPr>
                <w:color w:val="000000"/>
                <w:sz w:val="22"/>
              </w:rPr>
            </w:pPr>
            <w:r>
              <w:rPr>
                <w:color w:val="000000"/>
                <w:kern w:val="0"/>
                <w:sz w:val="22"/>
              </w:rPr>
              <w:t>4.73</w:t>
            </w:r>
          </w:p>
        </w:tc>
        <w:tc>
          <w:tcPr>
            <w:tcW w:w="0" w:type="auto"/>
            <w:tcBorders>
              <w:top w:val="single" w:color="000000" w:sz="4" w:space="0"/>
              <w:left w:val="nil"/>
              <w:bottom w:val="single" w:color="000000" w:sz="4" w:space="0"/>
              <w:right w:val="single" w:color="000000" w:sz="4" w:space="0"/>
            </w:tcBorders>
            <w:noWrap/>
            <w:vAlign w:val="center"/>
          </w:tcPr>
          <w:p w14:paraId="5CEF4753">
            <w:pPr>
              <w:widowControl/>
              <w:ind w:firstLine="0" w:firstLineChars="0"/>
              <w:jc w:val="center"/>
              <w:textAlignment w:val="center"/>
              <w:rPr>
                <w:color w:val="000000"/>
                <w:sz w:val="22"/>
              </w:rPr>
            </w:pPr>
            <w:r>
              <w:rPr>
                <w:color w:val="000000"/>
                <w:kern w:val="0"/>
                <w:sz w:val="22"/>
              </w:rPr>
              <w:t>4.73</w:t>
            </w:r>
          </w:p>
        </w:tc>
      </w:tr>
      <w:tr w14:paraId="7693BDCF">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C17CABB">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部门石化能源碳排放因子</w:t>
            </w:r>
            <w:r>
              <w:rPr>
                <w:rFonts w:eastAsia="仿宋"/>
                <w:color w:val="000000"/>
                <w:kern w:val="0"/>
                <w:sz w:val="20"/>
                <w:szCs w:val="20"/>
              </w:rPr>
              <w:t xml:space="preserve">  X12-6</w:t>
            </w:r>
          </w:p>
        </w:tc>
        <w:tc>
          <w:tcPr>
            <w:tcW w:w="0" w:type="auto"/>
            <w:tcBorders>
              <w:top w:val="single" w:color="000000" w:sz="4" w:space="0"/>
              <w:left w:val="nil"/>
              <w:bottom w:val="single" w:color="000000" w:sz="4" w:space="0"/>
              <w:right w:val="single" w:color="000000" w:sz="4" w:space="0"/>
            </w:tcBorders>
            <w:noWrap/>
            <w:vAlign w:val="center"/>
          </w:tcPr>
          <w:p w14:paraId="47C94059">
            <w:pPr>
              <w:widowControl/>
              <w:ind w:firstLine="0" w:firstLineChars="0"/>
              <w:jc w:val="center"/>
              <w:textAlignment w:val="center"/>
              <w:rPr>
                <w:color w:val="000000"/>
                <w:sz w:val="22"/>
              </w:rPr>
            </w:pPr>
            <w:r>
              <w:rPr>
                <w:color w:val="000000"/>
                <w:kern w:val="0"/>
                <w:sz w:val="22"/>
              </w:rPr>
              <w:t>6.42</w:t>
            </w:r>
          </w:p>
        </w:tc>
        <w:tc>
          <w:tcPr>
            <w:tcW w:w="0" w:type="auto"/>
            <w:tcBorders>
              <w:top w:val="single" w:color="000000" w:sz="4" w:space="0"/>
              <w:left w:val="nil"/>
              <w:bottom w:val="single" w:color="000000" w:sz="4" w:space="0"/>
              <w:right w:val="single" w:color="000000" w:sz="4" w:space="0"/>
            </w:tcBorders>
            <w:noWrap/>
            <w:vAlign w:val="center"/>
          </w:tcPr>
          <w:p w14:paraId="0EB67D10">
            <w:pPr>
              <w:widowControl/>
              <w:ind w:firstLine="0" w:firstLineChars="0"/>
              <w:jc w:val="center"/>
              <w:textAlignment w:val="center"/>
              <w:rPr>
                <w:color w:val="000000"/>
                <w:sz w:val="22"/>
              </w:rPr>
            </w:pPr>
            <w:r>
              <w:rPr>
                <w:color w:val="000000"/>
                <w:kern w:val="0"/>
                <w:sz w:val="22"/>
              </w:rPr>
              <w:t>6.62</w:t>
            </w:r>
          </w:p>
        </w:tc>
        <w:tc>
          <w:tcPr>
            <w:tcW w:w="0" w:type="auto"/>
            <w:tcBorders>
              <w:top w:val="single" w:color="000000" w:sz="4" w:space="0"/>
              <w:left w:val="nil"/>
              <w:bottom w:val="single" w:color="000000" w:sz="4" w:space="0"/>
              <w:right w:val="single" w:color="000000" w:sz="4" w:space="0"/>
            </w:tcBorders>
            <w:noWrap/>
            <w:vAlign w:val="center"/>
          </w:tcPr>
          <w:p w14:paraId="09E8836A">
            <w:pPr>
              <w:widowControl/>
              <w:ind w:firstLine="0" w:firstLineChars="0"/>
              <w:jc w:val="center"/>
              <w:textAlignment w:val="center"/>
              <w:rPr>
                <w:color w:val="000000"/>
                <w:sz w:val="22"/>
              </w:rPr>
            </w:pPr>
            <w:r>
              <w:rPr>
                <w:color w:val="000000"/>
                <w:kern w:val="0"/>
                <w:sz w:val="22"/>
              </w:rPr>
              <w:t>6.72</w:t>
            </w:r>
          </w:p>
        </w:tc>
        <w:tc>
          <w:tcPr>
            <w:tcW w:w="0" w:type="auto"/>
            <w:tcBorders>
              <w:top w:val="single" w:color="000000" w:sz="4" w:space="0"/>
              <w:left w:val="nil"/>
              <w:bottom w:val="single" w:color="000000" w:sz="4" w:space="0"/>
              <w:right w:val="single" w:color="000000" w:sz="4" w:space="0"/>
            </w:tcBorders>
            <w:noWrap/>
            <w:vAlign w:val="center"/>
          </w:tcPr>
          <w:p w14:paraId="3806409E">
            <w:pPr>
              <w:widowControl/>
              <w:ind w:firstLine="0" w:firstLineChars="0"/>
              <w:jc w:val="center"/>
              <w:textAlignment w:val="center"/>
              <w:rPr>
                <w:color w:val="000000"/>
                <w:sz w:val="22"/>
              </w:rPr>
            </w:pPr>
            <w:r>
              <w:rPr>
                <w:color w:val="000000"/>
                <w:kern w:val="0"/>
                <w:sz w:val="22"/>
              </w:rPr>
              <w:t>6.18</w:t>
            </w:r>
          </w:p>
        </w:tc>
        <w:tc>
          <w:tcPr>
            <w:tcW w:w="0" w:type="auto"/>
            <w:tcBorders>
              <w:top w:val="single" w:color="000000" w:sz="4" w:space="0"/>
              <w:left w:val="nil"/>
              <w:bottom w:val="single" w:color="000000" w:sz="4" w:space="0"/>
              <w:right w:val="single" w:color="000000" w:sz="4" w:space="0"/>
            </w:tcBorders>
            <w:noWrap/>
            <w:vAlign w:val="center"/>
          </w:tcPr>
          <w:p w14:paraId="62E9AF55">
            <w:pPr>
              <w:widowControl/>
              <w:ind w:firstLine="0" w:firstLineChars="0"/>
              <w:jc w:val="center"/>
              <w:textAlignment w:val="center"/>
              <w:rPr>
                <w:color w:val="000000"/>
                <w:sz w:val="22"/>
              </w:rPr>
            </w:pPr>
            <w:r>
              <w:rPr>
                <w:color w:val="000000"/>
                <w:kern w:val="0"/>
                <w:sz w:val="22"/>
              </w:rPr>
              <w:t>6.23</w:t>
            </w:r>
          </w:p>
        </w:tc>
        <w:tc>
          <w:tcPr>
            <w:tcW w:w="0" w:type="auto"/>
            <w:tcBorders>
              <w:top w:val="single" w:color="000000" w:sz="4" w:space="0"/>
              <w:left w:val="nil"/>
              <w:bottom w:val="single" w:color="000000" w:sz="4" w:space="0"/>
              <w:right w:val="single" w:color="000000" w:sz="4" w:space="0"/>
            </w:tcBorders>
            <w:noWrap/>
            <w:vAlign w:val="center"/>
          </w:tcPr>
          <w:p w14:paraId="39F84A16">
            <w:pPr>
              <w:widowControl/>
              <w:ind w:firstLine="0" w:firstLineChars="0"/>
              <w:jc w:val="center"/>
              <w:textAlignment w:val="center"/>
              <w:rPr>
                <w:color w:val="000000"/>
                <w:sz w:val="22"/>
              </w:rPr>
            </w:pPr>
            <w:r>
              <w:rPr>
                <w:color w:val="000000"/>
                <w:kern w:val="0"/>
                <w:sz w:val="22"/>
              </w:rPr>
              <w:t>1841.72</w:t>
            </w:r>
          </w:p>
        </w:tc>
        <w:tc>
          <w:tcPr>
            <w:tcW w:w="0" w:type="auto"/>
            <w:tcBorders>
              <w:top w:val="single" w:color="000000" w:sz="4" w:space="0"/>
              <w:left w:val="nil"/>
              <w:bottom w:val="single" w:color="000000" w:sz="4" w:space="0"/>
              <w:right w:val="single" w:color="000000" w:sz="4" w:space="0"/>
            </w:tcBorders>
            <w:noWrap/>
            <w:vAlign w:val="center"/>
          </w:tcPr>
          <w:p w14:paraId="053F11A7">
            <w:pPr>
              <w:widowControl/>
              <w:ind w:firstLine="0" w:firstLineChars="0"/>
              <w:jc w:val="center"/>
              <w:textAlignment w:val="center"/>
              <w:rPr>
                <w:color w:val="000000"/>
                <w:sz w:val="22"/>
              </w:rPr>
            </w:pPr>
            <w:r>
              <w:rPr>
                <w:color w:val="000000"/>
                <w:kern w:val="0"/>
                <w:sz w:val="22"/>
              </w:rPr>
              <w:t>1926.17</w:t>
            </w:r>
          </w:p>
        </w:tc>
        <w:tc>
          <w:tcPr>
            <w:tcW w:w="0" w:type="auto"/>
            <w:tcBorders>
              <w:top w:val="single" w:color="000000" w:sz="4" w:space="0"/>
              <w:left w:val="nil"/>
              <w:bottom w:val="single" w:color="000000" w:sz="4" w:space="0"/>
              <w:right w:val="single" w:color="000000" w:sz="4" w:space="0"/>
            </w:tcBorders>
            <w:noWrap/>
            <w:vAlign w:val="center"/>
          </w:tcPr>
          <w:p w14:paraId="5F94D71C">
            <w:pPr>
              <w:widowControl/>
              <w:ind w:firstLine="0" w:firstLineChars="0"/>
              <w:jc w:val="center"/>
              <w:textAlignment w:val="center"/>
              <w:rPr>
                <w:color w:val="000000"/>
                <w:sz w:val="22"/>
              </w:rPr>
            </w:pPr>
            <w:r>
              <w:rPr>
                <w:color w:val="000000"/>
                <w:kern w:val="0"/>
                <w:sz w:val="22"/>
              </w:rPr>
              <w:t>2029.82</w:t>
            </w:r>
          </w:p>
        </w:tc>
        <w:tc>
          <w:tcPr>
            <w:tcW w:w="0" w:type="auto"/>
            <w:tcBorders>
              <w:top w:val="single" w:color="000000" w:sz="4" w:space="0"/>
              <w:left w:val="nil"/>
              <w:bottom w:val="single" w:color="000000" w:sz="4" w:space="0"/>
              <w:right w:val="single" w:color="000000" w:sz="4" w:space="0"/>
            </w:tcBorders>
            <w:noWrap/>
            <w:vAlign w:val="center"/>
          </w:tcPr>
          <w:p w14:paraId="6C0D23C9">
            <w:pPr>
              <w:widowControl/>
              <w:ind w:firstLine="0" w:firstLineChars="0"/>
              <w:jc w:val="center"/>
              <w:textAlignment w:val="center"/>
              <w:rPr>
                <w:color w:val="000000"/>
                <w:sz w:val="22"/>
              </w:rPr>
            </w:pPr>
            <w:r>
              <w:rPr>
                <w:color w:val="000000"/>
                <w:kern w:val="0"/>
                <w:sz w:val="22"/>
              </w:rPr>
              <w:t>2098.41</w:t>
            </w:r>
          </w:p>
        </w:tc>
        <w:tc>
          <w:tcPr>
            <w:tcW w:w="0" w:type="auto"/>
            <w:tcBorders>
              <w:top w:val="single" w:color="000000" w:sz="4" w:space="0"/>
              <w:left w:val="nil"/>
              <w:bottom w:val="single" w:color="000000" w:sz="4" w:space="0"/>
              <w:right w:val="single" w:color="000000" w:sz="4" w:space="0"/>
            </w:tcBorders>
            <w:noWrap/>
            <w:vAlign w:val="center"/>
          </w:tcPr>
          <w:p w14:paraId="4F22D552">
            <w:pPr>
              <w:widowControl/>
              <w:ind w:firstLine="0" w:firstLineChars="0"/>
              <w:jc w:val="center"/>
              <w:textAlignment w:val="center"/>
              <w:rPr>
                <w:color w:val="000000"/>
                <w:sz w:val="22"/>
              </w:rPr>
            </w:pPr>
            <w:r>
              <w:rPr>
                <w:color w:val="000000"/>
                <w:kern w:val="0"/>
                <w:sz w:val="22"/>
              </w:rPr>
              <w:t>2156.36</w:t>
            </w:r>
          </w:p>
        </w:tc>
        <w:tc>
          <w:tcPr>
            <w:tcW w:w="0" w:type="auto"/>
            <w:tcBorders>
              <w:top w:val="single" w:color="000000" w:sz="4" w:space="0"/>
              <w:left w:val="nil"/>
              <w:bottom w:val="single" w:color="000000" w:sz="4" w:space="0"/>
              <w:right w:val="single" w:color="000000" w:sz="4" w:space="0"/>
            </w:tcBorders>
            <w:noWrap/>
            <w:vAlign w:val="center"/>
          </w:tcPr>
          <w:p w14:paraId="065E9C02">
            <w:pPr>
              <w:widowControl/>
              <w:ind w:firstLine="0" w:firstLineChars="0"/>
              <w:jc w:val="center"/>
              <w:textAlignment w:val="center"/>
              <w:rPr>
                <w:color w:val="000000"/>
                <w:sz w:val="22"/>
              </w:rPr>
            </w:pPr>
            <w:r>
              <w:rPr>
                <w:color w:val="000000"/>
                <w:kern w:val="0"/>
                <w:sz w:val="22"/>
              </w:rPr>
              <w:t>0.00</w:t>
            </w:r>
          </w:p>
        </w:tc>
      </w:tr>
      <w:tr w14:paraId="4AFEB445">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CE59A2C">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部门每单位</w:t>
            </w:r>
            <w:r>
              <w:rPr>
                <w:rFonts w:eastAsia="仿宋"/>
                <w:color w:val="000000"/>
                <w:kern w:val="0"/>
                <w:sz w:val="20"/>
                <w:szCs w:val="20"/>
              </w:rPr>
              <w:t>GDP</w:t>
            </w:r>
            <w:r>
              <w:rPr>
                <w:rFonts w:ascii="仿宋" w:hAnsi="仿宋" w:eastAsia="仿宋"/>
                <w:color w:val="000000"/>
                <w:kern w:val="0"/>
                <w:sz w:val="20"/>
                <w:szCs w:val="20"/>
              </w:rPr>
              <w:t xml:space="preserve">消费量  </w:t>
            </w:r>
            <w:r>
              <w:rPr>
                <w:rFonts w:eastAsia="仿宋"/>
                <w:color w:val="000000"/>
                <w:kern w:val="0"/>
                <w:sz w:val="20"/>
                <w:szCs w:val="20"/>
              </w:rPr>
              <w:t xml:space="preserve">X13-1 </w:t>
            </w:r>
          </w:p>
        </w:tc>
        <w:tc>
          <w:tcPr>
            <w:tcW w:w="0" w:type="auto"/>
            <w:tcBorders>
              <w:top w:val="single" w:color="000000" w:sz="4" w:space="0"/>
              <w:left w:val="nil"/>
              <w:bottom w:val="single" w:color="000000" w:sz="4" w:space="0"/>
              <w:right w:val="single" w:color="000000" w:sz="4" w:space="0"/>
            </w:tcBorders>
            <w:noWrap/>
            <w:vAlign w:val="center"/>
          </w:tcPr>
          <w:p w14:paraId="2F585A16">
            <w:pPr>
              <w:ind w:firstLine="0" w:firstLineChars="0"/>
              <w:jc w:val="center"/>
              <w:rPr>
                <w:color w:val="000000"/>
                <w:sz w:val="22"/>
              </w:rPr>
            </w:pPr>
          </w:p>
        </w:tc>
        <w:tc>
          <w:tcPr>
            <w:tcW w:w="0" w:type="auto"/>
            <w:tcBorders>
              <w:top w:val="single" w:color="000000" w:sz="4" w:space="0"/>
              <w:left w:val="nil"/>
              <w:bottom w:val="single" w:color="000000" w:sz="4" w:space="0"/>
              <w:right w:val="single" w:color="000000" w:sz="4" w:space="0"/>
            </w:tcBorders>
            <w:noWrap/>
            <w:vAlign w:val="center"/>
          </w:tcPr>
          <w:p w14:paraId="6B84B822">
            <w:pPr>
              <w:widowControl/>
              <w:ind w:firstLine="0" w:firstLineChars="0"/>
              <w:jc w:val="center"/>
              <w:textAlignment w:val="center"/>
              <w:rPr>
                <w:color w:val="000000"/>
                <w:sz w:val="22"/>
              </w:rPr>
            </w:pPr>
            <w:r>
              <w:rPr>
                <w:color w:val="000000"/>
                <w:kern w:val="0"/>
                <w:sz w:val="22"/>
              </w:rPr>
              <w:t>1.20</w:t>
            </w:r>
          </w:p>
        </w:tc>
        <w:tc>
          <w:tcPr>
            <w:tcW w:w="0" w:type="auto"/>
            <w:tcBorders>
              <w:top w:val="single" w:color="000000" w:sz="4" w:space="0"/>
              <w:left w:val="nil"/>
              <w:bottom w:val="single" w:color="000000" w:sz="4" w:space="0"/>
              <w:right w:val="single" w:color="000000" w:sz="4" w:space="0"/>
            </w:tcBorders>
            <w:noWrap/>
            <w:vAlign w:val="center"/>
          </w:tcPr>
          <w:p w14:paraId="5D98EEC1">
            <w:pPr>
              <w:widowControl/>
              <w:ind w:firstLine="0" w:firstLineChars="0"/>
              <w:jc w:val="center"/>
              <w:textAlignment w:val="center"/>
              <w:rPr>
                <w:color w:val="000000"/>
                <w:sz w:val="22"/>
              </w:rPr>
            </w:pPr>
            <w:r>
              <w:rPr>
                <w:color w:val="000000"/>
                <w:kern w:val="0"/>
                <w:sz w:val="22"/>
              </w:rPr>
              <w:t>1.40</w:t>
            </w:r>
          </w:p>
        </w:tc>
        <w:tc>
          <w:tcPr>
            <w:tcW w:w="0" w:type="auto"/>
            <w:tcBorders>
              <w:top w:val="single" w:color="000000" w:sz="4" w:space="0"/>
              <w:left w:val="nil"/>
              <w:bottom w:val="single" w:color="000000" w:sz="4" w:space="0"/>
              <w:right w:val="single" w:color="000000" w:sz="4" w:space="0"/>
            </w:tcBorders>
            <w:noWrap/>
            <w:vAlign w:val="center"/>
          </w:tcPr>
          <w:p w14:paraId="4F0C4C70">
            <w:pPr>
              <w:widowControl/>
              <w:ind w:firstLine="0" w:firstLineChars="0"/>
              <w:jc w:val="center"/>
              <w:textAlignment w:val="center"/>
              <w:rPr>
                <w:color w:val="000000"/>
                <w:sz w:val="22"/>
              </w:rPr>
            </w:pPr>
            <w:r>
              <w:rPr>
                <w:color w:val="000000"/>
                <w:kern w:val="0"/>
                <w:sz w:val="22"/>
              </w:rPr>
              <w:t>2.12</w:t>
            </w:r>
          </w:p>
        </w:tc>
        <w:tc>
          <w:tcPr>
            <w:tcW w:w="0" w:type="auto"/>
            <w:tcBorders>
              <w:top w:val="single" w:color="000000" w:sz="4" w:space="0"/>
              <w:left w:val="nil"/>
              <w:bottom w:val="single" w:color="000000" w:sz="4" w:space="0"/>
              <w:right w:val="single" w:color="000000" w:sz="4" w:space="0"/>
            </w:tcBorders>
            <w:noWrap/>
            <w:vAlign w:val="center"/>
          </w:tcPr>
          <w:p w14:paraId="25DD34DD">
            <w:pPr>
              <w:widowControl/>
              <w:ind w:firstLine="0" w:firstLineChars="0"/>
              <w:jc w:val="center"/>
              <w:textAlignment w:val="center"/>
              <w:rPr>
                <w:color w:val="000000"/>
                <w:sz w:val="22"/>
              </w:rPr>
            </w:pPr>
            <w:r>
              <w:rPr>
                <w:color w:val="000000"/>
                <w:kern w:val="0"/>
                <w:sz w:val="22"/>
              </w:rPr>
              <w:t>2.95</w:t>
            </w:r>
          </w:p>
        </w:tc>
        <w:tc>
          <w:tcPr>
            <w:tcW w:w="0" w:type="auto"/>
            <w:tcBorders>
              <w:top w:val="single" w:color="000000" w:sz="4" w:space="0"/>
              <w:left w:val="nil"/>
              <w:bottom w:val="single" w:color="000000" w:sz="4" w:space="0"/>
              <w:right w:val="single" w:color="000000" w:sz="4" w:space="0"/>
            </w:tcBorders>
            <w:noWrap/>
            <w:vAlign w:val="center"/>
          </w:tcPr>
          <w:p w14:paraId="3241C366">
            <w:pPr>
              <w:widowControl/>
              <w:ind w:firstLine="0" w:firstLineChars="0"/>
              <w:jc w:val="center"/>
              <w:textAlignment w:val="center"/>
              <w:rPr>
                <w:color w:val="000000"/>
                <w:sz w:val="22"/>
              </w:rPr>
            </w:pPr>
            <w:r>
              <w:rPr>
                <w:color w:val="000000"/>
                <w:kern w:val="0"/>
                <w:sz w:val="22"/>
              </w:rPr>
              <w:t>1.55</w:t>
            </w:r>
          </w:p>
        </w:tc>
        <w:tc>
          <w:tcPr>
            <w:tcW w:w="0" w:type="auto"/>
            <w:tcBorders>
              <w:top w:val="single" w:color="000000" w:sz="4" w:space="0"/>
              <w:left w:val="nil"/>
              <w:bottom w:val="single" w:color="000000" w:sz="4" w:space="0"/>
              <w:right w:val="single" w:color="000000" w:sz="4" w:space="0"/>
            </w:tcBorders>
            <w:noWrap/>
            <w:vAlign w:val="center"/>
          </w:tcPr>
          <w:p w14:paraId="1FF1F3FA">
            <w:pPr>
              <w:widowControl/>
              <w:ind w:firstLine="0" w:firstLineChars="0"/>
              <w:jc w:val="center"/>
              <w:textAlignment w:val="center"/>
              <w:rPr>
                <w:color w:val="000000"/>
                <w:sz w:val="22"/>
              </w:rPr>
            </w:pPr>
            <w:r>
              <w:rPr>
                <w:color w:val="000000"/>
                <w:kern w:val="0"/>
                <w:sz w:val="22"/>
              </w:rPr>
              <w:t>7.95</w:t>
            </w:r>
          </w:p>
        </w:tc>
        <w:tc>
          <w:tcPr>
            <w:tcW w:w="0" w:type="auto"/>
            <w:tcBorders>
              <w:top w:val="single" w:color="000000" w:sz="4" w:space="0"/>
              <w:left w:val="nil"/>
              <w:bottom w:val="single" w:color="000000" w:sz="4" w:space="0"/>
              <w:right w:val="single" w:color="000000" w:sz="4" w:space="0"/>
            </w:tcBorders>
            <w:noWrap/>
            <w:vAlign w:val="center"/>
          </w:tcPr>
          <w:p w14:paraId="20298215">
            <w:pPr>
              <w:widowControl/>
              <w:ind w:firstLine="0" w:firstLineChars="0"/>
              <w:jc w:val="center"/>
              <w:textAlignment w:val="center"/>
              <w:rPr>
                <w:color w:val="000000"/>
                <w:sz w:val="22"/>
              </w:rPr>
            </w:pPr>
            <w:r>
              <w:rPr>
                <w:color w:val="000000"/>
                <w:kern w:val="0"/>
                <w:sz w:val="22"/>
              </w:rPr>
              <w:t xml:space="preserve">-3.61 </w:t>
            </w:r>
          </w:p>
        </w:tc>
        <w:tc>
          <w:tcPr>
            <w:tcW w:w="0" w:type="auto"/>
            <w:tcBorders>
              <w:top w:val="single" w:color="000000" w:sz="4" w:space="0"/>
              <w:left w:val="nil"/>
              <w:bottom w:val="single" w:color="000000" w:sz="4" w:space="0"/>
              <w:right w:val="single" w:color="000000" w:sz="4" w:space="0"/>
            </w:tcBorders>
            <w:noWrap/>
            <w:vAlign w:val="center"/>
          </w:tcPr>
          <w:p w14:paraId="7370254F">
            <w:pPr>
              <w:widowControl/>
              <w:ind w:firstLine="0" w:firstLineChars="0"/>
              <w:jc w:val="center"/>
              <w:textAlignment w:val="center"/>
              <w:rPr>
                <w:color w:val="000000"/>
                <w:sz w:val="22"/>
              </w:rPr>
            </w:pPr>
            <w:r>
              <w:rPr>
                <w:color w:val="000000"/>
                <w:kern w:val="0"/>
                <w:sz w:val="22"/>
              </w:rPr>
              <w:t>19.86</w:t>
            </w:r>
          </w:p>
        </w:tc>
        <w:tc>
          <w:tcPr>
            <w:tcW w:w="0" w:type="auto"/>
            <w:tcBorders>
              <w:top w:val="single" w:color="000000" w:sz="4" w:space="0"/>
              <w:left w:val="nil"/>
              <w:bottom w:val="single" w:color="000000" w:sz="4" w:space="0"/>
              <w:right w:val="single" w:color="000000" w:sz="4" w:space="0"/>
            </w:tcBorders>
            <w:noWrap/>
            <w:vAlign w:val="center"/>
          </w:tcPr>
          <w:p w14:paraId="3054450E">
            <w:pPr>
              <w:widowControl/>
              <w:ind w:firstLine="0" w:firstLineChars="0"/>
              <w:jc w:val="center"/>
              <w:textAlignment w:val="center"/>
              <w:rPr>
                <w:color w:val="000000"/>
                <w:sz w:val="22"/>
              </w:rPr>
            </w:pPr>
            <w:r>
              <w:rPr>
                <w:color w:val="000000"/>
                <w:kern w:val="0"/>
                <w:sz w:val="22"/>
              </w:rPr>
              <w:t>3.25</w:t>
            </w:r>
          </w:p>
        </w:tc>
        <w:tc>
          <w:tcPr>
            <w:tcW w:w="0" w:type="auto"/>
            <w:tcBorders>
              <w:top w:val="single" w:color="000000" w:sz="4" w:space="0"/>
              <w:left w:val="nil"/>
              <w:bottom w:val="single" w:color="000000" w:sz="4" w:space="0"/>
              <w:right w:val="single" w:color="000000" w:sz="4" w:space="0"/>
            </w:tcBorders>
            <w:noWrap/>
            <w:vAlign w:val="center"/>
          </w:tcPr>
          <w:p w14:paraId="2BE9FF95">
            <w:pPr>
              <w:widowControl/>
              <w:ind w:firstLine="0" w:firstLineChars="0"/>
              <w:jc w:val="center"/>
              <w:textAlignment w:val="center"/>
              <w:rPr>
                <w:color w:val="000000"/>
                <w:sz w:val="22"/>
              </w:rPr>
            </w:pPr>
            <w:r>
              <w:rPr>
                <w:color w:val="000000"/>
                <w:kern w:val="0"/>
                <w:sz w:val="22"/>
              </w:rPr>
              <w:t>2.23</w:t>
            </w:r>
          </w:p>
        </w:tc>
      </w:tr>
      <w:tr w14:paraId="043C633C">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8569D4D">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部门每单位</w:t>
            </w:r>
            <w:r>
              <w:rPr>
                <w:rFonts w:eastAsia="仿宋"/>
                <w:color w:val="000000"/>
                <w:kern w:val="0"/>
                <w:sz w:val="20"/>
                <w:szCs w:val="20"/>
              </w:rPr>
              <w:t>GDP</w:t>
            </w:r>
            <w:r>
              <w:rPr>
                <w:rFonts w:ascii="仿宋" w:hAnsi="仿宋" w:eastAsia="仿宋"/>
                <w:color w:val="000000"/>
                <w:kern w:val="0"/>
                <w:sz w:val="20"/>
                <w:szCs w:val="20"/>
              </w:rPr>
              <w:t xml:space="preserve">消费量  </w:t>
            </w:r>
            <w:r>
              <w:rPr>
                <w:rFonts w:eastAsia="仿宋"/>
                <w:color w:val="000000"/>
                <w:kern w:val="0"/>
                <w:sz w:val="20"/>
                <w:szCs w:val="20"/>
              </w:rPr>
              <w:t xml:space="preserve">X13-2 </w:t>
            </w:r>
          </w:p>
        </w:tc>
        <w:tc>
          <w:tcPr>
            <w:tcW w:w="0" w:type="auto"/>
            <w:tcBorders>
              <w:top w:val="single" w:color="000000" w:sz="4" w:space="0"/>
              <w:left w:val="nil"/>
              <w:bottom w:val="single" w:color="000000" w:sz="4" w:space="0"/>
              <w:right w:val="single" w:color="000000" w:sz="4" w:space="0"/>
            </w:tcBorders>
            <w:noWrap/>
            <w:vAlign w:val="center"/>
          </w:tcPr>
          <w:p w14:paraId="1DDD4B79">
            <w:pPr>
              <w:ind w:firstLine="0" w:firstLineChars="0"/>
              <w:jc w:val="center"/>
              <w:rPr>
                <w:color w:val="000000"/>
                <w:sz w:val="22"/>
              </w:rPr>
            </w:pPr>
          </w:p>
        </w:tc>
        <w:tc>
          <w:tcPr>
            <w:tcW w:w="0" w:type="auto"/>
            <w:tcBorders>
              <w:top w:val="single" w:color="000000" w:sz="4" w:space="0"/>
              <w:left w:val="nil"/>
              <w:bottom w:val="single" w:color="000000" w:sz="4" w:space="0"/>
              <w:right w:val="single" w:color="000000" w:sz="4" w:space="0"/>
            </w:tcBorders>
            <w:noWrap/>
            <w:vAlign w:val="center"/>
          </w:tcPr>
          <w:p w14:paraId="4DA512C9">
            <w:pPr>
              <w:widowControl/>
              <w:ind w:firstLine="0" w:firstLineChars="0"/>
              <w:jc w:val="center"/>
              <w:textAlignment w:val="center"/>
              <w:rPr>
                <w:color w:val="000000"/>
                <w:sz w:val="22"/>
              </w:rPr>
            </w:pPr>
            <w:r>
              <w:rPr>
                <w:color w:val="000000"/>
                <w:kern w:val="0"/>
                <w:sz w:val="22"/>
              </w:rPr>
              <w:t>45.90</w:t>
            </w:r>
          </w:p>
        </w:tc>
        <w:tc>
          <w:tcPr>
            <w:tcW w:w="0" w:type="auto"/>
            <w:tcBorders>
              <w:top w:val="single" w:color="000000" w:sz="4" w:space="0"/>
              <w:left w:val="nil"/>
              <w:bottom w:val="single" w:color="000000" w:sz="4" w:space="0"/>
              <w:right w:val="single" w:color="000000" w:sz="4" w:space="0"/>
            </w:tcBorders>
            <w:noWrap/>
            <w:vAlign w:val="center"/>
          </w:tcPr>
          <w:p w14:paraId="50CE7AD7">
            <w:pPr>
              <w:widowControl/>
              <w:ind w:firstLine="0" w:firstLineChars="0"/>
              <w:jc w:val="center"/>
              <w:textAlignment w:val="center"/>
              <w:rPr>
                <w:color w:val="000000"/>
                <w:sz w:val="22"/>
              </w:rPr>
            </w:pPr>
            <w:r>
              <w:rPr>
                <w:color w:val="000000"/>
                <w:kern w:val="0"/>
                <w:sz w:val="22"/>
              </w:rPr>
              <w:t xml:space="preserve">-150.36 </w:t>
            </w:r>
          </w:p>
        </w:tc>
        <w:tc>
          <w:tcPr>
            <w:tcW w:w="0" w:type="auto"/>
            <w:tcBorders>
              <w:top w:val="single" w:color="000000" w:sz="4" w:space="0"/>
              <w:left w:val="nil"/>
              <w:bottom w:val="single" w:color="000000" w:sz="4" w:space="0"/>
              <w:right w:val="single" w:color="000000" w:sz="4" w:space="0"/>
            </w:tcBorders>
            <w:noWrap/>
            <w:vAlign w:val="center"/>
          </w:tcPr>
          <w:p w14:paraId="1C4B716F">
            <w:pPr>
              <w:widowControl/>
              <w:ind w:firstLine="0" w:firstLineChars="0"/>
              <w:jc w:val="center"/>
              <w:textAlignment w:val="center"/>
              <w:rPr>
                <w:color w:val="000000"/>
                <w:sz w:val="22"/>
              </w:rPr>
            </w:pPr>
            <w:r>
              <w:rPr>
                <w:color w:val="000000"/>
                <w:kern w:val="0"/>
                <w:sz w:val="22"/>
              </w:rPr>
              <w:t>89.38</w:t>
            </w:r>
          </w:p>
        </w:tc>
        <w:tc>
          <w:tcPr>
            <w:tcW w:w="0" w:type="auto"/>
            <w:tcBorders>
              <w:top w:val="single" w:color="000000" w:sz="4" w:space="0"/>
              <w:left w:val="nil"/>
              <w:bottom w:val="single" w:color="000000" w:sz="4" w:space="0"/>
              <w:right w:val="single" w:color="000000" w:sz="4" w:space="0"/>
            </w:tcBorders>
            <w:noWrap/>
            <w:vAlign w:val="center"/>
          </w:tcPr>
          <w:p w14:paraId="154B754F">
            <w:pPr>
              <w:widowControl/>
              <w:ind w:firstLine="0" w:firstLineChars="0"/>
              <w:jc w:val="center"/>
              <w:textAlignment w:val="center"/>
              <w:rPr>
                <w:color w:val="000000"/>
                <w:sz w:val="22"/>
              </w:rPr>
            </w:pPr>
            <w:r>
              <w:rPr>
                <w:color w:val="000000"/>
                <w:kern w:val="0"/>
                <w:sz w:val="22"/>
              </w:rPr>
              <w:t>32.01</w:t>
            </w:r>
          </w:p>
        </w:tc>
        <w:tc>
          <w:tcPr>
            <w:tcW w:w="0" w:type="auto"/>
            <w:tcBorders>
              <w:top w:val="single" w:color="000000" w:sz="4" w:space="0"/>
              <w:left w:val="nil"/>
              <w:bottom w:val="single" w:color="000000" w:sz="4" w:space="0"/>
              <w:right w:val="single" w:color="000000" w:sz="4" w:space="0"/>
            </w:tcBorders>
            <w:noWrap/>
            <w:vAlign w:val="center"/>
          </w:tcPr>
          <w:p w14:paraId="0AE02434">
            <w:pPr>
              <w:widowControl/>
              <w:ind w:firstLine="0" w:firstLineChars="0"/>
              <w:jc w:val="center"/>
              <w:textAlignment w:val="center"/>
              <w:rPr>
                <w:color w:val="000000"/>
                <w:sz w:val="22"/>
              </w:rPr>
            </w:pPr>
            <w:r>
              <w:rPr>
                <w:color w:val="000000"/>
                <w:kern w:val="0"/>
                <w:sz w:val="22"/>
              </w:rPr>
              <w:t>116.46</w:t>
            </w:r>
          </w:p>
        </w:tc>
        <w:tc>
          <w:tcPr>
            <w:tcW w:w="0" w:type="auto"/>
            <w:tcBorders>
              <w:top w:val="single" w:color="000000" w:sz="4" w:space="0"/>
              <w:left w:val="nil"/>
              <w:bottom w:val="single" w:color="000000" w:sz="4" w:space="0"/>
              <w:right w:val="single" w:color="000000" w:sz="4" w:space="0"/>
            </w:tcBorders>
            <w:noWrap/>
            <w:vAlign w:val="center"/>
          </w:tcPr>
          <w:p w14:paraId="53D9A3D3">
            <w:pPr>
              <w:widowControl/>
              <w:ind w:firstLine="0" w:firstLineChars="0"/>
              <w:jc w:val="center"/>
              <w:textAlignment w:val="center"/>
              <w:rPr>
                <w:color w:val="000000"/>
                <w:sz w:val="22"/>
              </w:rPr>
            </w:pPr>
            <w:r>
              <w:rPr>
                <w:color w:val="000000"/>
                <w:kern w:val="0"/>
                <w:sz w:val="22"/>
              </w:rPr>
              <w:t>66.05</w:t>
            </w:r>
          </w:p>
        </w:tc>
        <w:tc>
          <w:tcPr>
            <w:tcW w:w="0" w:type="auto"/>
            <w:tcBorders>
              <w:top w:val="single" w:color="000000" w:sz="4" w:space="0"/>
              <w:left w:val="nil"/>
              <w:bottom w:val="single" w:color="000000" w:sz="4" w:space="0"/>
              <w:right w:val="single" w:color="000000" w:sz="4" w:space="0"/>
            </w:tcBorders>
            <w:noWrap/>
            <w:vAlign w:val="center"/>
          </w:tcPr>
          <w:p w14:paraId="5F6EB3B0">
            <w:pPr>
              <w:widowControl/>
              <w:ind w:firstLine="0" w:firstLineChars="0"/>
              <w:jc w:val="center"/>
              <w:textAlignment w:val="center"/>
              <w:rPr>
                <w:color w:val="000000"/>
                <w:sz w:val="22"/>
              </w:rPr>
            </w:pPr>
            <w:r>
              <w:rPr>
                <w:color w:val="000000"/>
                <w:kern w:val="0"/>
                <w:sz w:val="22"/>
              </w:rPr>
              <w:t>96.49</w:t>
            </w:r>
          </w:p>
        </w:tc>
        <w:tc>
          <w:tcPr>
            <w:tcW w:w="0" w:type="auto"/>
            <w:tcBorders>
              <w:top w:val="single" w:color="000000" w:sz="4" w:space="0"/>
              <w:left w:val="nil"/>
              <w:bottom w:val="single" w:color="000000" w:sz="4" w:space="0"/>
              <w:right w:val="single" w:color="000000" w:sz="4" w:space="0"/>
            </w:tcBorders>
            <w:noWrap/>
            <w:vAlign w:val="center"/>
          </w:tcPr>
          <w:p w14:paraId="34F03F34">
            <w:pPr>
              <w:widowControl/>
              <w:ind w:firstLine="0" w:firstLineChars="0"/>
              <w:jc w:val="center"/>
              <w:textAlignment w:val="center"/>
              <w:rPr>
                <w:color w:val="000000"/>
                <w:sz w:val="22"/>
              </w:rPr>
            </w:pPr>
            <w:r>
              <w:rPr>
                <w:color w:val="000000"/>
                <w:kern w:val="0"/>
                <w:sz w:val="22"/>
              </w:rPr>
              <w:t>84.61</w:t>
            </w:r>
          </w:p>
        </w:tc>
        <w:tc>
          <w:tcPr>
            <w:tcW w:w="0" w:type="auto"/>
            <w:tcBorders>
              <w:top w:val="single" w:color="000000" w:sz="4" w:space="0"/>
              <w:left w:val="nil"/>
              <w:bottom w:val="single" w:color="000000" w:sz="4" w:space="0"/>
              <w:right w:val="single" w:color="000000" w:sz="4" w:space="0"/>
            </w:tcBorders>
            <w:noWrap/>
            <w:vAlign w:val="center"/>
          </w:tcPr>
          <w:p w14:paraId="7FB586AD">
            <w:pPr>
              <w:widowControl/>
              <w:ind w:firstLine="0" w:firstLineChars="0"/>
              <w:jc w:val="center"/>
              <w:textAlignment w:val="center"/>
              <w:rPr>
                <w:color w:val="000000"/>
                <w:sz w:val="22"/>
              </w:rPr>
            </w:pPr>
            <w:r>
              <w:rPr>
                <w:color w:val="000000"/>
                <w:kern w:val="0"/>
                <w:sz w:val="22"/>
              </w:rPr>
              <w:t xml:space="preserve">-221.33 </w:t>
            </w:r>
          </w:p>
        </w:tc>
        <w:tc>
          <w:tcPr>
            <w:tcW w:w="0" w:type="auto"/>
            <w:tcBorders>
              <w:top w:val="single" w:color="000000" w:sz="4" w:space="0"/>
              <w:left w:val="nil"/>
              <w:bottom w:val="single" w:color="000000" w:sz="4" w:space="0"/>
              <w:right w:val="single" w:color="000000" w:sz="4" w:space="0"/>
            </w:tcBorders>
            <w:noWrap/>
            <w:vAlign w:val="center"/>
          </w:tcPr>
          <w:p w14:paraId="71FCA46A">
            <w:pPr>
              <w:widowControl/>
              <w:ind w:firstLine="0" w:firstLineChars="0"/>
              <w:jc w:val="center"/>
              <w:textAlignment w:val="center"/>
              <w:rPr>
                <w:color w:val="000000"/>
                <w:sz w:val="22"/>
              </w:rPr>
            </w:pPr>
            <w:r>
              <w:rPr>
                <w:color w:val="000000"/>
                <w:kern w:val="0"/>
                <w:sz w:val="22"/>
              </w:rPr>
              <w:t xml:space="preserve">-3.89 </w:t>
            </w:r>
          </w:p>
        </w:tc>
      </w:tr>
      <w:tr w14:paraId="2BE28C42">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BB7977E">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部门每单位</w:t>
            </w:r>
            <w:r>
              <w:rPr>
                <w:rFonts w:eastAsia="仿宋"/>
                <w:color w:val="000000"/>
                <w:kern w:val="0"/>
                <w:sz w:val="20"/>
                <w:szCs w:val="20"/>
              </w:rPr>
              <w:t>GDP</w:t>
            </w:r>
            <w:r>
              <w:rPr>
                <w:rFonts w:ascii="仿宋" w:hAnsi="仿宋" w:eastAsia="仿宋"/>
                <w:color w:val="000000"/>
                <w:kern w:val="0"/>
                <w:sz w:val="20"/>
                <w:szCs w:val="20"/>
              </w:rPr>
              <w:t xml:space="preserve">消费量  </w:t>
            </w:r>
            <w:r>
              <w:rPr>
                <w:rFonts w:eastAsia="仿宋"/>
                <w:color w:val="000000"/>
                <w:kern w:val="0"/>
                <w:sz w:val="20"/>
                <w:szCs w:val="20"/>
              </w:rPr>
              <w:t xml:space="preserve">X13-3 </w:t>
            </w:r>
          </w:p>
        </w:tc>
        <w:tc>
          <w:tcPr>
            <w:tcW w:w="0" w:type="auto"/>
            <w:tcBorders>
              <w:top w:val="single" w:color="000000" w:sz="4" w:space="0"/>
              <w:left w:val="nil"/>
              <w:bottom w:val="single" w:color="000000" w:sz="4" w:space="0"/>
              <w:right w:val="single" w:color="000000" w:sz="4" w:space="0"/>
            </w:tcBorders>
            <w:noWrap/>
            <w:vAlign w:val="center"/>
          </w:tcPr>
          <w:p w14:paraId="6D3B7411">
            <w:pPr>
              <w:ind w:firstLine="0" w:firstLineChars="0"/>
              <w:jc w:val="center"/>
              <w:rPr>
                <w:color w:val="000000"/>
                <w:sz w:val="22"/>
              </w:rPr>
            </w:pPr>
          </w:p>
        </w:tc>
        <w:tc>
          <w:tcPr>
            <w:tcW w:w="0" w:type="auto"/>
            <w:tcBorders>
              <w:top w:val="single" w:color="000000" w:sz="4" w:space="0"/>
              <w:left w:val="nil"/>
              <w:bottom w:val="single" w:color="000000" w:sz="4" w:space="0"/>
              <w:right w:val="single" w:color="000000" w:sz="4" w:space="0"/>
            </w:tcBorders>
            <w:noWrap/>
            <w:vAlign w:val="center"/>
          </w:tcPr>
          <w:p w14:paraId="1CE0B254">
            <w:pPr>
              <w:widowControl/>
              <w:ind w:firstLine="0" w:firstLineChars="0"/>
              <w:jc w:val="center"/>
              <w:textAlignment w:val="center"/>
              <w:rPr>
                <w:color w:val="000000"/>
                <w:sz w:val="20"/>
                <w:szCs w:val="20"/>
              </w:rPr>
            </w:pPr>
            <w:r>
              <w:rPr>
                <w:color w:val="000000"/>
                <w:kern w:val="0"/>
                <w:sz w:val="20"/>
                <w:szCs w:val="20"/>
              </w:rPr>
              <w:t>8.23</w:t>
            </w:r>
          </w:p>
        </w:tc>
        <w:tc>
          <w:tcPr>
            <w:tcW w:w="0" w:type="auto"/>
            <w:tcBorders>
              <w:top w:val="single" w:color="000000" w:sz="4" w:space="0"/>
              <w:left w:val="nil"/>
              <w:bottom w:val="single" w:color="000000" w:sz="4" w:space="0"/>
              <w:right w:val="single" w:color="000000" w:sz="4" w:space="0"/>
            </w:tcBorders>
            <w:noWrap/>
            <w:vAlign w:val="center"/>
          </w:tcPr>
          <w:p w14:paraId="7326079F">
            <w:pPr>
              <w:widowControl/>
              <w:ind w:firstLine="0" w:firstLineChars="0"/>
              <w:jc w:val="center"/>
              <w:textAlignment w:val="center"/>
              <w:rPr>
                <w:color w:val="000000"/>
                <w:sz w:val="20"/>
                <w:szCs w:val="20"/>
              </w:rPr>
            </w:pPr>
            <w:r>
              <w:rPr>
                <w:color w:val="000000"/>
                <w:kern w:val="0"/>
                <w:sz w:val="20"/>
                <w:szCs w:val="20"/>
              </w:rPr>
              <w:t>9.12</w:t>
            </w:r>
          </w:p>
        </w:tc>
        <w:tc>
          <w:tcPr>
            <w:tcW w:w="0" w:type="auto"/>
            <w:tcBorders>
              <w:top w:val="single" w:color="000000" w:sz="4" w:space="0"/>
              <w:left w:val="nil"/>
              <w:bottom w:val="single" w:color="000000" w:sz="4" w:space="0"/>
              <w:right w:val="single" w:color="000000" w:sz="4" w:space="0"/>
            </w:tcBorders>
            <w:noWrap/>
            <w:vAlign w:val="center"/>
          </w:tcPr>
          <w:p w14:paraId="14FF4711">
            <w:pPr>
              <w:widowControl/>
              <w:ind w:firstLine="0" w:firstLineChars="0"/>
              <w:jc w:val="center"/>
              <w:textAlignment w:val="center"/>
              <w:rPr>
                <w:color w:val="000000"/>
                <w:sz w:val="20"/>
                <w:szCs w:val="20"/>
              </w:rPr>
            </w:pPr>
            <w:r>
              <w:rPr>
                <w:color w:val="000000"/>
                <w:kern w:val="0"/>
                <w:sz w:val="20"/>
                <w:szCs w:val="20"/>
              </w:rPr>
              <w:t>9.39</w:t>
            </w:r>
          </w:p>
        </w:tc>
        <w:tc>
          <w:tcPr>
            <w:tcW w:w="0" w:type="auto"/>
            <w:tcBorders>
              <w:top w:val="single" w:color="000000" w:sz="4" w:space="0"/>
              <w:left w:val="nil"/>
              <w:bottom w:val="single" w:color="000000" w:sz="4" w:space="0"/>
              <w:right w:val="single" w:color="000000" w:sz="4" w:space="0"/>
            </w:tcBorders>
            <w:noWrap/>
            <w:vAlign w:val="center"/>
          </w:tcPr>
          <w:p w14:paraId="205604A9">
            <w:pPr>
              <w:widowControl/>
              <w:ind w:firstLine="0" w:firstLineChars="0"/>
              <w:jc w:val="center"/>
              <w:textAlignment w:val="center"/>
              <w:rPr>
                <w:color w:val="000000"/>
                <w:sz w:val="20"/>
                <w:szCs w:val="20"/>
              </w:rPr>
            </w:pPr>
            <w:r>
              <w:rPr>
                <w:color w:val="000000"/>
                <w:kern w:val="0"/>
                <w:sz w:val="20"/>
                <w:szCs w:val="20"/>
              </w:rPr>
              <w:t>11.16</w:t>
            </w:r>
          </w:p>
        </w:tc>
        <w:tc>
          <w:tcPr>
            <w:tcW w:w="0" w:type="auto"/>
            <w:tcBorders>
              <w:top w:val="single" w:color="000000" w:sz="4" w:space="0"/>
              <w:left w:val="nil"/>
              <w:bottom w:val="single" w:color="000000" w:sz="4" w:space="0"/>
              <w:right w:val="single" w:color="000000" w:sz="4" w:space="0"/>
            </w:tcBorders>
            <w:noWrap/>
            <w:vAlign w:val="center"/>
          </w:tcPr>
          <w:p w14:paraId="1EFD84B0">
            <w:pPr>
              <w:widowControl/>
              <w:ind w:firstLine="0" w:firstLineChars="0"/>
              <w:jc w:val="center"/>
              <w:textAlignment w:val="center"/>
              <w:rPr>
                <w:color w:val="000000"/>
                <w:sz w:val="20"/>
                <w:szCs w:val="20"/>
              </w:rPr>
            </w:pPr>
            <w:r>
              <w:rPr>
                <w:color w:val="000000"/>
                <w:kern w:val="0"/>
                <w:sz w:val="20"/>
                <w:szCs w:val="20"/>
              </w:rPr>
              <w:t>10.88</w:t>
            </w:r>
          </w:p>
        </w:tc>
        <w:tc>
          <w:tcPr>
            <w:tcW w:w="0" w:type="auto"/>
            <w:tcBorders>
              <w:top w:val="single" w:color="000000" w:sz="4" w:space="0"/>
              <w:left w:val="nil"/>
              <w:bottom w:val="single" w:color="000000" w:sz="4" w:space="0"/>
              <w:right w:val="single" w:color="000000" w:sz="4" w:space="0"/>
            </w:tcBorders>
            <w:noWrap/>
            <w:vAlign w:val="center"/>
          </w:tcPr>
          <w:p w14:paraId="7ED81DBD">
            <w:pPr>
              <w:widowControl/>
              <w:ind w:firstLine="0" w:firstLineChars="0"/>
              <w:jc w:val="center"/>
              <w:textAlignment w:val="center"/>
              <w:rPr>
                <w:color w:val="000000"/>
                <w:sz w:val="20"/>
                <w:szCs w:val="20"/>
              </w:rPr>
            </w:pPr>
            <w:r>
              <w:rPr>
                <w:color w:val="000000"/>
                <w:kern w:val="0"/>
                <w:sz w:val="20"/>
                <w:szCs w:val="20"/>
              </w:rPr>
              <w:t>14.15</w:t>
            </w:r>
          </w:p>
        </w:tc>
        <w:tc>
          <w:tcPr>
            <w:tcW w:w="0" w:type="auto"/>
            <w:tcBorders>
              <w:top w:val="single" w:color="000000" w:sz="4" w:space="0"/>
              <w:left w:val="nil"/>
              <w:bottom w:val="single" w:color="000000" w:sz="4" w:space="0"/>
              <w:right w:val="single" w:color="000000" w:sz="4" w:space="0"/>
            </w:tcBorders>
            <w:noWrap/>
            <w:vAlign w:val="center"/>
          </w:tcPr>
          <w:p w14:paraId="43F9D8A4">
            <w:pPr>
              <w:widowControl/>
              <w:ind w:firstLine="0" w:firstLineChars="0"/>
              <w:jc w:val="center"/>
              <w:textAlignment w:val="center"/>
              <w:rPr>
                <w:color w:val="000000"/>
                <w:sz w:val="20"/>
                <w:szCs w:val="20"/>
              </w:rPr>
            </w:pPr>
            <w:r>
              <w:rPr>
                <w:color w:val="000000"/>
                <w:kern w:val="0"/>
                <w:sz w:val="20"/>
                <w:szCs w:val="20"/>
              </w:rPr>
              <w:t>7.45</w:t>
            </w:r>
          </w:p>
        </w:tc>
        <w:tc>
          <w:tcPr>
            <w:tcW w:w="0" w:type="auto"/>
            <w:tcBorders>
              <w:top w:val="single" w:color="000000" w:sz="4" w:space="0"/>
              <w:left w:val="nil"/>
              <w:bottom w:val="single" w:color="000000" w:sz="4" w:space="0"/>
              <w:right w:val="single" w:color="000000" w:sz="4" w:space="0"/>
            </w:tcBorders>
            <w:noWrap/>
            <w:vAlign w:val="center"/>
          </w:tcPr>
          <w:p w14:paraId="62F8E484">
            <w:pPr>
              <w:widowControl/>
              <w:ind w:firstLine="0" w:firstLineChars="0"/>
              <w:jc w:val="center"/>
              <w:textAlignment w:val="center"/>
              <w:rPr>
                <w:color w:val="000000"/>
                <w:sz w:val="20"/>
                <w:szCs w:val="20"/>
              </w:rPr>
            </w:pPr>
            <w:r>
              <w:rPr>
                <w:color w:val="000000"/>
                <w:kern w:val="0"/>
                <w:sz w:val="20"/>
                <w:szCs w:val="20"/>
              </w:rPr>
              <w:t>9.33</w:t>
            </w:r>
          </w:p>
        </w:tc>
        <w:tc>
          <w:tcPr>
            <w:tcW w:w="0" w:type="auto"/>
            <w:tcBorders>
              <w:top w:val="single" w:color="000000" w:sz="4" w:space="0"/>
              <w:left w:val="nil"/>
              <w:bottom w:val="single" w:color="000000" w:sz="4" w:space="0"/>
              <w:right w:val="single" w:color="000000" w:sz="4" w:space="0"/>
            </w:tcBorders>
            <w:noWrap/>
            <w:vAlign w:val="center"/>
          </w:tcPr>
          <w:p w14:paraId="01638D19">
            <w:pPr>
              <w:widowControl/>
              <w:ind w:firstLine="0" w:firstLineChars="0"/>
              <w:jc w:val="center"/>
              <w:textAlignment w:val="center"/>
              <w:rPr>
                <w:color w:val="000000"/>
                <w:sz w:val="20"/>
                <w:szCs w:val="20"/>
              </w:rPr>
            </w:pPr>
            <w:r>
              <w:rPr>
                <w:color w:val="000000"/>
                <w:kern w:val="0"/>
                <w:sz w:val="20"/>
                <w:szCs w:val="20"/>
              </w:rPr>
              <w:t>17.24</w:t>
            </w:r>
          </w:p>
        </w:tc>
        <w:tc>
          <w:tcPr>
            <w:tcW w:w="0" w:type="auto"/>
            <w:tcBorders>
              <w:top w:val="single" w:color="000000" w:sz="4" w:space="0"/>
              <w:left w:val="nil"/>
              <w:bottom w:val="single" w:color="000000" w:sz="4" w:space="0"/>
              <w:right w:val="single" w:color="000000" w:sz="4" w:space="0"/>
            </w:tcBorders>
            <w:noWrap/>
            <w:vAlign w:val="center"/>
          </w:tcPr>
          <w:p w14:paraId="6328B632">
            <w:pPr>
              <w:widowControl/>
              <w:ind w:firstLine="0" w:firstLineChars="0"/>
              <w:jc w:val="center"/>
              <w:textAlignment w:val="center"/>
              <w:rPr>
                <w:color w:val="000000"/>
                <w:sz w:val="20"/>
                <w:szCs w:val="20"/>
              </w:rPr>
            </w:pPr>
            <w:r>
              <w:rPr>
                <w:color w:val="000000"/>
                <w:kern w:val="0"/>
                <w:sz w:val="20"/>
                <w:szCs w:val="20"/>
              </w:rPr>
              <w:t>38.90</w:t>
            </w:r>
          </w:p>
        </w:tc>
      </w:tr>
      <w:tr w14:paraId="35C57C5F">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2B9B17">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部门每单位</w:t>
            </w:r>
            <w:r>
              <w:rPr>
                <w:rFonts w:eastAsia="仿宋"/>
                <w:color w:val="000000"/>
                <w:kern w:val="0"/>
                <w:sz w:val="20"/>
                <w:szCs w:val="20"/>
              </w:rPr>
              <w:t>GDP</w:t>
            </w:r>
            <w:r>
              <w:rPr>
                <w:rFonts w:ascii="仿宋" w:hAnsi="仿宋" w:eastAsia="仿宋"/>
                <w:color w:val="000000"/>
                <w:kern w:val="0"/>
                <w:sz w:val="20"/>
                <w:szCs w:val="20"/>
              </w:rPr>
              <w:t xml:space="preserve">消费量  </w:t>
            </w:r>
            <w:r>
              <w:rPr>
                <w:rFonts w:eastAsia="仿宋"/>
                <w:color w:val="000000"/>
                <w:kern w:val="0"/>
                <w:sz w:val="20"/>
                <w:szCs w:val="20"/>
              </w:rPr>
              <w:t xml:space="preserve">X13-4 </w:t>
            </w:r>
          </w:p>
        </w:tc>
        <w:tc>
          <w:tcPr>
            <w:tcW w:w="0" w:type="auto"/>
            <w:tcBorders>
              <w:top w:val="single" w:color="000000" w:sz="4" w:space="0"/>
              <w:left w:val="nil"/>
              <w:bottom w:val="single" w:color="000000" w:sz="4" w:space="0"/>
              <w:right w:val="single" w:color="000000" w:sz="4" w:space="0"/>
            </w:tcBorders>
            <w:noWrap/>
            <w:vAlign w:val="center"/>
          </w:tcPr>
          <w:p w14:paraId="7CE99665">
            <w:pPr>
              <w:ind w:firstLine="0" w:firstLineChars="0"/>
              <w:jc w:val="center"/>
              <w:rPr>
                <w:color w:val="000000"/>
                <w:sz w:val="22"/>
              </w:rPr>
            </w:pPr>
          </w:p>
        </w:tc>
        <w:tc>
          <w:tcPr>
            <w:tcW w:w="0" w:type="auto"/>
            <w:tcBorders>
              <w:top w:val="single" w:color="000000" w:sz="4" w:space="0"/>
              <w:left w:val="nil"/>
              <w:bottom w:val="single" w:color="000000" w:sz="4" w:space="0"/>
              <w:right w:val="single" w:color="000000" w:sz="4" w:space="0"/>
            </w:tcBorders>
            <w:noWrap/>
            <w:vAlign w:val="center"/>
          </w:tcPr>
          <w:p w14:paraId="283BA71D">
            <w:pPr>
              <w:widowControl/>
              <w:ind w:firstLine="0" w:firstLineChars="0"/>
              <w:jc w:val="center"/>
              <w:textAlignment w:val="center"/>
              <w:rPr>
                <w:color w:val="000000"/>
                <w:sz w:val="20"/>
                <w:szCs w:val="20"/>
              </w:rPr>
            </w:pPr>
            <w:r>
              <w:rPr>
                <w:color w:val="000000"/>
                <w:kern w:val="0"/>
                <w:sz w:val="20"/>
                <w:szCs w:val="20"/>
              </w:rPr>
              <w:t>6.76</w:t>
            </w:r>
          </w:p>
        </w:tc>
        <w:tc>
          <w:tcPr>
            <w:tcW w:w="0" w:type="auto"/>
            <w:tcBorders>
              <w:top w:val="single" w:color="000000" w:sz="4" w:space="0"/>
              <w:left w:val="nil"/>
              <w:bottom w:val="single" w:color="000000" w:sz="4" w:space="0"/>
              <w:right w:val="single" w:color="000000" w:sz="4" w:space="0"/>
            </w:tcBorders>
            <w:noWrap/>
            <w:vAlign w:val="center"/>
          </w:tcPr>
          <w:p w14:paraId="1386D848">
            <w:pPr>
              <w:widowControl/>
              <w:ind w:firstLine="0" w:firstLineChars="0"/>
              <w:jc w:val="center"/>
              <w:textAlignment w:val="center"/>
              <w:rPr>
                <w:color w:val="000000"/>
                <w:sz w:val="20"/>
                <w:szCs w:val="20"/>
              </w:rPr>
            </w:pPr>
            <w:r>
              <w:rPr>
                <w:color w:val="000000"/>
                <w:kern w:val="0"/>
                <w:sz w:val="20"/>
                <w:szCs w:val="20"/>
              </w:rPr>
              <w:t>7.67</w:t>
            </w:r>
          </w:p>
        </w:tc>
        <w:tc>
          <w:tcPr>
            <w:tcW w:w="0" w:type="auto"/>
            <w:tcBorders>
              <w:top w:val="single" w:color="000000" w:sz="4" w:space="0"/>
              <w:left w:val="nil"/>
              <w:bottom w:val="single" w:color="000000" w:sz="4" w:space="0"/>
              <w:right w:val="single" w:color="000000" w:sz="4" w:space="0"/>
            </w:tcBorders>
            <w:noWrap/>
            <w:vAlign w:val="center"/>
          </w:tcPr>
          <w:p w14:paraId="37240658">
            <w:pPr>
              <w:widowControl/>
              <w:ind w:firstLine="0" w:firstLineChars="0"/>
              <w:jc w:val="center"/>
              <w:textAlignment w:val="center"/>
              <w:rPr>
                <w:color w:val="000000"/>
                <w:sz w:val="20"/>
                <w:szCs w:val="20"/>
              </w:rPr>
            </w:pPr>
            <w:r>
              <w:rPr>
                <w:color w:val="000000"/>
                <w:kern w:val="0"/>
                <w:sz w:val="20"/>
                <w:szCs w:val="20"/>
              </w:rPr>
              <w:t>50.65</w:t>
            </w:r>
          </w:p>
        </w:tc>
        <w:tc>
          <w:tcPr>
            <w:tcW w:w="0" w:type="auto"/>
            <w:tcBorders>
              <w:top w:val="single" w:color="000000" w:sz="4" w:space="0"/>
              <w:left w:val="nil"/>
              <w:bottom w:val="single" w:color="000000" w:sz="4" w:space="0"/>
              <w:right w:val="single" w:color="000000" w:sz="4" w:space="0"/>
            </w:tcBorders>
            <w:noWrap/>
            <w:vAlign w:val="center"/>
          </w:tcPr>
          <w:p w14:paraId="7C141CAE">
            <w:pPr>
              <w:widowControl/>
              <w:ind w:firstLine="0" w:firstLineChars="0"/>
              <w:jc w:val="center"/>
              <w:textAlignment w:val="center"/>
              <w:rPr>
                <w:color w:val="000000"/>
                <w:sz w:val="20"/>
                <w:szCs w:val="20"/>
              </w:rPr>
            </w:pPr>
            <w:r>
              <w:rPr>
                <w:color w:val="000000"/>
                <w:kern w:val="0"/>
                <w:sz w:val="20"/>
                <w:szCs w:val="20"/>
              </w:rPr>
              <w:t>13.21</w:t>
            </w:r>
          </w:p>
        </w:tc>
        <w:tc>
          <w:tcPr>
            <w:tcW w:w="0" w:type="auto"/>
            <w:tcBorders>
              <w:top w:val="single" w:color="000000" w:sz="4" w:space="0"/>
              <w:left w:val="nil"/>
              <w:bottom w:val="single" w:color="000000" w:sz="4" w:space="0"/>
              <w:right w:val="single" w:color="000000" w:sz="4" w:space="0"/>
            </w:tcBorders>
            <w:noWrap/>
            <w:vAlign w:val="center"/>
          </w:tcPr>
          <w:p w14:paraId="2A9D40B0">
            <w:pPr>
              <w:widowControl/>
              <w:ind w:firstLine="0" w:firstLineChars="0"/>
              <w:jc w:val="center"/>
              <w:textAlignment w:val="center"/>
              <w:rPr>
                <w:color w:val="000000"/>
                <w:sz w:val="20"/>
                <w:szCs w:val="20"/>
              </w:rPr>
            </w:pPr>
            <w:r>
              <w:rPr>
                <w:color w:val="000000"/>
                <w:kern w:val="0"/>
                <w:sz w:val="20"/>
                <w:szCs w:val="20"/>
              </w:rPr>
              <w:t xml:space="preserve">-14.58 </w:t>
            </w:r>
          </w:p>
        </w:tc>
        <w:tc>
          <w:tcPr>
            <w:tcW w:w="0" w:type="auto"/>
            <w:tcBorders>
              <w:top w:val="single" w:color="000000" w:sz="4" w:space="0"/>
              <w:left w:val="nil"/>
              <w:bottom w:val="single" w:color="000000" w:sz="4" w:space="0"/>
              <w:right w:val="single" w:color="000000" w:sz="4" w:space="0"/>
            </w:tcBorders>
            <w:noWrap/>
            <w:vAlign w:val="center"/>
          </w:tcPr>
          <w:p w14:paraId="6DC774FB">
            <w:pPr>
              <w:widowControl/>
              <w:ind w:firstLine="0" w:firstLineChars="0"/>
              <w:jc w:val="center"/>
              <w:textAlignment w:val="center"/>
              <w:rPr>
                <w:color w:val="000000"/>
                <w:sz w:val="20"/>
                <w:szCs w:val="20"/>
              </w:rPr>
            </w:pPr>
            <w:r>
              <w:rPr>
                <w:color w:val="000000"/>
                <w:kern w:val="0"/>
                <w:sz w:val="20"/>
                <w:szCs w:val="20"/>
              </w:rPr>
              <w:t>27.40</w:t>
            </w:r>
          </w:p>
        </w:tc>
        <w:tc>
          <w:tcPr>
            <w:tcW w:w="0" w:type="auto"/>
            <w:tcBorders>
              <w:top w:val="single" w:color="000000" w:sz="4" w:space="0"/>
              <w:left w:val="nil"/>
              <w:bottom w:val="single" w:color="000000" w:sz="4" w:space="0"/>
              <w:right w:val="single" w:color="000000" w:sz="4" w:space="0"/>
            </w:tcBorders>
            <w:noWrap/>
            <w:vAlign w:val="center"/>
          </w:tcPr>
          <w:p w14:paraId="17DFA13F">
            <w:pPr>
              <w:widowControl/>
              <w:ind w:firstLine="0" w:firstLineChars="0"/>
              <w:jc w:val="center"/>
              <w:textAlignment w:val="center"/>
              <w:rPr>
                <w:color w:val="000000"/>
                <w:sz w:val="20"/>
                <w:szCs w:val="20"/>
              </w:rPr>
            </w:pPr>
            <w:r>
              <w:rPr>
                <w:color w:val="000000"/>
                <w:kern w:val="0"/>
                <w:sz w:val="20"/>
                <w:szCs w:val="20"/>
              </w:rPr>
              <w:t>21.09</w:t>
            </w:r>
          </w:p>
        </w:tc>
        <w:tc>
          <w:tcPr>
            <w:tcW w:w="0" w:type="auto"/>
            <w:tcBorders>
              <w:top w:val="single" w:color="000000" w:sz="4" w:space="0"/>
              <w:left w:val="nil"/>
              <w:bottom w:val="single" w:color="000000" w:sz="4" w:space="0"/>
              <w:right w:val="single" w:color="000000" w:sz="4" w:space="0"/>
            </w:tcBorders>
            <w:noWrap/>
            <w:vAlign w:val="center"/>
          </w:tcPr>
          <w:p w14:paraId="79399C44">
            <w:pPr>
              <w:widowControl/>
              <w:ind w:firstLine="0" w:firstLineChars="0"/>
              <w:jc w:val="center"/>
              <w:textAlignment w:val="center"/>
              <w:rPr>
                <w:color w:val="000000"/>
                <w:sz w:val="20"/>
                <w:szCs w:val="20"/>
              </w:rPr>
            </w:pPr>
            <w:r>
              <w:rPr>
                <w:color w:val="000000"/>
                <w:kern w:val="0"/>
                <w:sz w:val="20"/>
                <w:szCs w:val="20"/>
              </w:rPr>
              <w:t>15.45</w:t>
            </w:r>
          </w:p>
        </w:tc>
        <w:tc>
          <w:tcPr>
            <w:tcW w:w="0" w:type="auto"/>
            <w:tcBorders>
              <w:top w:val="single" w:color="000000" w:sz="4" w:space="0"/>
              <w:left w:val="nil"/>
              <w:bottom w:val="single" w:color="000000" w:sz="4" w:space="0"/>
              <w:right w:val="single" w:color="000000" w:sz="4" w:space="0"/>
            </w:tcBorders>
            <w:noWrap/>
            <w:vAlign w:val="center"/>
          </w:tcPr>
          <w:p w14:paraId="322CC741">
            <w:pPr>
              <w:widowControl/>
              <w:ind w:firstLine="0" w:firstLineChars="0"/>
              <w:jc w:val="center"/>
              <w:textAlignment w:val="center"/>
              <w:rPr>
                <w:color w:val="000000"/>
                <w:sz w:val="20"/>
                <w:szCs w:val="20"/>
              </w:rPr>
            </w:pPr>
            <w:r>
              <w:rPr>
                <w:color w:val="000000"/>
                <w:kern w:val="0"/>
                <w:sz w:val="20"/>
                <w:szCs w:val="20"/>
              </w:rPr>
              <w:t>13.92</w:t>
            </w:r>
          </w:p>
        </w:tc>
        <w:tc>
          <w:tcPr>
            <w:tcW w:w="0" w:type="auto"/>
            <w:tcBorders>
              <w:top w:val="single" w:color="000000" w:sz="4" w:space="0"/>
              <w:left w:val="nil"/>
              <w:bottom w:val="single" w:color="000000" w:sz="4" w:space="0"/>
              <w:right w:val="single" w:color="000000" w:sz="4" w:space="0"/>
            </w:tcBorders>
            <w:noWrap/>
            <w:vAlign w:val="center"/>
          </w:tcPr>
          <w:p w14:paraId="7AE4C77A">
            <w:pPr>
              <w:widowControl/>
              <w:ind w:firstLine="0" w:firstLineChars="0"/>
              <w:jc w:val="center"/>
              <w:textAlignment w:val="center"/>
              <w:rPr>
                <w:color w:val="000000"/>
                <w:sz w:val="20"/>
                <w:szCs w:val="20"/>
              </w:rPr>
            </w:pPr>
            <w:r>
              <w:rPr>
                <w:color w:val="000000"/>
                <w:kern w:val="0"/>
                <w:sz w:val="20"/>
                <w:szCs w:val="20"/>
              </w:rPr>
              <w:t>199.87</w:t>
            </w:r>
          </w:p>
        </w:tc>
      </w:tr>
      <w:tr w14:paraId="7C75BD50">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4411576">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部门每单位</w:t>
            </w:r>
            <w:r>
              <w:rPr>
                <w:rFonts w:eastAsia="仿宋"/>
                <w:color w:val="000000"/>
                <w:kern w:val="0"/>
                <w:sz w:val="20"/>
                <w:szCs w:val="20"/>
              </w:rPr>
              <w:t>GDP</w:t>
            </w:r>
            <w:r>
              <w:rPr>
                <w:rFonts w:ascii="仿宋" w:hAnsi="仿宋" w:eastAsia="仿宋"/>
                <w:color w:val="000000"/>
                <w:kern w:val="0"/>
                <w:sz w:val="20"/>
                <w:szCs w:val="20"/>
              </w:rPr>
              <w:t xml:space="preserve">消费量  </w:t>
            </w:r>
            <w:r>
              <w:rPr>
                <w:rFonts w:eastAsia="仿宋"/>
                <w:color w:val="000000"/>
                <w:kern w:val="0"/>
                <w:sz w:val="20"/>
                <w:szCs w:val="20"/>
              </w:rPr>
              <w:t xml:space="preserve">X13-5 </w:t>
            </w:r>
          </w:p>
        </w:tc>
        <w:tc>
          <w:tcPr>
            <w:tcW w:w="0" w:type="auto"/>
            <w:tcBorders>
              <w:top w:val="single" w:color="000000" w:sz="4" w:space="0"/>
              <w:left w:val="nil"/>
              <w:bottom w:val="single" w:color="000000" w:sz="4" w:space="0"/>
              <w:right w:val="single" w:color="000000" w:sz="4" w:space="0"/>
            </w:tcBorders>
            <w:noWrap/>
            <w:vAlign w:val="center"/>
          </w:tcPr>
          <w:p w14:paraId="7FE13E9C">
            <w:pPr>
              <w:ind w:firstLine="0" w:firstLineChars="0"/>
              <w:jc w:val="center"/>
              <w:rPr>
                <w:color w:val="000000"/>
                <w:sz w:val="22"/>
              </w:rPr>
            </w:pPr>
          </w:p>
        </w:tc>
        <w:tc>
          <w:tcPr>
            <w:tcW w:w="0" w:type="auto"/>
            <w:tcBorders>
              <w:top w:val="single" w:color="000000" w:sz="4" w:space="0"/>
              <w:left w:val="nil"/>
              <w:bottom w:val="single" w:color="000000" w:sz="4" w:space="0"/>
              <w:right w:val="single" w:color="000000" w:sz="4" w:space="0"/>
            </w:tcBorders>
            <w:noWrap/>
            <w:vAlign w:val="center"/>
          </w:tcPr>
          <w:p w14:paraId="7F2BD27D">
            <w:pPr>
              <w:widowControl/>
              <w:ind w:firstLine="0" w:firstLineChars="0"/>
              <w:jc w:val="center"/>
              <w:textAlignment w:val="center"/>
              <w:rPr>
                <w:color w:val="000000"/>
                <w:sz w:val="20"/>
                <w:szCs w:val="20"/>
              </w:rPr>
            </w:pPr>
            <w:r>
              <w:rPr>
                <w:color w:val="000000"/>
                <w:kern w:val="0"/>
                <w:sz w:val="20"/>
                <w:szCs w:val="20"/>
              </w:rPr>
              <w:t>0.29</w:t>
            </w:r>
          </w:p>
        </w:tc>
        <w:tc>
          <w:tcPr>
            <w:tcW w:w="0" w:type="auto"/>
            <w:tcBorders>
              <w:top w:val="single" w:color="000000" w:sz="4" w:space="0"/>
              <w:left w:val="nil"/>
              <w:bottom w:val="single" w:color="000000" w:sz="4" w:space="0"/>
              <w:right w:val="single" w:color="000000" w:sz="4" w:space="0"/>
            </w:tcBorders>
            <w:noWrap/>
            <w:vAlign w:val="center"/>
          </w:tcPr>
          <w:p w14:paraId="4F37144C">
            <w:pPr>
              <w:widowControl/>
              <w:ind w:firstLine="0" w:firstLineChars="0"/>
              <w:jc w:val="center"/>
              <w:textAlignment w:val="center"/>
              <w:rPr>
                <w:color w:val="000000"/>
                <w:sz w:val="20"/>
                <w:szCs w:val="20"/>
              </w:rPr>
            </w:pPr>
            <w:r>
              <w:rPr>
                <w:color w:val="000000"/>
                <w:kern w:val="0"/>
                <w:sz w:val="20"/>
                <w:szCs w:val="20"/>
              </w:rPr>
              <w:t>0.30</w:t>
            </w:r>
          </w:p>
        </w:tc>
        <w:tc>
          <w:tcPr>
            <w:tcW w:w="0" w:type="auto"/>
            <w:tcBorders>
              <w:top w:val="single" w:color="000000" w:sz="4" w:space="0"/>
              <w:left w:val="nil"/>
              <w:bottom w:val="single" w:color="000000" w:sz="4" w:space="0"/>
              <w:right w:val="single" w:color="000000" w:sz="4" w:space="0"/>
            </w:tcBorders>
            <w:noWrap/>
            <w:vAlign w:val="center"/>
          </w:tcPr>
          <w:p w14:paraId="0F129070">
            <w:pPr>
              <w:widowControl/>
              <w:ind w:firstLine="0" w:firstLineChars="0"/>
              <w:jc w:val="center"/>
              <w:textAlignment w:val="center"/>
              <w:rPr>
                <w:color w:val="000000"/>
                <w:sz w:val="20"/>
                <w:szCs w:val="20"/>
              </w:rPr>
            </w:pPr>
            <w:r>
              <w:rPr>
                <w:color w:val="000000"/>
                <w:kern w:val="0"/>
                <w:sz w:val="20"/>
                <w:szCs w:val="20"/>
              </w:rPr>
              <w:t>0.24</w:t>
            </w:r>
          </w:p>
        </w:tc>
        <w:tc>
          <w:tcPr>
            <w:tcW w:w="0" w:type="auto"/>
            <w:tcBorders>
              <w:top w:val="single" w:color="000000" w:sz="4" w:space="0"/>
              <w:left w:val="nil"/>
              <w:bottom w:val="single" w:color="000000" w:sz="4" w:space="0"/>
              <w:right w:val="single" w:color="000000" w:sz="4" w:space="0"/>
            </w:tcBorders>
            <w:noWrap/>
            <w:vAlign w:val="center"/>
          </w:tcPr>
          <w:p w14:paraId="563BD095">
            <w:pPr>
              <w:widowControl/>
              <w:ind w:firstLine="0" w:firstLineChars="0"/>
              <w:jc w:val="center"/>
              <w:textAlignment w:val="center"/>
              <w:rPr>
                <w:color w:val="000000"/>
                <w:sz w:val="20"/>
                <w:szCs w:val="20"/>
              </w:rPr>
            </w:pPr>
            <w:r>
              <w:rPr>
                <w:color w:val="000000"/>
                <w:kern w:val="0"/>
                <w:sz w:val="20"/>
                <w:szCs w:val="20"/>
              </w:rPr>
              <w:t>0.25</w:t>
            </w:r>
          </w:p>
        </w:tc>
        <w:tc>
          <w:tcPr>
            <w:tcW w:w="0" w:type="auto"/>
            <w:tcBorders>
              <w:top w:val="single" w:color="000000" w:sz="4" w:space="0"/>
              <w:left w:val="nil"/>
              <w:bottom w:val="single" w:color="000000" w:sz="4" w:space="0"/>
              <w:right w:val="single" w:color="000000" w:sz="4" w:space="0"/>
            </w:tcBorders>
            <w:noWrap/>
            <w:vAlign w:val="center"/>
          </w:tcPr>
          <w:p w14:paraId="4FBDD14C">
            <w:pPr>
              <w:widowControl/>
              <w:ind w:firstLine="0" w:firstLineChars="0"/>
              <w:jc w:val="center"/>
              <w:textAlignment w:val="center"/>
              <w:rPr>
                <w:color w:val="000000"/>
                <w:sz w:val="20"/>
                <w:szCs w:val="20"/>
              </w:rPr>
            </w:pPr>
            <w:r>
              <w:rPr>
                <w:color w:val="000000"/>
                <w:kern w:val="0"/>
                <w:sz w:val="20"/>
                <w:szCs w:val="20"/>
              </w:rPr>
              <w:t>0.23</w:t>
            </w:r>
          </w:p>
        </w:tc>
        <w:tc>
          <w:tcPr>
            <w:tcW w:w="0" w:type="auto"/>
            <w:tcBorders>
              <w:top w:val="single" w:color="000000" w:sz="4" w:space="0"/>
              <w:left w:val="nil"/>
              <w:bottom w:val="single" w:color="000000" w:sz="4" w:space="0"/>
              <w:right w:val="single" w:color="000000" w:sz="4" w:space="0"/>
            </w:tcBorders>
            <w:noWrap/>
            <w:vAlign w:val="center"/>
          </w:tcPr>
          <w:p w14:paraId="40134366">
            <w:pPr>
              <w:widowControl/>
              <w:ind w:firstLine="0" w:firstLineChars="0"/>
              <w:jc w:val="center"/>
              <w:textAlignment w:val="center"/>
              <w:rPr>
                <w:color w:val="000000"/>
                <w:sz w:val="20"/>
                <w:szCs w:val="20"/>
              </w:rPr>
            </w:pPr>
            <w:r>
              <w:rPr>
                <w:color w:val="000000"/>
                <w:kern w:val="0"/>
                <w:sz w:val="20"/>
                <w:szCs w:val="20"/>
              </w:rPr>
              <w:t>0.22</w:t>
            </w:r>
          </w:p>
        </w:tc>
        <w:tc>
          <w:tcPr>
            <w:tcW w:w="0" w:type="auto"/>
            <w:tcBorders>
              <w:top w:val="single" w:color="000000" w:sz="4" w:space="0"/>
              <w:left w:val="nil"/>
              <w:bottom w:val="single" w:color="000000" w:sz="4" w:space="0"/>
              <w:right w:val="single" w:color="000000" w:sz="4" w:space="0"/>
            </w:tcBorders>
            <w:noWrap/>
            <w:vAlign w:val="center"/>
          </w:tcPr>
          <w:p w14:paraId="3E0D8462">
            <w:pPr>
              <w:widowControl/>
              <w:ind w:firstLine="0" w:firstLineChars="0"/>
              <w:jc w:val="center"/>
              <w:textAlignment w:val="center"/>
              <w:rPr>
                <w:color w:val="000000"/>
                <w:sz w:val="20"/>
                <w:szCs w:val="20"/>
              </w:rPr>
            </w:pPr>
            <w:r>
              <w:rPr>
                <w:color w:val="000000"/>
                <w:kern w:val="0"/>
                <w:sz w:val="20"/>
                <w:szCs w:val="20"/>
              </w:rPr>
              <w:t>0.33</w:t>
            </w:r>
          </w:p>
        </w:tc>
        <w:tc>
          <w:tcPr>
            <w:tcW w:w="0" w:type="auto"/>
            <w:tcBorders>
              <w:top w:val="single" w:color="000000" w:sz="4" w:space="0"/>
              <w:left w:val="nil"/>
              <w:bottom w:val="single" w:color="000000" w:sz="4" w:space="0"/>
              <w:right w:val="single" w:color="000000" w:sz="4" w:space="0"/>
            </w:tcBorders>
            <w:noWrap/>
            <w:vAlign w:val="center"/>
          </w:tcPr>
          <w:p w14:paraId="279C85C2">
            <w:pPr>
              <w:widowControl/>
              <w:ind w:firstLine="0" w:firstLineChars="0"/>
              <w:jc w:val="center"/>
              <w:textAlignment w:val="center"/>
              <w:rPr>
                <w:color w:val="000000"/>
                <w:sz w:val="20"/>
                <w:szCs w:val="20"/>
              </w:rPr>
            </w:pPr>
            <w:r>
              <w:rPr>
                <w:color w:val="000000"/>
                <w:kern w:val="0"/>
                <w:sz w:val="20"/>
                <w:szCs w:val="20"/>
              </w:rPr>
              <w:t>0.34</w:t>
            </w:r>
          </w:p>
        </w:tc>
        <w:tc>
          <w:tcPr>
            <w:tcW w:w="0" w:type="auto"/>
            <w:tcBorders>
              <w:top w:val="single" w:color="000000" w:sz="4" w:space="0"/>
              <w:left w:val="nil"/>
              <w:bottom w:val="single" w:color="000000" w:sz="4" w:space="0"/>
              <w:right w:val="single" w:color="000000" w:sz="4" w:space="0"/>
            </w:tcBorders>
            <w:noWrap/>
            <w:vAlign w:val="center"/>
          </w:tcPr>
          <w:p w14:paraId="3AC43B5E">
            <w:pPr>
              <w:widowControl/>
              <w:ind w:firstLine="0" w:firstLineChars="0"/>
              <w:jc w:val="center"/>
              <w:textAlignment w:val="center"/>
              <w:rPr>
                <w:color w:val="000000"/>
                <w:sz w:val="20"/>
                <w:szCs w:val="20"/>
              </w:rPr>
            </w:pPr>
            <w:r>
              <w:rPr>
                <w:color w:val="000000"/>
                <w:kern w:val="0"/>
                <w:sz w:val="20"/>
                <w:szCs w:val="20"/>
              </w:rPr>
              <w:t>0.32</w:t>
            </w:r>
          </w:p>
        </w:tc>
        <w:tc>
          <w:tcPr>
            <w:tcW w:w="0" w:type="auto"/>
            <w:tcBorders>
              <w:top w:val="single" w:color="000000" w:sz="4" w:space="0"/>
              <w:left w:val="nil"/>
              <w:bottom w:val="single" w:color="000000" w:sz="4" w:space="0"/>
              <w:right w:val="single" w:color="000000" w:sz="4" w:space="0"/>
            </w:tcBorders>
            <w:noWrap/>
            <w:vAlign w:val="center"/>
          </w:tcPr>
          <w:p w14:paraId="15266177">
            <w:pPr>
              <w:widowControl/>
              <w:ind w:firstLine="0" w:firstLineChars="0"/>
              <w:jc w:val="center"/>
              <w:textAlignment w:val="center"/>
              <w:rPr>
                <w:color w:val="000000"/>
                <w:sz w:val="20"/>
                <w:szCs w:val="20"/>
              </w:rPr>
            </w:pPr>
            <w:r>
              <w:rPr>
                <w:color w:val="000000"/>
                <w:kern w:val="0"/>
                <w:sz w:val="20"/>
                <w:szCs w:val="20"/>
              </w:rPr>
              <w:t>0.41</w:t>
            </w:r>
          </w:p>
        </w:tc>
      </w:tr>
      <w:tr w14:paraId="3A76E473">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EC90E9">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非石化能源品种消费量占比</w:t>
            </w:r>
            <w:r>
              <w:rPr>
                <w:rFonts w:eastAsia="仿宋"/>
                <w:color w:val="000000"/>
                <w:kern w:val="0"/>
                <w:sz w:val="20"/>
                <w:szCs w:val="20"/>
              </w:rPr>
              <w:t xml:space="preserve"> X14</w:t>
            </w:r>
          </w:p>
        </w:tc>
        <w:tc>
          <w:tcPr>
            <w:tcW w:w="0" w:type="auto"/>
            <w:tcBorders>
              <w:top w:val="single" w:color="000000" w:sz="4" w:space="0"/>
              <w:left w:val="nil"/>
              <w:bottom w:val="single" w:color="000000" w:sz="4" w:space="0"/>
              <w:right w:val="single" w:color="000000" w:sz="4" w:space="0"/>
            </w:tcBorders>
            <w:noWrap/>
            <w:vAlign w:val="center"/>
          </w:tcPr>
          <w:p w14:paraId="4D801562">
            <w:pPr>
              <w:widowControl/>
              <w:ind w:firstLine="0" w:firstLineChars="0"/>
              <w:jc w:val="center"/>
              <w:textAlignment w:val="center"/>
              <w:rPr>
                <w:color w:val="000000"/>
                <w:sz w:val="22"/>
              </w:rPr>
            </w:pPr>
            <w:r>
              <w:rPr>
                <w:color w:val="000000"/>
                <w:kern w:val="0"/>
                <w:sz w:val="22"/>
              </w:rPr>
              <w:t>1.76%</w:t>
            </w:r>
          </w:p>
        </w:tc>
        <w:tc>
          <w:tcPr>
            <w:tcW w:w="0" w:type="auto"/>
            <w:tcBorders>
              <w:top w:val="single" w:color="000000" w:sz="4" w:space="0"/>
              <w:left w:val="nil"/>
              <w:bottom w:val="single" w:color="000000" w:sz="4" w:space="0"/>
              <w:right w:val="single" w:color="000000" w:sz="4" w:space="0"/>
            </w:tcBorders>
            <w:noWrap/>
            <w:vAlign w:val="center"/>
          </w:tcPr>
          <w:p w14:paraId="45C1292B">
            <w:pPr>
              <w:widowControl/>
              <w:ind w:firstLine="0" w:firstLineChars="0"/>
              <w:jc w:val="center"/>
              <w:textAlignment w:val="center"/>
              <w:rPr>
                <w:color w:val="000000"/>
                <w:sz w:val="22"/>
              </w:rPr>
            </w:pPr>
            <w:r>
              <w:rPr>
                <w:color w:val="000000"/>
                <w:kern w:val="0"/>
                <w:sz w:val="22"/>
              </w:rPr>
              <w:t>1.63%</w:t>
            </w:r>
          </w:p>
        </w:tc>
        <w:tc>
          <w:tcPr>
            <w:tcW w:w="0" w:type="auto"/>
            <w:tcBorders>
              <w:top w:val="single" w:color="000000" w:sz="4" w:space="0"/>
              <w:left w:val="nil"/>
              <w:bottom w:val="single" w:color="000000" w:sz="4" w:space="0"/>
              <w:right w:val="single" w:color="000000" w:sz="4" w:space="0"/>
            </w:tcBorders>
            <w:noWrap/>
            <w:vAlign w:val="center"/>
          </w:tcPr>
          <w:p w14:paraId="1E5524EC">
            <w:pPr>
              <w:widowControl/>
              <w:ind w:firstLine="0" w:firstLineChars="0"/>
              <w:jc w:val="center"/>
              <w:textAlignment w:val="center"/>
              <w:rPr>
                <w:color w:val="000000"/>
                <w:sz w:val="22"/>
              </w:rPr>
            </w:pPr>
            <w:r>
              <w:rPr>
                <w:color w:val="000000"/>
                <w:kern w:val="0"/>
                <w:sz w:val="22"/>
              </w:rPr>
              <w:t>1.87%</w:t>
            </w:r>
          </w:p>
        </w:tc>
        <w:tc>
          <w:tcPr>
            <w:tcW w:w="0" w:type="auto"/>
            <w:tcBorders>
              <w:top w:val="single" w:color="000000" w:sz="4" w:space="0"/>
              <w:left w:val="nil"/>
              <w:bottom w:val="single" w:color="000000" w:sz="4" w:space="0"/>
              <w:right w:val="single" w:color="000000" w:sz="4" w:space="0"/>
            </w:tcBorders>
            <w:noWrap/>
            <w:vAlign w:val="center"/>
          </w:tcPr>
          <w:p w14:paraId="43764475">
            <w:pPr>
              <w:widowControl/>
              <w:ind w:firstLine="0" w:firstLineChars="0"/>
              <w:jc w:val="center"/>
              <w:textAlignment w:val="center"/>
              <w:rPr>
                <w:color w:val="000000"/>
                <w:sz w:val="22"/>
              </w:rPr>
            </w:pPr>
            <w:r>
              <w:rPr>
                <w:color w:val="000000"/>
                <w:kern w:val="0"/>
                <w:sz w:val="22"/>
              </w:rPr>
              <w:t>2.05%</w:t>
            </w:r>
          </w:p>
        </w:tc>
        <w:tc>
          <w:tcPr>
            <w:tcW w:w="0" w:type="auto"/>
            <w:tcBorders>
              <w:top w:val="single" w:color="000000" w:sz="4" w:space="0"/>
              <w:left w:val="nil"/>
              <w:bottom w:val="single" w:color="000000" w:sz="4" w:space="0"/>
              <w:right w:val="single" w:color="000000" w:sz="4" w:space="0"/>
            </w:tcBorders>
            <w:noWrap/>
            <w:vAlign w:val="center"/>
          </w:tcPr>
          <w:p w14:paraId="2B2D045D">
            <w:pPr>
              <w:widowControl/>
              <w:ind w:firstLine="0" w:firstLineChars="0"/>
              <w:jc w:val="center"/>
              <w:textAlignment w:val="center"/>
              <w:rPr>
                <w:color w:val="000000"/>
                <w:sz w:val="22"/>
              </w:rPr>
            </w:pPr>
            <w:r>
              <w:rPr>
                <w:color w:val="000000"/>
                <w:kern w:val="0"/>
                <w:sz w:val="22"/>
              </w:rPr>
              <w:t>2.57%</w:t>
            </w:r>
          </w:p>
        </w:tc>
        <w:tc>
          <w:tcPr>
            <w:tcW w:w="0" w:type="auto"/>
            <w:tcBorders>
              <w:top w:val="single" w:color="000000" w:sz="4" w:space="0"/>
              <w:left w:val="nil"/>
              <w:bottom w:val="single" w:color="000000" w:sz="4" w:space="0"/>
              <w:right w:val="single" w:color="000000" w:sz="4" w:space="0"/>
            </w:tcBorders>
            <w:noWrap/>
            <w:vAlign w:val="center"/>
          </w:tcPr>
          <w:p w14:paraId="790D1EAD">
            <w:pPr>
              <w:widowControl/>
              <w:ind w:firstLine="0" w:firstLineChars="0"/>
              <w:jc w:val="center"/>
              <w:textAlignment w:val="center"/>
              <w:rPr>
                <w:color w:val="000000"/>
                <w:sz w:val="22"/>
              </w:rPr>
            </w:pPr>
            <w:r>
              <w:rPr>
                <w:color w:val="000000"/>
                <w:kern w:val="0"/>
                <w:sz w:val="22"/>
              </w:rPr>
              <w:t>2.39%</w:t>
            </w:r>
          </w:p>
        </w:tc>
        <w:tc>
          <w:tcPr>
            <w:tcW w:w="0" w:type="auto"/>
            <w:tcBorders>
              <w:top w:val="single" w:color="000000" w:sz="4" w:space="0"/>
              <w:left w:val="nil"/>
              <w:bottom w:val="single" w:color="000000" w:sz="4" w:space="0"/>
              <w:right w:val="single" w:color="000000" w:sz="4" w:space="0"/>
            </w:tcBorders>
            <w:noWrap/>
            <w:vAlign w:val="center"/>
          </w:tcPr>
          <w:p w14:paraId="075ECA36">
            <w:pPr>
              <w:widowControl/>
              <w:ind w:firstLine="0" w:firstLineChars="0"/>
              <w:jc w:val="center"/>
              <w:textAlignment w:val="center"/>
              <w:rPr>
                <w:color w:val="000000"/>
                <w:sz w:val="22"/>
              </w:rPr>
            </w:pPr>
            <w:r>
              <w:rPr>
                <w:color w:val="000000"/>
                <w:kern w:val="0"/>
                <w:sz w:val="22"/>
              </w:rPr>
              <w:t>2.44%</w:t>
            </w:r>
          </w:p>
        </w:tc>
        <w:tc>
          <w:tcPr>
            <w:tcW w:w="0" w:type="auto"/>
            <w:tcBorders>
              <w:top w:val="single" w:color="000000" w:sz="4" w:space="0"/>
              <w:left w:val="nil"/>
              <w:bottom w:val="single" w:color="000000" w:sz="4" w:space="0"/>
              <w:right w:val="single" w:color="000000" w:sz="4" w:space="0"/>
            </w:tcBorders>
            <w:noWrap/>
            <w:vAlign w:val="center"/>
          </w:tcPr>
          <w:p w14:paraId="5A803ABB">
            <w:pPr>
              <w:widowControl/>
              <w:ind w:firstLine="0" w:firstLineChars="0"/>
              <w:jc w:val="center"/>
              <w:textAlignment w:val="center"/>
              <w:rPr>
                <w:color w:val="000000"/>
                <w:sz w:val="22"/>
              </w:rPr>
            </w:pPr>
            <w:r>
              <w:rPr>
                <w:color w:val="000000"/>
                <w:kern w:val="0"/>
                <w:sz w:val="22"/>
              </w:rPr>
              <w:t>2.92%</w:t>
            </w:r>
          </w:p>
        </w:tc>
        <w:tc>
          <w:tcPr>
            <w:tcW w:w="0" w:type="auto"/>
            <w:tcBorders>
              <w:top w:val="single" w:color="000000" w:sz="4" w:space="0"/>
              <w:left w:val="nil"/>
              <w:bottom w:val="single" w:color="000000" w:sz="4" w:space="0"/>
              <w:right w:val="single" w:color="000000" w:sz="4" w:space="0"/>
            </w:tcBorders>
            <w:noWrap/>
            <w:vAlign w:val="center"/>
          </w:tcPr>
          <w:p w14:paraId="0459EBDB">
            <w:pPr>
              <w:widowControl/>
              <w:ind w:firstLine="0" w:firstLineChars="0"/>
              <w:jc w:val="center"/>
              <w:textAlignment w:val="center"/>
              <w:rPr>
                <w:color w:val="000000"/>
                <w:sz w:val="22"/>
              </w:rPr>
            </w:pPr>
            <w:r>
              <w:rPr>
                <w:color w:val="000000"/>
                <w:kern w:val="0"/>
                <w:sz w:val="22"/>
              </w:rPr>
              <w:t>3.70%</w:t>
            </w:r>
          </w:p>
        </w:tc>
        <w:tc>
          <w:tcPr>
            <w:tcW w:w="0" w:type="auto"/>
            <w:tcBorders>
              <w:top w:val="single" w:color="000000" w:sz="4" w:space="0"/>
              <w:left w:val="nil"/>
              <w:bottom w:val="single" w:color="000000" w:sz="4" w:space="0"/>
              <w:right w:val="single" w:color="000000" w:sz="4" w:space="0"/>
            </w:tcBorders>
            <w:noWrap/>
            <w:vAlign w:val="center"/>
          </w:tcPr>
          <w:p w14:paraId="08B9F4D2">
            <w:pPr>
              <w:widowControl/>
              <w:ind w:firstLine="0" w:firstLineChars="0"/>
              <w:jc w:val="center"/>
              <w:textAlignment w:val="center"/>
              <w:rPr>
                <w:color w:val="000000"/>
                <w:sz w:val="22"/>
              </w:rPr>
            </w:pPr>
            <w:r>
              <w:rPr>
                <w:color w:val="000000"/>
                <w:kern w:val="0"/>
                <w:sz w:val="22"/>
              </w:rPr>
              <w:t>4.22%</w:t>
            </w:r>
          </w:p>
        </w:tc>
        <w:tc>
          <w:tcPr>
            <w:tcW w:w="0" w:type="auto"/>
            <w:tcBorders>
              <w:top w:val="single" w:color="000000" w:sz="4" w:space="0"/>
              <w:left w:val="nil"/>
              <w:bottom w:val="single" w:color="000000" w:sz="4" w:space="0"/>
              <w:right w:val="single" w:color="000000" w:sz="4" w:space="0"/>
            </w:tcBorders>
            <w:noWrap/>
            <w:vAlign w:val="center"/>
          </w:tcPr>
          <w:p w14:paraId="60F1E1F8">
            <w:pPr>
              <w:widowControl/>
              <w:ind w:firstLine="0" w:firstLineChars="0"/>
              <w:jc w:val="center"/>
              <w:textAlignment w:val="center"/>
              <w:rPr>
                <w:color w:val="000000"/>
                <w:sz w:val="22"/>
              </w:rPr>
            </w:pPr>
            <w:r>
              <w:rPr>
                <w:color w:val="000000"/>
                <w:kern w:val="0"/>
                <w:sz w:val="22"/>
              </w:rPr>
              <w:t>4.59%</w:t>
            </w:r>
          </w:p>
        </w:tc>
      </w:tr>
      <w:tr w14:paraId="6AB03FCD">
        <w:tblPrEx>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bottom"/>
          </w:tcPr>
          <w:p w14:paraId="7E26E531">
            <w:pPr>
              <w:widowControl/>
              <w:ind w:firstLine="0" w:firstLineChars="0"/>
              <w:jc w:val="center"/>
              <w:textAlignment w:val="bottom"/>
              <w:rPr>
                <w:color w:val="000000"/>
                <w:szCs w:val="24"/>
              </w:rPr>
            </w:pPr>
            <w:r>
              <w:rPr>
                <w:rFonts w:ascii="宋体" w:hAnsi="宋体"/>
                <w:color w:val="000000"/>
                <w:szCs w:val="24"/>
              </w:rPr>
              <w:t>单位</w:t>
            </w:r>
            <w:r>
              <w:rPr>
                <w:color w:val="000000"/>
                <w:szCs w:val="24"/>
              </w:rPr>
              <w:t>GDP</w:t>
            </w:r>
            <w:r>
              <w:rPr>
                <w:rFonts w:ascii="宋体" w:hAnsi="宋体"/>
                <w:color w:val="000000"/>
                <w:szCs w:val="24"/>
              </w:rPr>
              <w:t xml:space="preserve">能耗  </w:t>
            </w:r>
            <w:r>
              <w:rPr>
                <w:rFonts w:eastAsia="仿宋"/>
                <w:color w:val="000000"/>
                <w:sz w:val="20"/>
                <w:szCs w:val="20"/>
              </w:rPr>
              <w:t>X15</w:t>
            </w:r>
          </w:p>
        </w:tc>
        <w:tc>
          <w:tcPr>
            <w:tcW w:w="0" w:type="auto"/>
            <w:tcBorders>
              <w:top w:val="single" w:color="000000" w:sz="4" w:space="0"/>
              <w:left w:val="nil"/>
              <w:bottom w:val="single" w:color="000000" w:sz="4" w:space="0"/>
              <w:right w:val="single" w:color="000000" w:sz="4" w:space="0"/>
            </w:tcBorders>
            <w:noWrap/>
            <w:vAlign w:val="center"/>
          </w:tcPr>
          <w:p w14:paraId="35338BB4">
            <w:pPr>
              <w:widowControl/>
              <w:ind w:firstLine="0" w:firstLineChars="0"/>
              <w:jc w:val="center"/>
              <w:textAlignment w:val="center"/>
              <w:rPr>
                <w:color w:val="000000"/>
                <w:sz w:val="22"/>
              </w:rPr>
            </w:pPr>
            <w:r>
              <w:rPr>
                <w:color w:val="000000"/>
                <w:kern w:val="0"/>
                <w:sz w:val="22"/>
              </w:rPr>
              <w:t xml:space="preserve">0.57 </w:t>
            </w:r>
          </w:p>
        </w:tc>
        <w:tc>
          <w:tcPr>
            <w:tcW w:w="0" w:type="auto"/>
            <w:tcBorders>
              <w:top w:val="single" w:color="000000" w:sz="4" w:space="0"/>
              <w:left w:val="nil"/>
              <w:bottom w:val="single" w:color="000000" w:sz="4" w:space="0"/>
              <w:right w:val="single" w:color="000000" w:sz="4" w:space="0"/>
            </w:tcBorders>
            <w:noWrap/>
            <w:vAlign w:val="center"/>
          </w:tcPr>
          <w:p w14:paraId="15833875">
            <w:pPr>
              <w:widowControl/>
              <w:ind w:firstLine="0" w:firstLineChars="0"/>
              <w:jc w:val="center"/>
              <w:textAlignment w:val="center"/>
              <w:rPr>
                <w:color w:val="000000"/>
                <w:sz w:val="22"/>
              </w:rPr>
            </w:pPr>
            <w:r>
              <w:rPr>
                <w:color w:val="000000"/>
                <w:kern w:val="0"/>
                <w:sz w:val="22"/>
              </w:rPr>
              <w:t xml:space="preserve">0.58 </w:t>
            </w:r>
          </w:p>
        </w:tc>
        <w:tc>
          <w:tcPr>
            <w:tcW w:w="0" w:type="auto"/>
            <w:tcBorders>
              <w:top w:val="single" w:color="000000" w:sz="4" w:space="0"/>
              <w:left w:val="nil"/>
              <w:bottom w:val="single" w:color="000000" w:sz="4" w:space="0"/>
              <w:right w:val="single" w:color="000000" w:sz="4" w:space="0"/>
            </w:tcBorders>
            <w:noWrap/>
            <w:vAlign w:val="center"/>
          </w:tcPr>
          <w:p w14:paraId="66199F97">
            <w:pPr>
              <w:widowControl/>
              <w:ind w:firstLine="0" w:firstLineChars="0"/>
              <w:jc w:val="center"/>
              <w:textAlignment w:val="center"/>
              <w:rPr>
                <w:color w:val="000000"/>
                <w:sz w:val="22"/>
              </w:rPr>
            </w:pPr>
            <w:r>
              <w:rPr>
                <w:color w:val="000000"/>
                <w:kern w:val="0"/>
                <w:sz w:val="22"/>
              </w:rPr>
              <w:t xml:space="preserve">0.55 </w:t>
            </w:r>
          </w:p>
        </w:tc>
        <w:tc>
          <w:tcPr>
            <w:tcW w:w="0" w:type="auto"/>
            <w:tcBorders>
              <w:top w:val="single" w:color="000000" w:sz="4" w:space="0"/>
              <w:left w:val="nil"/>
              <w:bottom w:val="single" w:color="000000" w:sz="4" w:space="0"/>
              <w:right w:val="single" w:color="000000" w:sz="4" w:space="0"/>
            </w:tcBorders>
            <w:noWrap/>
            <w:vAlign w:val="center"/>
          </w:tcPr>
          <w:p w14:paraId="000C61D0">
            <w:pPr>
              <w:widowControl/>
              <w:ind w:firstLine="0" w:firstLineChars="0"/>
              <w:jc w:val="center"/>
              <w:textAlignment w:val="center"/>
              <w:rPr>
                <w:color w:val="000000"/>
                <w:sz w:val="22"/>
              </w:rPr>
            </w:pPr>
            <w:r>
              <w:rPr>
                <w:color w:val="000000"/>
                <w:kern w:val="0"/>
                <w:sz w:val="22"/>
              </w:rPr>
              <w:t xml:space="preserve">0.51 </w:t>
            </w:r>
          </w:p>
        </w:tc>
        <w:tc>
          <w:tcPr>
            <w:tcW w:w="0" w:type="auto"/>
            <w:tcBorders>
              <w:top w:val="single" w:color="000000" w:sz="4" w:space="0"/>
              <w:left w:val="nil"/>
              <w:bottom w:val="single" w:color="000000" w:sz="4" w:space="0"/>
              <w:right w:val="single" w:color="000000" w:sz="4" w:space="0"/>
            </w:tcBorders>
            <w:noWrap/>
            <w:vAlign w:val="center"/>
          </w:tcPr>
          <w:p w14:paraId="761128FF">
            <w:pPr>
              <w:widowControl/>
              <w:ind w:firstLine="0" w:firstLineChars="0"/>
              <w:jc w:val="center"/>
              <w:textAlignment w:val="center"/>
              <w:rPr>
                <w:color w:val="000000"/>
                <w:sz w:val="22"/>
              </w:rPr>
            </w:pPr>
            <w:r>
              <w:rPr>
                <w:color w:val="000000"/>
                <w:kern w:val="0"/>
                <w:sz w:val="22"/>
              </w:rPr>
              <w:t xml:space="preserve">0.47 </w:t>
            </w:r>
          </w:p>
        </w:tc>
        <w:tc>
          <w:tcPr>
            <w:tcW w:w="0" w:type="auto"/>
            <w:tcBorders>
              <w:top w:val="single" w:color="000000" w:sz="4" w:space="0"/>
              <w:left w:val="nil"/>
              <w:bottom w:val="single" w:color="000000" w:sz="4" w:space="0"/>
              <w:right w:val="single" w:color="000000" w:sz="4" w:space="0"/>
            </w:tcBorders>
            <w:noWrap/>
            <w:vAlign w:val="center"/>
          </w:tcPr>
          <w:p w14:paraId="0B5EC6F0">
            <w:pPr>
              <w:widowControl/>
              <w:ind w:firstLine="0" w:firstLineChars="0"/>
              <w:jc w:val="center"/>
              <w:textAlignment w:val="center"/>
              <w:rPr>
                <w:color w:val="000000"/>
                <w:sz w:val="22"/>
              </w:rPr>
            </w:pPr>
            <w:r>
              <w:rPr>
                <w:color w:val="000000"/>
                <w:kern w:val="0"/>
                <w:sz w:val="22"/>
              </w:rPr>
              <w:t xml:space="preserve">0.44 </w:t>
            </w:r>
          </w:p>
        </w:tc>
        <w:tc>
          <w:tcPr>
            <w:tcW w:w="0" w:type="auto"/>
            <w:tcBorders>
              <w:top w:val="single" w:color="000000" w:sz="4" w:space="0"/>
              <w:left w:val="nil"/>
              <w:bottom w:val="single" w:color="000000" w:sz="4" w:space="0"/>
              <w:right w:val="single" w:color="000000" w:sz="4" w:space="0"/>
            </w:tcBorders>
            <w:noWrap/>
            <w:vAlign w:val="center"/>
          </w:tcPr>
          <w:p w14:paraId="4E028F85">
            <w:pPr>
              <w:widowControl/>
              <w:ind w:firstLine="0" w:firstLineChars="0"/>
              <w:jc w:val="center"/>
              <w:textAlignment w:val="center"/>
              <w:rPr>
                <w:color w:val="000000"/>
                <w:sz w:val="22"/>
              </w:rPr>
            </w:pPr>
            <w:r>
              <w:rPr>
                <w:color w:val="000000"/>
                <w:kern w:val="0"/>
                <w:sz w:val="22"/>
              </w:rPr>
              <w:t xml:space="preserve">0.42 </w:t>
            </w:r>
          </w:p>
        </w:tc>
        <w:tc>
          <w:tcPr>
            <w:tcW w:w="0" w:type="auto"/>
            <w:tcBorders>
              <w:top w:val="single" w:color="000000" w:sz="4" w:space="0"/>
              <w:left w:val="nil"/>
              <w:bottom w:val="single" w:color="000000" w:sz="4" w:space="0"/>
              <w:right w:val="single" w:color="000000" w:sz="4" w:space="0"/>
            </w:tcBorders>
            <w:noWrap/>
            <w:vAlign w:val="center"/>
          </w:tcPr>
          <w:p w14:paraId="5348D335">
            <w:pPr>
              <w:widowControl/>
              <w:ind w:firstLine="0" w:firstLineChars="0"/>
              <w:jc w:val="center"/>
              <w:textAlignment w:val="center"/>
              <w:rPr>
                <w:color w:val="000000"/>
                <w:sz w:val="22"/>
              </w:rPr>
            </w:pPr>
            <w:r>
              <w:rPr>
                <w:color w:val="000000"/>
                <w:kern w:val="0"/>
                <w:sz w:val="22"/>
              </w:rPr>
              <w:t xml:space="preserve">0.40 </w:t>
            </w:r>
          </w:p>
        </w:tc>
        <w:tc>
          <w:tcPr>
            <w:tcW w:w="0" w:type="auto"/>
            <w:tcBorders>
              <w:top w:val="single" w:color="000000" w:sz="4" w:space="0"/>
              <w:left w:val="nil"/>
              <w:bottom w:val="single" w:color="000000" w:sz="4" w:space="0"/>
              <w:right w:val="single" w:color="000000" w:sz="4" w:space="0"/>
            </w:tcBorders>
            <w:noWrap/>
            <w:vAlign w:val="center"/>
          </w:tcPr>
          <w:p w14:paraId="2BDB75B1">
            <w:pPr>
              <w:widowControl/>
              <w:ind w:firstLine="0" w:firstLineChars="0"/>
              <w:jc w:val="center"/>
              <w:textAlignment w:val="center"/>
              <w:rPr>
                <w:color w:val="000000"/>
                <w:sz w:val="22"/>
              </w:rPr>
            </w:pPr>
            <w:r>
              <w:rPr>
                <w:color w:val="000000"/>
                <w:kern w:val="0"/>
                <w:sz w:val="22"/>
              </w:rPr>
              <w:t xml:space="preserve">0.39 </w:t>
            </w:r>
          </w:p>
        </w:tc>
        <w:tc>
          <w:tcPr>
            <w:tcW w:w="0" w:type="auto"/>
            <w:tcBorders>
              <w:top w:val="single" w:color="000000" w:sz="4" w:space="0"/>
              <w:left w:val="nil"/>
              <w:bottom w:val="single" w:color="000000" w:sz="4" w:space="0"/>
              <w:right w:val="single" w:color="000000" w:sz="4" w:space="0"/>
            </w:tcBorders>
            <w:noWrap/>
            <w:vAlign w:val="center"/>
          </w:tcPr>
          <w:p w14:paraId="1D3ECE2F">
            <w:pPr>
              <w:widowControl/>
              <w:ind w:firstLine="0" w:firstLineChars="0"/>
              <w:jc w:val="center"/>
              <w:textAlignment w:val="center"/>
              <w:rPr>
                <w:color w:val="000000"/>
                <w:sz w:val="22"/>
              </w:rPr>
            </w:pPr>
            <w:r>
              <w:rPr>
                <w:color w:val="000000"/>
                <w:kern w:val="0"/>
                <w:sz w:val="22"/>
              </w:rPr>
              <w:t xml:space="preserve">0.38 </w:t>
            </w:r>
          </w:p>
        </w:tc>
        <w:tc>
          <w:tcPr>
            <w:tcW w:w="0" w:type="auto"/>
            <w:tcBorders>
              <w:top w:val="single" w:color="000000" w:sz="4" w:space="0"/>
              <w:left w:val="nil"/>
              <w:bottom w:val="single" w:color="000000" w:sz="4" w:space="0"/>
              <w:right w:val="single" w:color="000000" w:sz="4" w:space="0"/>
            </w:tcBorders>
            <w:noWrap/>
            <w:vAlign w:val="center"/>
          </w:tcPr>
          <w:p w14:paraId="0D78B479">
            <w:pPr>
              <w:widowControl/>
              <w:ind w:firstLine="0" w:firstLineChars="0"/>
              <w:jc w:val="center"/>
              <w:textAlignment w:val="center"/>
              <w:rPr>
                <w:color w:val="000000"/>
                <w:sz w:val="22"/>
              </w:rPr>
            </w:pPr>
            <w:r>
              <w:rPr>
                <w:color w:val="000000"/>
                <w:kern w:val="0"/>
                <w:sz w:val="22"/>
              </w:rPr>
              <w:t xml:space="preserve">0.35 </w:t>
            </w:r>
          </w:p>
        </w:tc>
      </w:tr>
      <w:tr w14:paraId="407BE7B0">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68C7E02">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非石化能源品种消费量增长率</w:t>
            </w:r>
            <w:r>
              <w:rPr>
                <w:rFonts w:eastAsia="仿宋"/>
                <w:color w:val="000000"/>
                <w:kern w:val="0"/>
                <w:sz w:val="20"/>
                <w:szCs w:val="20"/>
              </w:rPr>
              <w:t xml:space="preserve">   X16</w:t>
            </w:r>
          </w:p>
        </w:tc>
        <w:tc>
          <w:tcPr>
            <w:tcW w:w="0" w:type="auto"/>
            <w:tcBorders>
              <w:top w:val="single" w:color="000000" w:sz="4" w:space="0"/>
              <w:left w:val="nil"/>
              <w:bottom w:val="single" w:color="000000" w:sz="4" w:space="0"/>
              <w:right w:val="single" w:color="000000" w:sz="4" w:space="0"/>
            </w:tcBorders>
            <w:noWrap/>
            <w:vAlign w:val="center"/>
          </w:tcPr>
          <w:p w14:paraId="56CAC0BB">
            <w:pPr>
              <w:ind w:firstLine="0" w:firstLineChars="0"/>
              <w:jc w:val="center"/>
              <w:rPr>
                <w:color w:val="000000"/>
                <w:sz w:val="22"/>
              </w:rPr>
            </w:pPr>
          </w:p>
        </w:tc>
        <w:tc>
          <w:tcPr>
            <w:tcW w:w="0" w:type="auto"/>
            <w:tcBorders>
              <w:top w:val="single" w:color="000000" w:sz="4" w:space="0"/>
              <w:left w:val="nil"/>
              <w:bottom w:val="single" w:color="000000" w:sz="4" w:space="0"/>
              <w:right w:val="single" w:color="000000" w:sz="4" w:space="0"/>
            </w:tcBorders>
            <w:noWrap/>
            <w:vAlign w:val="center"/>
          </w:tcPr>
          <w:p w14:paraId="3B50B401">
            <w:pPr>
              <w:widowControl/>
              <w:ind w:firstLine="0" w:firstLineChars="0"/>
              <w:jc w:val="center"/>
              <w:textAlignment w:val="center"/>
              <w:rPr>
                <w:color w:val="000000"/>
                <w:sz w:val="22"/>
              </w:rPr>
            </w:pPr>
            <w:r>
              <w:rPr>
                <w:color w:val="000000"/>
                <w:kern w:val="0"/>
                <w:sz w:val="22"/>
              </w:rPr>
              <w:t>6.03%</w:t>
            </w:r>
          </w:p>
        </w:tc>
        <w:tc>
          <w:tcPr>
            <w:tcW w:w="0" w:type="auto"/>
            <w:tcBorders>
              <w:top w:val="single" w:color="000000" w:sz="4" w:space="0"/>
              <w:left w:val="nil"/>
              <w:bottom w:val="single" w:color="000000" w:sz="4" w:space="0"/>
              <w:right w:val="single" w:color="000000" w:sz="4" w:space="0"/>
            </w:tcBorders>
            <w:noWrap/>
            <w:vAlign w:val="center"/>
          </w:tcPr>
          <w:p w14:paraId="22165DB0">
            <w:pPr>
              <w:widowControl/>
              <w:ind w:firstLine="0" w:firstLineChars="0"/>
              <w:jc w:val="center"/>
              <w:textAlignment w:val="center"/>
              <w:rPr>
                <w:color w:val="000000"/>
                <w:sz w:val="22"/>
              </w:rPr>
            </w:pPr>
            <w:r>
              <w:rPr>
                <w:color w:val="000000"/>
                <w:kern w:val="0"/>
                <w:sz w:val="22"/>
              </w:rPr>
              <w:t>18.92%</w:t>
            </w:r>
          </w:p>
        </w:tc>
        <w:tc>
          <w:tcPr>
            <w:tcW w:w="0" w:type="auto"/>
            <w:tcBorders>
              <w:top w:val="single" w:color="000000" w:sz="4" w:space="0"/>
              <w:left w:val="nil"/>
              <w:bottom w:val="single" w:color="000000" w:sz="4" w:space="0"/>
              <w:right w:val="single" w:color="000000" w:sz="4" w:space="0"/>
            </w:tcBorders>
            <w:noWrap/>
            <w:vAlign w:val="center"/>
          </w:tcPr>
          <w:p w14:paraId="4F14DBD0">
            <w:pPr>
              <w:widowControl/>
              <w:ind w:firstLine="0" w:firstLineChars="0"/>
              <w:jc w:val="center"/>
              <w:textAlignment w:val="center"/>
              <w:rPr>
                <w:color w:val="000000"/>
                <w:sz w:val="22"/>
              </w:rPr>
            </w:pPr>
            <w:r>
              <w:rPr>
                <w:color w:val="000000"/>
                <w:kern w:val="0"/>
                <w:sz w:val="22"/>
              </w:rPr>
              <w:t>9.38%</w:t>
            </w:r>
          </w:p>
        </w:tc>
        <w:tc>
          <w:tcPr>
            <w:tcW w:w="0" w:type="auto"/>
            <w:tcBorders>
              <w:top w:val="single" w:color="000000" w:sz="4" w:space="0"/>
              <w:left w:val="nil"/>
              <w:bottom w:val="single" w:color="000000" w:sz="4" w:space="0"/>
              <w:right w:val="single" w:color="000000" w:sz="4" w:space="0"/>
            </w:tcBorders>
            <w:noWrap/>
            <w:vAlign w:val="center"/>
          </w:tcPr>
          <w:p w14:paraId="6E41A136">
            <w:pPr>
              <w:widowControl/>
              <w:ind w:firstLine="0" w:firstLineChars="0"/>
              <w:jc w:val="center"/>
              <w:textAlignment w:val="center"/>
              <w:rPr>
                <w:color w:val="000000"/>
                <w:sz w:val="22"/>
              </w:rPr>
            </w:pPr>
            <w:r>
              <w:rPr>
                <w:color w:val="000000"/>
                <w:kern w:val="0"/>
                <w:sz w:val="22"/>
              </w:rPr>
              <w:t>24.23%</w:t>
            </w:r>
          </w:p>
        </w:tc>
        <w:tc>
          <w:tcPr>
            <w:tcW w:w="0" w:type="auto"/>
            <w:tcBorders>
              <w:top w:val="single" w:color="000000" w:sz="4" w:space="0"/>
              <w:left w:val="nil"/>
              <w:bottom w:val="single" w:color="000000" w:sz="4" w:space="0"/>
              <w:right w:val="single" w:color="000000" w:sz="4" w:space="0"/>
            </w:tcBorders>
            <w:noWrap/>
            <w:vAlign w:val="center"/>
          </w:tcPr>
          <w:p w14:paraId="66D28EF9">
            <w:pPr>
              <w:widowControl/>
              <w:ind w:firstLine="0" w:firstLineChars="0"/>
              <w:jc w:val="center"/>
              <w:textAlignment w:val="center"/>
              <w:rPr>
                <w:color w:val="000000"/>
                <w:sz w:val="22"/>
              </w:rPr>
            </w:pPr>
            <w:r>
              <w:rPr>
                <w:color w:val="000000"/>
                <w:kern w:val="0"/>
                <w:sz w:val="22"/>
              </w:rPr>
              <w:t>-4.01%</w:t>
            </w:r>
          </w:p>
        </w:tc>
        <w:tc>
          <w:tcPr>
            <w:tcW w:w="0" w:type="auto"/>
            <w:tcBorders>
              <w:top w:val="single" w:color="000000" w:sz="4" w:space="0"/>
              <w:left w:val="nil"/>
              <w:bottom w:val="single" w:color="000000" w:sz="4" w:space="0"/>
              <w:right w:val="single" w:color="000000" w:sz="4" w:space="0"/>
            </w:tcBorders>
            <w:noWrap/>
            <w:vAlign w:val="center"/>
          </w:tcPr>
          <w:p w14:paraId="36C3D820">
            <w:pPr>
              <w:widowControl/>
              <w:ind w:firstLine="0" w:firstLineChars="0"/>
              <w:jc w:val="center"/>
              <w:textAlignment w:val="center"/>
              <w:rPr>
                <w:color w:val="000000"/>
                <w:sz w:val="22"/>
              </w:rPr>
            </w:pPr>
            <w:r>
              <w:rPr>
                <w:color w:val="000000"/>
                <w:kern w:val="0"/>
                <w:sz w:val="22"/>
              </w:rPr>
              <w:t>5.17%</w:t>
            </w:r>
          </w:p>
        </w:tc>
        <w:tc>
          <w:tcPr>
            <w:tcW w:w="0" w:type="auto"/>
            <w:tcBorders>
              <w:top w:val="single" w:color="000000" w:sz="4" w:space="0"/>
              <w:left w:val="nil"/>
              <w:bottom w:val="single" w:color="000000" w:sz="4" w:space="0"/>
              <w:right w:val="single" w:color="000000" w:sz="4" w:space="0"/>
            </w:tcBorders>
            <w:noWrap/>
            <w:vAlign w:val="center"/>
          </w:tcPr>
          <w:p w14:paraId="12470C29">
            <w:pPr>
              <w:widowControl/>
              <w:ind w:firstLine="0" w:firstLineChars="0"/>
              <w:jc w:val="center"/>
              <w:textAlignment w:val="center"/>
              <w:rPr>
                <w:color w:val="000000"/>
                <w:sz w:val="22"/>
              </w:rPr>
            </w:pPr>
            <w:r>
              <w:rPr>
                <w:color w:val="000000"/>
                <w:kern w:val="0"/>
                <w:sz w:val="22"/>
              </w:rPr>
              <w:t>20.98%</w:t>
            </w:r>
          </w:p>
        </w:tc>
        <w:tc>
          <w:tcPr>
            <w:tcW w:w="0" w:type="auto"/>
            <w:tcBorders>
              <w:top w:val="single" w:color="000000" w:sz="4" w:space="0"/>
              <w:left w:val="nil"/>
              <w:bottom w:val="single" w:color="000000" w:sz="4" w:space="0"/>
              <w:right w:val="single" w:color="000000" w:sz="4" w:space="0"/>
            </w:tcBorders>
            <w:noWrap/>
            <w:vAlign w:val="center"/>
          </w:tcPr>
          <w:p w14:paraId="4AAA2DC7">
            <w:pPr>
              <w:widowControl/>
              <w:ind w:firstLine="0" w:firstLineChars="0"/>
              <w:jc w:val="center"/>
              <w:textAlignment w:val="center"/>
              <w:rPr>
                <w:color w:val="000000"/>
                <w:sz w:val="22"/>
              </w:rPr>
            </w:pPr>
            <w:r>
              <w:rPr>
                <w:color w:val="000000"/>
                <w:kern w:val="0"/>
                <w:sz w:val="22"/>
              </w:rPr>
              <w:t>28.22%</w:t>
            </w:r>
          </w:p>
        </w:tc>
        <w:tc>
          <w:tcPr>
            <w:tcW w:w="0" w:type="auto"/>
            <w:tcBorders>
              <w:top w:val="single" w:color="000000" w:sz="4" w:space="0"/>
              <w:left w:val="nil"/>
              <w:bottom w:val="single" w:color="000000" w:sz="4" w:space="0"/>
              <w:right w:val="single" w:color="000000" w:sz="4" w:space="0"/>
            </w:tcBorders>
            <w:noWrap/>
            <w:vAlign w:val="center"/>
          </w:tcPr>
          <w:p w14:paraId="7DAAFD90">
            <w:pPr>
              <w:widowControl/>
              <w:ind w:firstLine="0" w:firstLineChars="0"/>
              <w:jc w:val="center"/>
              <w:textAlignment w:val="center"/>
              <w:rPr>
                <w:color w:val="000000"/>
                <w:sz w:val="22"/>
              </w:rPr>
            </w:pPr>
            <w:r>
              <w:rPr>
                <w:color w:val="000000"/>
                <w:kern w:val="0"/>
                <w:sz w:val="22"/>
              </w:rPr>
              <w:t>16.28%</w:t>
            </w:r>
          </w:p>
        </w:tc>
        <w:tc>
          <w:tcPr>
            <w:tcW w:w="0" w:type="auto"/>
            <w:tcBorders>
              <w:top w:val="single" w:color="000000" w:sz="4" w:space="0"/>
              <w:left w:val="nil"/>
              <w:bottom w:val="single" w:color="000000" w:sz="4" w:space="0"/>
              <w:right w:val="single" w:color="000000" w:sz="4" w:space="0"/>
            </w:tcBorders>
            <w:noWrap/>
            <w:vAlign w:val="center"/>
          </w:tcPr>
          <w:p w14:paraId="23CE6816">
            <w:pPr>
              <w:widowControl/>
              <w:ind w:firstLine="0" w:firstLineChars="0"/>
              <w:jc w:val="center"/>
              <w:textAlignment w:val="center"/>
              <w:rPr>
                <w:color w:val="000000"/>
                <w:sz w:val="22"/>
              </w:rPr>
            </w:pPr>
            <w:r>
              <w:rPr>
                <w:color w:val="000000"/>
                <w:kern w:val="0"/>
                <w:sz w:val="22"/>
              </w:rPr>
              <w:t>5.46%</w:t>
            </w:r>
          </w:p>
        </w:tc>
      </w:tr>
      <w:tr w14:paraId="6FE427DC">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C7420A7">
            <w:pPr>
              <w:widowControl/>
              <w:ind w:firstLine="0" w:firstLineChars="0"/>
              <w:jc w:val="center"/>
              <w:textAlignment w:val="center"/>
              <w:rPr>
                <w:color w:val="000000"/>
                <w:sz w:val="22"/>
              </w:rPr>
            </w:pPr>
            <w:r>
              <w:rPr>
                <w:rFonts w:ascii="宋体" w:hAnsi="宋体"/>
                <w:color w:val="000000"/>
                <w:kern w:val="0"/>
                <w:sz w:val="22"/>
              </w:rPr>
              <w:t>外地调入与非石化源消费量倍数</w:t>
            </w:r>
            <w:r>
              <w:rPr>
                <w:color w:val="000000"/>
                <w:kern w:val="0"/>
                <w:sz w:val="22"/>
              </w:rPr>
              <w:t>X17</w:t>
            </w:r>
          </w:p>
        </w:tc>
        <w:tc>
          <w:tcPr>
            <w:tcW w:w="0" w:type="auto"/>
            <w:tcBorders>
              <w:top w:val="single" w:color="000000" w:sz="4" w:space="0"/>
              <w:left w:val="nil"/>
              <w:bottom w:val="single" w:color="000000" w:sz="4" w:space="0"/>
              <w:right w:val="single" w:color="000000" w:sz="4" w:space="0"/>
            </w:tcBorders>
            <w:noWrap/>
            <w:vAlign w:val="center"/>
          </w:tcPr>
          <w:p w14:paraId="3E159F14">
            <w:pPr>
              <w:widowControl/>
              <w:ind w:firstLine="0" w:firstLineChars="0"/>
              <w:jc w:val="center"/>
              <w:textAlignment w:val="center"/>
              <w:rPr>
                <w:color w:val="000000"/>
                <w:sz w:val="22"/>
              </w:rPr>
            </w:pPr>
            <w:r>
              <w:rPr>
                <w:color w:val="000000"/>
                <w:kern w:val="0"/>
                <w:sz w:val="22"/>
              </w:rPr>
              <w:t>1.120618314</w:t>
            </w:r>
          </w:p>
        </w:tc>
        <w:tc>
          <w:tcPr>
            <w:tcW w:w="0" w:type="auto"/>
            <w:tcBorders>
              <w:top w:val="single" w:color="000000" w:sz="4" w:space="0"/>
              <w:left w:val="nil"/>
              <w:bottom w:val="single" w:color="000000" w:sz="4" w:space="0"/>
              <w:right w:val="single" w:color="000000" w:sz="4" w:space="0"/>
            </w:tcBorders>
            <w:noWrap/>
            <w:vAlign w:val="center"/>
          </w:tcPr>
          <w:p w14:paraId="5E849835">
            <w:pPr>
              <w:widowControl/>
              <w:ind w:firstLine="0" w:firstLineChars="0"/>
              <w:jc w:val="center"/>
              <w:textAlignment w:val="center"/>
              <w:rPr>
                <w:color w:val="000000"/>
                <w:sz w:val="22"/>
              </w:rPr>
            </w:pPr>
            <w:r>
              <w:rPr>
                <w:color w:val="000000"/>
                <w:kern w:val="0"/>
                <w:sz w:val="22"/>
              </w:rPr>
              <w:t>1.009559111</w:t>
            </w:r>
          </w:p>
        </w:tc>
        <w:tc>
          <w:tcPr>
            <w:tcW w:w="0" w:type="auto"/>
            <w:tcBorders>
              <w:top w:val="single" w:color="000000" w:sz="4" w:space="0"/>
              <w:left w:val="nil"/>
              <w:bottom w:val="single" w:color="000000" w:sz="4" w:space="0"/>
              <w:right w:val="single" w:color="000000" w:sz="4" w:space="0"/>
            </w:tcBorders>
            <w:noWrap/>
            <w:vAlign w:val="center"/>
          </w:tcPr>
          <w:p w14:paraId="1FD01035">
            <w:pPr>
              <w:widowControl/>
              <w:ind w:firstLine="0" w:firstLineChars="0"/>
              <w:jc w:val="center"/>
              <w:textAlignment w:val="center"/>
              <w:rPr>
                <w:color w:val="000000"/>
                <w:sz w:val="22"/>
              </w:rPr>
            </w:pPr>
            <w:r>
              <w:rPr>
                <w:color w:val="000000"/>
                <w:kern w:val="0"/>
                <w:sz w:val="22"/>
              </w:rPr>
              <w:t>1.028674852</w:t>
            </w:r>
          </w:p>
        </w:tc>
        <w:tc>
          <w:tcPr>
            <w:tcW w:w="0" w:type="auto"/>
            <w:tcBorders>
              <w:top w:val="single" w:color="000000" w:sz="4" w:space="0"/>
              <w:left w:val="nil"/>
              <w:bottom w:val="single" w:color="000000" w:sz="4" w:space="0"/>
              <w:right w:val="single" w:color="000000" w:sz="4" w:space="0"/>
            </w:tcBorders>
            <w:noWrap/>
            <w:vAlign w:val="center"/>
          </w:tcPr>
          <w:p w14:paraId="0C0A8AC3">
            <w:pPr>
              <w:widowControl/>
              <w:ind w:firstLine="0" w:firstLineChars="0"/>
              <w:jc w:val="center"/>
              <w:textAlignment w:val="center"/>
              <w:rPr>
                <w:color w:val="000000"/>
                <w:sz w:val="22"/>
              </w:rPr>
            </w:pPr>
            <w:r>
              <w:rPr>
                <w:color w:val="000000"/>
                <w:kern w:val="0"/>
                <w:sz w:val="22"/>
              </w:rPr>
              <w:t>1.227917635</w:t>
            </w:r>
          </w:p>
        </w:tc>
        <w:tc>
          <w:tcPr>
            <w:tcW w:w="0" w:type="auto"/>
            <w:tcBorders>
              <w:top w:val="single" w:color="000000" w:sz="4" w:space="0"/>
              <w:left w:val="nil"/>
              <w:bottom w:val="single" w:color="000000" w:sz="4" w:space="0"/>
              <w:right w:val="single" w:color="000000" w:sz="4" w:space="0"/>
            </w:tcBorders>
            <w:noWrap/>
            <w:vAlign w:val="center"/>
          </w:tcPr>
          <w:p w14:paraId="0B7A1596">
            <w:pPr>
              <w:widowControl/>
              <w:ind w:firstLine="0" w:firstLineChars="0"/>
              <w:jc w:val="center"/>
              <w:textAlignment w:val="center"/>
              <w:rPr>
                <w:color w:val="000000"/>
                <w:sz w:val="22"/>
              </w:rPr>
            </w:pPr>
            <w:r>
              <w:rPr>
                <w:color w:val="000000"/>
                <w:kern w:val="0"/>
                <w:sz w:val="22"/>
              </w:rPr>
              <w:t>1.190932425</w:t>
            </w:r>
          </w:p>
        </w:tc>
        <w:tc>
          <w:tcPr>
            <w:tcW w:w="0" w:type="auto"/>
            <w:tcBorders>
              <w:top w:val="single" w:color="000000" w:sz="4" w:space="0"/>
              <w:left w:val="nil"/>
              <w:bottom w:val="single" w:color="000000" w:sz="4" w:space="0"/>
              <w:right w:val="single" w:color="000000" w:sz="4" w:space="0"/>
            </w:tcBorders>
            <w:noWrap/>
            <w:vAlign w:val="center"/>
          </w:tcPr>
          <w:p w14:paraId="659ADE8D">
            <w:pPr>
              <w:widowControl/>
              <w:ind w:firstLine="0" w:firstLineChars="0"/>
              <w:jc w:val="center"/>
              <w:textAlignment w:val="center"/>
              <w:rPr>
                <w:color w:val="000000"/>
                <w:sz w:val="22"/>
              </w:rPr>
            </w:pPr>
            <w:r>
              <w:rPr>
                <w:color w:val="000000"/>
                <w:kern w:val="0"/>
                <w:sz w:val="22"/>
              </w:rPr>
              <w:t>1.285577911</w:t>
            </w:r>
          </w:p>
        </w:tc>
        <w:tc>
          <w:tcPr>
            <w:tcW w:w="0" w:type="auto"/>
            <w:tcBorders>
              <w:top w:val="single" w:color="000000" w:sz="4" w:space="0"/>
              <w:left w:val="nil"/>
              <w:bottom w:val="single" w:color="000000" w:sz="4" w:space="0"/>
              <w:right w:val="single" w:color="000000" w:sz="4" w:space="0"/>
            </w:tcBorders>
            <w:noWrap/>
            <w:vAlign w:val="center"/>
          </w:tcPr>
          <w:p w14:paraId="0158B6DF">
            <w:pPr>
              <w:widowControl/>
              <w:ind w:firstLine="0" w:firstLineChars="0"/>
              <w:jc w:val="center"/>
              <w:textAlignment w:val="center"/>
              <w:rPr>
                <w:color w:val="000000"/>
                <w:sz w:val="22"/>
              </w:rPr>
            </w:pPr>
            <w:r>
              <w:rPr>
                <w:color w:val="000000"/>
                <w:kern w:val="0"/>
                <w:sz w:val="22"/>
              </w:rPr>
              <w:t>1.330351146</w:t>
            </w:r>
          </w:p>
        </w:tc>
        <w:tc>
          <w:tcPr>
            <w:tcW w:w="0" w:type="auto"/>
            <w:tcBorders>
              <w:top w:val="single" w:color="000000" w:sz="4" w:space="0"/>
              <w:left w:val="nil"/>
              <w:bottom w:val="single" w:color="000000" w:sz="4" w:space="0"/>
              <w:right w:val="single" w:color="000000" w:sz="4" w:space="0"/>
            </w:tcBorders>
            <w:noWrap/>
            <w:vAlign w:val="center"/>
          </w:tcPr>
          <w:p w14:paraId="436C2EDA">
            <w:pPr>
              <w:widowControl/>
              <w:ind w:firstLine="0" w:firstLineChars="0"/>
              <w:jc w:val="center"/>
              <w:textAlignment w:val="center"/>
              <w:rPr>
                <w:color w:val="000000"/>
                <w:sz w:val="22"/>
              </w:rPr>
            </w:pPr>
            <w:r>
              <w:rPr>
                <w:color w:val="000000"/>
                <w:kern w:val="0"/>
                <w:sz w:val="22"/>
              </w:rPr>
              <w:t>1.310298833</w:t>
            </w:r>
          </w:p>
        </w:tc>
        <w:tc>
          <w:tcPr>
            <w:tcW w:w="0" w:type="auto"/>
            <w:tcBorders>
              <w:top w:val="single" w:color="000000" w:sz="4" w:space="0"/>
              <w:left w:val="nil"/>
              <w:bottom w:val="single" w:color="000000" w:sz="4" w:space="0"/>
              <w:right w:val="single" w:color="000000" w:sz="4" w:space="0"/>
            </w:tcBorders>
            <w:noWrap/>
            <w:vAlign w:val="center"/>
          </w:tcPr>
          <w:p w14:paraId="284E309F">
            <w:pPr>
              <w:widowControl/>
              <w:ind w:firstLine="0" w:firstLineChars="0"/>
              <w:jc w:val="center"/>
              <w:textAlignment w:val="center"/>
              <w:rPr>
                <w:color w:val="000000"/>
                <w:sz w:val="22"/>
              </w:rPr>
            </w:pPr>
            <w:r>
              <w:rPr>
                <w:color w:val="000000"/>
                <w:kern w:val="0"/>
                <w:sz w:val="22"/>
              </w:rPr>
              <w:t>1.177167373</w:t>
            </w:r>
          </w:p>
        </w:tc>
        <w:tc>
          <w:tcPr>
            <w:tcW w:w="0" w:type="auto"/>
            <w:tcBorders>
              <w:top w:val="single" w:color="000000" w:sz="4" w:space="0"/>
              <w:left w:val="nil"/>
              <w:bottom w:val="single" w:color="000000" w:sz="4" w:space="0"/>
              <w:right w:val="single" w:color="000000" w:sz="4" w:space="0"/>
            </w:tcBorders>
            <w:noWrap/>
            <w:vAlign w:val="center"/>
          </w:tcPr>
          <w:p w14:paraId="5AAC1761">
            <w:pPr>
              <w:widowControl/>
              <w:ind w:firstLine="0" w:firstLineChars="0"/>
              <w:jc w:val="center"/>
              <w:textAlignment w:val="center"/>
              <w:rPr>
                <w:color w:val="000000"/>
                <w:sz w:val="22"/>
              </w:rPr>
            </w:pPr>
            <w:r>
              <w:rPr>
                <w:color w:val="000000"/>
                <w:kern w:val="0"/>
                <w:sz w:val="22"/>
              </w:rPr>
              <w:t>1.080369802</w:t>
            </w:r>
          </w:p>
        </w:tc>
        <w:tc>
          <w:tcPr>
            <w:tcW w:w="0" w:type="auto"/>
            <w:tcBorders>
              <w:top w:val="single" w:color="000000" w:sz="4" w:space="0"/>
              <w:left w:val="nil"/>
              <w:bottom w:val="single" w:color="000000" w:sz="4" w:space="0"/>
              <w:right w:val="single" w:color="000000" w:sz="4" w:space="0"/>
            </w:tcBorders>
            <w:noWrap/>
            <w:vAlign w:val="center"/>
          </w:tcPr>
          <w:p w14:paraId="1709D95B">
            <w:pPr>
              <w:widowControl/>
              <w:ind w:firstLine="0" w:firstLineChars="0"/>
              <w:jc w:val="center"/>
              <w:textAlignment w:val="center"/>
              <w:rPr>
                <w:color w:val="000000"/>
                <w:sz w:val="22"/>
              </w:rPr>
            </w:pPr>
            <w:r>
              <w:rPr>
                <w:color w:val="000000"/>
                <w:kern w:val="0"/>
                <w:sz w:val="22"/>
              </w:rPr>
              <w:t>1.078851697</w:t>
            </w:r>
          </w:p>
        </w:tc>
      </w:tr>
      <w:tr w14:paraId="5C228D99">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EDA1EC8">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部门清洁能源消费量占比</w:t>
            </w:r>
            <w:r>
              <w:rPr>
                <w:rFonts w:eastAsia="仿宋"/>
                <w:color w:val="000000"/>
                <w:kern w:val="0"/>
                <w:sz w:val="20"/>
                <w:szCs w:val="20"/>
              </w:rPr>
              <w:t xml:space="preserve">  X18-1 </w:t>
            </w:r>
          </w:p>
        </w:tc>
        <w:tc>
          <w:tcPr>
            <w:tcW w:w="0" w:type="auto"/>
            <w:tcBorders>
              <w:top w:val="single" w:color="000000" w:sz="4" w:space="0"/>
              <w:left w:val="nil"/>
              <w:bottom w:val="single" w:color="000000" w:sz="4" w:space="0"/>
              <w:right w:val="single" w:color="000000" w:sz="4" w:space="0"/>
            </w:tcBorders>
            <w:noWrap/>
            <w:vAlign w:val="center"/>
          </w:tcPr>
          <w:p w14:paraId="30DB9BE0">
            <w:pPr>
              <w:widowControl/>
              <w:ind w:firstLine="0" w:firstLineChars="0"/>
              <w:jc w:val="center"/>
              <w:textAlignment w:val="center"/>
              <w:rPr>
                <w:color w:val="000000"/>
                <w:sz w:val="22"/>
              </w:rPr>
            </w:pPr>
            <w:r>
              <w:rPr>
                <w:color w:val="000000"/>
                <w:kern w:val="0"/>
                <w:sz w:val="22"/>
              </w:rPr>
              <w:t>10.1%</w:t>
            </w:r>
          </w:p>
        </w:tc>
        <w:tc>
          <w:tcPr>
            <w:tcW w:w="0" w:type="auto"/>
            <w:tcBorders>
              <w:top w:val="single" w:color="000000" w:sz="4" w:space="0"/>
              <w:left w:val="nil"/>
              <w:bottom w:val="single" w:color="000000" w:sz="4" w:space="0"/>
              <w:right w:val="single" w:color="000000" w:sz="4" w:space="0"/>
            </w:tcBorders>
            <w:noWrap/>
            <w:vAlign w:val="center"/>
          </w:tcPr>
          <w:p w14:paraId="73F7A335">
            <w:pPr>
              <w:widowControl/>
              <w:ind w:firstLine="0" w:firstLineChars="0"/>
              <w:jc w:val="center"/>
              <w:textAlignment w:val="center"/>
              <w:rPr>
                <w:color w:val="000000"/>
                <w:sz w:val="22"/>
              </w:rPr>
            </w:pPr>
            <w:r>
              <w:rPr>
                <w:color w:val="000000"/>
                <w:kern w:val="0"/>
                <w:sz w:val="22"/>
              </w:rPr>
              <w:t>10.3%</w:t>
            </w:r>
          </w:p>
        </w:tc>
        <w:tc>
          <w:tcPr>
            <w:tcW w:w="0" w:type="auto"/>
            <w:tcBorders>
              <w:top w:val="single" w:color="000000" w:sz="4" w:space="0"/>
              <w:left w:val="nil"/>
              <w:bottom w:val="single" w:color="000000" w:sz="4" w:space="0"/>
              <w:right w:val="single" w:color="000000" w:sz="4" w:space="0"/>
            </w:tcBorders>
            <w:noWrap/>
            <w:vAlign w:val="center"/>
          </w:tcPr>
          <w:p w14:paraId="7E3D295A">
            <w:pPr>
              <w:widowControl/>
              <w:ind w:firstLine="0" w:firstLineChars="0"/>
              <w:jc w:val="center"/>
              <w:textAlignment w:val="center"/>
              <w:rPr>
                <w:color w:val="000000"/>
                <w:sz w:val="22"/>
              </w:rPr>
            </w:pPr>
            <w:r>
              <w:rPr>
                <w:color w:val="000000"/>
                <w:kern w:val="0"/>
                <w:sz w:val="22"/>
              </w:rPr>
              <w:t>10.4%</w:t>
            </w:r>
          </w:p>
        </w:tc>
        <w:tc>
          <w:tcPr>
            <w:tcW w:w="0" w:type="auto"/>
            <w:tcBorders>
              <w:top w:val="single" w:color="000000" w:sz="4" w:space="0"/>
              <w:left w:val="nil"/>
              <w:bottom w:val="single" w:color="000000" w:sz="4" w:space="0"/>
              <w:right w:val="single" w:color="000000" w:sz="4" w:space="0"/>
            </w:tcBorders>
            <w:noWrap/>
            <w:vAlign w:val="center"/>
          </w:tcPr>
          <w:p w14:paraId="0B6860B4">
            <w:pPr>
              <w:widowControl/>
              <w:ind w:firstLine="0" w:firstLineChars="0"/>
              <w:jc w:val="center"/>
              <w:textAlignment w:val="center"/>
              <w:rPr>
                <w:color w:val="000000"/>
                <w:sz w:val="22"/>
              </w:rPr>
            </w:pPr>
            <w:r>
              <w:rPr>
                <w:color w:val="000000"/>
                <w:kern w:val="0"/>
                <w:sz w:val="22"/>
              </w:rPr>
              <w:t>14.7%</w:t>
            </w:r>
          </w:p>
        </w:tc>
        <w:tc>
          <w:tcPr>
            <w:tcW w:w="0" w:type="auto"/>
            <w:tcBorders>
              <w:top w:val="single" w:color="000000" w:sz="4" w:space="0"/>
              <w:left w:val="nil"/>
              <w:bottom w:val="single" w:color="000000" w:sz="4" w:space="0"/>
              <w:right w:val="single" w:color="000000" w:sz="4" w:space="0"/>
            </w:tcBorders>
            <w:noWrap/>
            <w:vAlign w:val="center"/>
          </w:tcPr>
          <w:p w14:paraId="3E52885F">
            <w:pPr>
              <w:widowControl/>
              <w:ind w:firstLine="0" w:firstLineChars="0"/>
              <w:jc w:val="center"/>
              <w:textAlignment w:val="center"/>
              <w:rPr>
                <w:color w:val="000000"/>
                <w:sz w:val="22"/>
              </w:rPr>
            </w:pPr>
            <w:r>
              <w:rPr>
                <w:color w:val="000000"/>
                <w:kern w:val="0"/>
                <w:sz w:val="22"/>
              </w:rPr>
              <w:t>14.9%</w:t>
            </w:r>
          </w:p>
        </w:tc>
        <w:tc>
          <w:tcPr>
            <w:tcW w:w="0" w:type="auto"/>
            <w:tcBorders>
              <w:top w:val="single" w:color="000000" w:sz="4" w:space="0"/>
              <w:left w:val="nil"/>
              <w:bottom w:val="single" w:color="000000" w:sz="4" w:space="0"/>
              <w:right w:val="single" w:color="000000" w:sz="4" w:space="0"/>
            </w:tcBorders>
            <w:noWrap/>
            <w:vAlign w:val="center"/>
          </w:tcPr>
          <w:p w14:paraId="7F467A14">
            <w:pPr>
              <w:widowControl/>
              <w:ind w:firstLine="0" w:firstLineChars="0"/>
              <w:jc w:val="center"/>
              <w:textAlignment w:val="center"/>
              <w:rPr>
                <w:color w:val="000000"/>
                <w:sz w:val="22"/>
              </w:rPr>
            </w:pPr>
            <w:r>
              <w:rPr>
                <w:color w:val="000000"/>
                <w:kern w:val="0"/>
                <w:sz w:val="22"/>
              </w:rPr>
              <w:t>15.0%</w:t>
            </w:r>
          </w:p>
        </w:tc>
        <w:tc>
          <w:tcPr>
            <w:tcW w:w="0" w:type="auto"/>
            <w:tcBorders>
              <w:top w:val="single" w:color="000000" w:sz="4" w:space="0"/>
              <w:left w:val="nil"/>
              <w:bottom w:val="single" w:color="000000" w:sz="4" w:space="0"/>
              <w:right w:val="single" w:color="000000" w:sz="4" w:space="0"/>
            </w:tcBorders>
            <w:noWrap/>
            <w:vAlign w:val="center"/>
          </w:tcPr>
          <w:p w14:paraId="4DC63BBD">
            <w:pPr>
              <w:widowControl/>
              <w:ind w:firstLine="0" w:firstLineChars="0"/>
              <w:jc w:val="center"/>
              <w:textAlignment w:val="center"/>
              <w:rPr>
                <w:color w:val="000000"/>
                <w:sz w:val="22"/>
              </w:rPr>
            </w:pPr>
            <w:r>
              <w:rPr>
                <w:color w:val="000000"/>
                <w:kern w:val="0"/>
                <w:sz w:val="22"/>
              </w:rPr>
              <w:t>17.5%</w:t>
            </w:r>
          </w:p>
        </w:tc>
        <w:tc>
          <w:tcPr>
            <w:tcW w:w="0" w:type="auto"/>
            <w:tcBorders>
              <w:top w:val="single" w:color="000000" w:sz="4" w:space="0"/>
              <w:left w:val="nil"/>
              <w:bottom w:val="single" w:color="000000" w:sz="4" w:space="0"/>
              <w:right w:val="single" w:color="000000" w:sz="4" w:space="0"/>
            </w:tcBorders>
            <w:noWrap/>
            <w:vAlign w:val="center"/>
          </w:tcPr>
          <w:p w14:paraId="48EE9FD8">
            <w:pPr>
              <w:widowControl/>
              <w:ind w:firstLine="0" w:firstLineChars="0"/>
              <w:jc w:val="center"/>
              <w:textAlignment w:val="center"/>
              <w:rPr>
                <w:color w:val="000000"/>
                <w:sz w:val="22"/>
              </w:rPr>
            </w:pPr>
            <w:r>
              <w:rPr>
                <w:color w:val="000000"/>
                <w:kern w:val="0"/>
                <w:sz w:val="22"/>
              </w:rPr>
              <w:t>18.6%</w:t>
            </w:r>
          </w:p>
        </w:tc>
        <w:tc>
          <w:tcPr>
            <w:tcW w:w="0" w:type="auto"/>
            <w:tcBorders>
              <w:top w:val="single" w:color="000000" w:sz="4" w:space="0"/>
              <w:left w:val="nil"/>
              <w:bottom w:val="single" w:color="000000" w:sz="4" w:space="0"/>
              <w:right w:val="single" w:color="000000" w:sz="4" w:space="0"/>
            </w:tcBorders>
            <w:noWrap/>
            <w:vAlign w:val="center"/>
          </w:tcPr>
          <w:p w14:paraId="057707AD">
            <w:pPr>
              <w:widowControl/>
              <w:ind w:firstLine="0" w:firstLineChars="0"/>
              <w:jc w:val="center"/>
              <w:textAlignment w:val="center"/>
              <w:rPr>
                <w:color w:val="000000"/>
                <w:sz w:val="22"/>
              </w:rPr>
            </w:pPr>
            <w:r>
              <w:rPr>
                <w:color w:val="000000"/>
                <w:kern w:val="0"/>
                <w:sz w:val="22"/>
              </w:rPr>
              <w:t>19.3%</w:t>
            </w:r>
          </w:p>
        </w:tc>
        <w:tc>
          <w:tcPr>
            <w:tcW w:w="0" w:type="auto"/>
            <w:tcBorders>
              <w:top w:val="single" w:color="000000" w:sz="4" w:space="0"/>
              <w:left w:val="nil"/>
              <w:bottom w:val="single" w:color="000000" w:sz="4" w:space="0"/>
              <w:right w:val="single" w:color="000000" w:sz="4" w:space="0"/>
            </w:tcBorders>
            <w:noWrap/>
            <w:vAlign w:val="center"/>
          </w:tcPr>
          <w:p w14:paraId="426E2208">
            <w:pPr>
              <w:widowControl/>
              <w:ind w:firstLine="0" w:firstLineChars="0"/>
              <w:jc w:val="center"/>
              <w:textAlignment w:val="center"/>
              <w:rPr>
                <w:color w:val="000000"/>
                <w:sz w:val="22"/>
              </w:rPr>
            </w:pPr>
            <w:r>
              <w:rPr>
                <w:color w:val="000000"/>
                <w:kern w:val="0"/>
                <w:sz w:val="22"/>
              </w:rPr>
              <w:t>21.5%</w:t>
            </w:r>
          </w:p>
        </w:tc>
        <w:tc>
          <w:tcPr>
            <w:tcW w:w="0" w:type="auto"/>
            <w:tcBorders>
              <w:top w:val="single" w:color="000000" w:sz="4" w:space="0"/>
              <w:left w:val="nil"/>
              <w:bottom w:val="single" w:color="000000" w:sz="4" w:space="0"/>
              <w:right w:val="single" w:color="000000" w:sz="4" w:space="0"/>
            </w:tcBorders>
            <w:noWrap/>
            <w:vAlign w:val="center"/>
          </w:tcPr>
          <w:p w14:paraId="161C70DD">
            <w:pPr>
              <w:widowControl/>
              <w:ind w:firstLine="0" w:firstLineChars="0"/>
              <w:jc w:val="center"/>
              <w:textAlignment w:val="center"/>
              <w:rPr>
                <w:color w:val="000000"/>
                <w:sz w:val="22"/>
              </w:rPr>
            </w:pPr>
            <w:r>
              <w:rPr>
                <w:color w:val="000000"/>
                <w:kern w:val="0"/>
                <w:sz w:val="22"/>
              </w:rPr>
              <w:t>23.3%</w:t>
            </w:r>
          </w:p>
        </w:tc>
      </w:tr>
      <w:tr w14:paraId="37ADCFF9">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49F1314">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部门清洁能源消费量占比</w:t>
            </w:r>
            <w:r>
              <w:rPr>
                <w:rFonts w:eastAsia="仿宋"/>
                <w:color w:val="000000"/>
                <w:kern w:val="0"/>
                <w:sz w:val="20"/>
                <w:szCs w:val="20"/>
              </w:rPr>
              <w:t xml:space="preserve">  X18-2 </w:t>
            </w:r>
          </w:p>
        </w:tc>
        <w:tc>
          <w:tcPr>
            <w:tcW w:w="0" w:type="auto"/>
            <w:tcBorders>
              <w:top w:val="single" w:color="000000" w:sz="4" w:space="0"/>
              <w:left w:val="nil"/>
              <w:bottom w:val="single" w:color="000000" w:sz="4" w:space="0"/>
              <w:right w:val="single" w:color="000000" w:sz="4" w:space="0"/>
            </w:tcBorders>
            <w:noWrap/>
            <w:vAlign w:val="center"/>
          </w:tcPr>
          <w:p w14:paraId="55ABC0B4">
            <w:pPr>
              <w:widowControl/>
              <w:ind w:firstLine="0" w:firstLineChars="0"/>
              <w:jc w:val="center"/>
              <w:textAlignment w:val="center"/>
              <w:rPr>
                <w:color w:val="000000"/>
                <w:sz w:val="22"/>
              </w:rPr>
            </w:pPr>
            <w:r>
              <w:rPr>
                <w:color w:val="000000"/>
                <w:kern w:val="0"/>
                <w:sz w:val="22"/>
              </w:rPr>
              <w:t>4.5%</w:t>
            </w:r>
          </w:p>
        </w:tc>
        <w:tc>
          <w:tcPr>
            <w:tcW w:w="0" w:type="auto"/>
            <w:tcBorders>
              <w:top w:val="single" w:color="000000" w:sz="4" w:space="0"/>
              <w:left w:val="nil"/>
              <w:bottom w:val="single" w:color="000000" w:sz="4" w:space="0"/>
              <w:right w:val="single" w:color="000000" w:sz="4" w:space="0"/>
            </w:tcBorders>
            <w:noWrap/>
            <w:vAlign w:val="center"/>
          </w:tcPr>
          <w:p w14:paraId="390C9C72">
            <w:pPr>
              <w:widowControl/>
              <w:ind w:firstLine="0" w:firstLineChars="0"/>
              <w:jc w:val="center"/>
              <w:textAlignment w:val="center"/>
              <w:rPr>
                <w:color w:val="000000"/>
                <w:sz w:val="22"/>
              </w:rPr>
            </w:pPr>
            <w:r>
              <w:rPr>
                <w:color w:val="000000"/>
                <w:kern w:val="0"/>
                <w:sz w:val="22"/>
              </w:rPr>
              <w:t>4.8%</w:t>
            </w:r>
          </w:p>
        </w:tc>
        <w:tc>
          <w:tcPr>
            <w:tcW w:w="0" w:type="auto"/>
            <w:tcBorders>
              <w:top w:val="single" w:color="000000" w:sz="4" w:space="0"/>
              <w:left w:val="nil"/>
              <w:bottom w:val="single" w:color="000000" w:sz="4" w:space="0"/>
              <w:right w:val="single" w:color="000000" w:sz="4" w:space="0"/>
            </w:tcBorders>
            <w:noWrap/>
            <w:vAlign w:val="center"/>
          </w:tcPr>
          <w:p w14:paraId="33DAA033">
            <w:pPr>
              <w:widowControl/>
              <w:ind w:firstLine="0" w:firstLineChars="0"/>
              <w:jc w:val="center"/>
              <w:textAlignment w:val="center"/>
              <w:rPr>
                <w:color w:val="000000"/>
                <w:sz w:val="22"/>
              </w:rPr>
            </w:pPr>
            <w:r>
              <w:rPr>
                <w:color w:val="000000"/>
                <w:kern w:val="0"/>
                <w:sz w:val="22"/>
              </w:rPr>
              <w:t>5.5%</w:t>
            </w:r>
          </w:p>
        </w:tc>
        <w:tc>
          <w:tcPr>
            <w:tcW w:w="0" w:type="auto"/>
            <w:tcBorders>
              <w:top w:val="single" w:color="000000" w:sz="4" w:space="0"/>
              <w:left w:val="nil"/>
              <w:bottom w:val="single" w:color="000000" w:sz="4" w:space="0"/>
              <w:right w:val="single" w:color="000000" w:sz="4" w:space="0"/>
            </w:tcBorders>
            <w:noWrap/>
            <w:vAlign w:val="center"/>
          </w:tcPr>
          <w:p w14:paraId="654095BF">
            <w:pPr>
              <w:widowControl/>
              <w:ind w:firstLine="0" w:firstLineChars="0"/>
              <w:jc w:val="center"/>
              <w:textAlignment w:val="center"/>
              <w:rPr>
                <w:color w:val="000000"/>
                <w:sz w:val="22"/>
              </w:rPr>
            </w:pPr>
            <w:r>
              <w:rPr>
                <w:color w:val="000000"/>
                <w:kern w:val="0"/>
                <w:sz w:val="22"/>
              </w:rPr>
              <w:t>6.0%</w:t>
            </w:r>
          </w:p>
        </w:tc>
        <w:tc>
          <w:tcPr>
            <w:tcW w:w="0" w:type="auto"/>
            <w:tcBorders>
              <w:top w:val="single" w:color="000000" w:sz="4" w:space="0"/>
              <w:left w:val="nil"/>
              <w:bottom w:val="single" w:color="000000" w:sz="4" w:space="0"/>
              <w:right w:val="single" w:color="000000" w:sz="4" w:space="0"/>
            </w:tcBorders>
            <w:noWrap/>
            <w:vAlign w:val="center"/>
          </w:tcPr>
          <w:p w14:paraId="79BDBCB1">
            <w:pPr>
              <w:widowControl/>
              <w:ind w:firstLine="0" w:firstLineChars="0"/>
              <w:jc w:val="center"/>
              <w:textAlignment w:val="center"/>
              <w:rPr>
                <w:color w:val="000000"/>
                <w:sz w:val="22"/>
              </w:rPr>
            </w:pPr>
            <w:r>
              <w:rPr>
                <w:color w:val="000000"/>
                <w:kern w:val="0"/>
                <w:sz w:val="22"/>
              </w:rPr>
              <w:t>6.3%</w:t>
            </w:r>
          </w:p>
        </w:tc>
        <w:tc>
          <w:tcPr>
            <w:tcW w:w="0" w:type="auto"/>
            <w:tcBorders>
              <w:top w:val="single" w:color="000000" w:sz="4" w:space="0"/>
              <w:left w:val="nil"/>
              <w:bottom w:val="single" w:color="000000" w:sz="4" w:space="0"/>
              <w:right w:val="single" w:color="000000" w:sz="4" w:space="0"/>
            </w:tcBorders>
            <w:noWrap/>
            <w:vAlign w:val="center"/>
          </w:tcPr>
          <w:p w14:paraId="7EFCB940">
            <w:pPr>
              <w:widowControl/>
              <w:ind w:firstLine="0" w:firstLineChars="0"/>
              <w:jc w:val="center"/>
              <w:textAlignment w:val="center"/>
              <w:rPr>
                <w:color w:val="000000"/>
                <w:sz w:val="22"/>
              </w:rPr>
            </w:pPr>
            <w:r>
              <w:rPr>
                <w:color w:val="000000"/>
                <w:kern w:val="0"/>
                <w:sz w:val="22"/>
              </w:rPr>
              <w:t>8.3%</w:t>
            </w:r>
          </w:p>
        </w:tc>
        <w:tc>
          <w:tcPr>
            <w:tcW w:w="0" w:type="auto"/>
            <w:tcBorders>
              <w:top w:val="single" w:color="000000" w:sz="4" w:space="0"/>
              <w:left w:val="nil"/>
              <w:bottom w:val="single" w:color="000000" w:sz="4" w:space="0"/>
              <w:right w:val="single" w:color="000000" w:sz="4" w:space="0"/>
            </w:tcBorders>
            <w:noWrap/>
            <w:vAlign w:val="center"/>
          </w:tcPr>
          <w:p w14:paraId="405BBC45">
            <w:pPr>
              <w:widowControl/>
              <w:ind w:firstLine="0" w:firstLineChars="0"/>
              <w:jc w:val="center"/>
              <w:textAlignment w:val="center"/>
              <w:rPr>
                <w:color w:val="000000"/>
                <w:sz w:val="22"/>
              </w:rPr>
            </w:pPr>
            <w:r>
              <w:rPr>
                <w:color w:val="000000"/>
                <w:kern w:val="0"/>
                <w:sz w:val="22"/>
              </w:rPr>
              <w:t>8.1%</w:t>
            </w:r>
          </w:p>
        </w:tc>
        <w:tc>
          <w:tcPr>
            <w:tcW w:w="0" w:type="auto"/>
            <w:tcBorders>
              <w:top w:val="single" w:color="000000" w:sz="4" w:space="0"/>
              <w:left w:val="nil"/>
              <w:bottom w:val="single" w:color="000000" w:sz="4" w:space="0"/>
              <w:right w:val="single" w:color="000000" w:sz="4" w:space="0"/>
            </w:tcBorders>
            <w:noWrap/>
            <w:vAlign w:val="center"/>
          </w:tcPr>
          <w:p w14:paraId="1A526BD3">
            <w:pPr>
              <w:widowControl/>
              <w:ind w:firstLine="0" w:firstLineChars="0"/>
              <w:jc w:val="center"/>
              <w:textAlignment w:val="center"/>
              <w:rPr>
                <w:color w:val="000000"/>
                <w:sz w:val="22"/>
              </w:rPr>
            </w:pPr>
            <w:r>
              <w:rPr>
                <w:color w:val="000000"/>
                <w:kern w:val="0"/>
                <w:sz w:val="22"/>
              </w:rPr>
              <w:t>13.2%</w:t>
            </w:r>
          </w:p>
        </w:tc>
        <w:tc>
          <w:tcPr>
            <w:tcW w:w="0" w:type="auto"/>
            <w:tcBorders>
              <w:top w:val="single" w:color="000000" w:sz="4" w:space="0"/>
              <w:left w:val="nil"/>
              <w:bottom w:val="single" w:color="000000" w:sz="4" w:space="0"/>
              <w:right w:val="single" w:color="000000" w:sz="4" w:space="0"/>
            </w:tcBorders>
            <w:noWrap/>
            <w:vAlign w:val="center"/>
          </w:tcPr>
          <w:p w14:paraId="66FF3F70">
            <w:pPr>
              <w:widowControl/>
              <w:ind w:firstLine="0" w:firstLineChars="0"/>
              <w:jc w:val="center"/>
              <w:textAlignment w:val="center"/>
              <w:rPr>
                <w:color w:val="000000"/>
                <w:sz w:val="22"/>
              </w:rPr>
            </w:pPr>
            <w:r>
              <w:rPr>
                <w:color w:val="000000"/>
                <w:kern w:val="0"/>
                <w:sz w:val="22"/>
              </w:rPr>
              <w:t>14.3%</w:t>
            </w:r>
          </w:p>
        </w:tc>
        <w:tc>
          <w:tcPr>
            <w:tcW w:w="0" w:type="auto"/>
            <w:tcBorders>
              <w:top w:val="single" w:color="000000" w:sz="4" w:space="0"/>
              <w:left w:val="nil"/>
              <w:bottom w:val="single" w:color="000000" w:sz="4" w:space="0"/>
              <w:right w:val="single" w:color="000000" w:sz="4" w:space="0"/>
            </w:tcBorders>
            <w:noWrap/>
            <w:vAlign w:val="center"/>
          </w:tcPr>
          <w:p w14:paraId="693197F5">
            <w:pPr>
              <w:widowControl/>
              <w:ind w:firstLine="0" w:firstLineChars="0"/>
              <w:jc w:val="center"/>
              <w:textAlignment w:val="center"/>
              <w:rPr>
                <w:color w:val="000000"/>
                <w:sz w:val="22"/>
              </w:rPr>
            </w:pPr>
            <w:r>
              <w:rPr>
                <w:color w:val="000000"/>
                <w:kern w:val="0"/>
                <w:sz w:val="22"/>
              </w:rPr>
              <w:t>14.5%</w:t>
            </w:r>
          </w:p>
        </w:tc>
        <w:tc>
          <w:tcPr>
            <w:tcW w:w="0" w:type="auto"/>
            <w:tcBorders>
              <w:top w:val="single" w:color="000000" w:sz="4" w:space="0"/>
              <w:left w:val="nil"/>
              <w:bottom w:val="single" w:color="000000" w:sz="4" w:space="0"/>
              <w:right w:val="single" w:color="000000" w:sz="4" w:space="0"/>
            </w:tcBorders>
            <w:noWrap/>
            <w:vAlign w:val="center"/>
          </w:tcPr>
          <w:p w14:paraId="2E9F7DE7">
            <w:pPr>
              <w:widowControl/>
              <w:ind w:firstLine="0" w:firstLineChars="0"/>
              <w:jc w:val="center"/>
              <w:textAlignment w:val="center"/>
              <w:rPr>
                <w:color w:val="000000"/>
                <w:sz w:val="22"/>
              </w:rPr>
            </w:pPr>
            <w:r>
              <w:rPr>
                <w:color w:val="000000"/>
                <w:kern w:val="0"/>
                <w:sz w:val="22"/>
              </w:rPr>
              <w:t>12.0%</w:t>
            </w:r>
          </w:p>
        </w:tc>
      </w:tr>
      <w:tr w14:paraId="5C271152">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210611F">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部门清洁能源消费量占比</w:t>
            </w:r>
            <w:r>
              <w:rPr>
                <w:rFonts w:eastAsia="仿宋"/>
                <w:color w:val="000000"/>
                <w:kern w:val="0"/>
                <w:sz w:val="20"/>
                <w:szCs w:val="20"/>
              </w:rPr>
              <w:t xml:space="preserve">  X18-3 </w:t>
            </w:r>
          </w:p>
        </w:tc>
        <w:tc>
          <w:tcPr>
            <w:tcW w:w="0" w:type="auto"/>
            <w:tcBorders>
              <w:top w:val="single" w:color="000000" w:sz="4" w:space="0"/>
              <w:left w:val="nil"/>
              <w:bottom w:val="single" w:color="000000" w:sz="4" w:space="0"/>
              <w:right w:val="single" w:color="000000" w:sz="4" w:space="0"/>
            </w:tcBorders>
            <w:noWrap/>
            <w:vAlign w:val="center"/>
          </w:tcPr>
          <w:p w14:paraId="696A97AF">
            <w:pPr>
              <w:widowControl/>
              <w:ind w:firstLine="0" w:firstLineChars="0"/>
              <w:jc w:val="center"/>
              <w:textAlignment w:val="center"/>
              <w:rPr>
                <w:color w:val="000000"/>
                <w:sz w:val="22"/>
              </w:rPr>
            </w:pPr>
            <w:r>
              <w:rPr>
                <w:color w:val="000000"/>
                <w:kern w:val="0"/>
                <w:sz w:val="22"/>
              </w:rPr>
              <w:t>39%</w:t>
            </w:r>
          </w:p>
        </w:tc>
        <w:tc>
          <w:tcPr>
            <w:tcW w:w="0" w:type="auto"/>
            <w:tcBorders>
              <w:top w:val="single" w:color="000000" w:sz="4" w:space="0"/>
              <w:left w:val="nil"/>
              <w:bottom w:val="single" w:color="000000" w:sz="4" w:space="0"/>
              <w:right w:val="single" w:color="000000" w:sz="4" w:space="0"/>
            </w:tcBorders>
            <w:noWrap/>
            <w:vAlign w:val="center"/>
          </w:tcPr>
          <w:p w14:paraId="394A01F8">
            <w:pPr>
              <w:widowControl/>
              <w:ind w:firstLine="0" w:firstLineChars="0"/>
              <w:jc w:val="center"/>
              <w:textAlignment w:val="center"/>
              <w:rPr>
                <w:color w:val="000000"/>
                <w:sz w:val="22"/>
              </w:rPr>
            </w:pPr>
            <w:r>
              <w:rPr>
                <w:color w:val="000000"/>
                <w:kern w:val="0"/>
                <w:sz w:val="22"/>
              </w:rPr>
              <w:t>40%</w:t>
            </w:r>
          </w:p>
        </w:tc>
        <w:tc>
          <w:tcPr>
            <w:tcW w:w="0" w:type="auto"/>
            <w:tcBorders>
              <w:top w:val="single" w:color="000000" w:sz="4" w:space="0"/>
              <w:left w:val="nil"/>
              <w:bottom w:val="single" w:color="000000" w:sz="4" w:space="0"/>
              <w:right w:val="single" w:color="000000" w:sz="4" w:space="0"/>
            </w:tcBorders>
            <w:noWrap/>
            <w:vAlign w:val="center"/>
          </w:tcPr>
          <w:p w14:paraId="673A686C">
            <w:pPr>
              <w:widowControl/>
              <w:ind w:firstLine="0" w:firstLineChars="0"/>
              <w:jc w:val="center"/>
              <w:textAlignment w:val="center"/>
              <w:rPr>
                <w:color w:val="000000"/>
                <w:sz w:val="22"/>
              </w:rPr>
            </w:pPr>
            <w:r>
              <w:rPr>
                <w:color w:val="000000"/>
                <w:kern w:val="0"/>
                <w:sz w:val="22"/>
              </w:rPr>
              <w:t>42%</w:t>
            </w:r>
          </w:p>
        </w:tc>
        <w:tc>
          <w:tcPr>
            <w:tcW w:w="0" w:type="auto"/>
            <w:tcBorders>
              <w:top w:val="single" w:color="000000" w:sz="4" w:space="0"/>
              <w:left w:val="nil"/>
              <w:bottom w:val="single" w:color="000000" w:sz="4" w:space="0"/>
              <w:right w:val="single" w:color="000000" w:sz="4" w:space="0"/>
            </w:tcBorders>
            <w:noWrap/>
            <w:vAlign w:val="center"/>
          </w:tcPr>
          <w:p w14:paraId="46C4F590">
            <w:pPr>
              <w:widowControl/>
              <w:ind w:firstLine="0" w:firstLineChars="0"/>
              <w:jc w:val="center"/>
              <w:textAlignment w:val="center"/>
              <w:rPr>
                <w:color w:val="000000"/>
                <w:sz w:val="22"/>
              </w:rPr>
            </w:pPr>
            <w:r>
              <w:rPr>
                <w:color w:val="000000"/>
                <w:kern w:val="0"/>
                <w:sz w:val="22"/>
              </w:rPr>
              <w:t>43%</w:t>
            </w:r>
          </w:p>
        </w:tc>
        <w:tc>
          <w:tcPr>
            <w:tcW w:w="0" w:type="auto"/>
            <w:tcBorders>
              <w:top w:val="single" w:color="000000" w:sz="4" w:space="0"/>
              <w:left w:val="nil"/>
              <w:bottom w:val="single" w:color="000000" w:sz="4" w:space="0"/>
              <w:right w:val="single" w:color="000000" w:sz="4" w:space="0"/>
            </w:tcBorders>
            <w:noWrap/>
            <w:vAlign w:val="center"/>
          </w:tcPr>
          <w:p w14:paraId="0D0D7899">
            <w:pPr>
              <w:widowControl/>
              <w:ind w:firstLine="0" w:firstLineChars="0"/>
              <w:jc w:val="center"/>
              <w:textAlignment w:val="center"/>
              <w:rPr>
                <w:color w:val="000000"/>
                <w:sz w:val="22"/>
              </w:rPr>
            </w:pPr>
            <w:r>
              <w:rPr>
                <w:color w:val="000000"/>
                <w:kern w:val="0"/>
                <w:sz w:val="22"/>
              </w:rPr>
              <w:t>42%</w:t>
            </w:r>
          </w:p>
        </w:tc>
        <w:tc>
          <w:tcPr>
            <w:tcW w:w="0" w:type="auto"/>
            <w:tcBorders>
              <w:top w:val="single" w:color="000000" w:sz="4" w:space="0"/>
              <w:left w:val="nil"/>
              <w:bottom w:val="single" w:color="000000" w:sz="4" w:space="0"/>
              <w:right w:val="single" w:color="000000" w:sz="4" w:space="0"/>
            </w:tcBorders>
            <w:noWrap/>
            <w:vAlign w:val="center"/>
          </w:tcPr>
          <w:p w14:paraId="58D82C8B">
            <w:pPr>
              <w:widowControl/>
              <w:ind w:firstLine="0" w:firstLineChars="0"/>
              <w:jc w:val="center"/>
              <w:textAlignment w:val="center"/>
              <w:rPr>
                <w:color w:val="000000"/>
                <w:sz w:val="22"/>
              </w:rPr>
            </w:pPr>
            <w:r>
              <w:rPr>
                <w:color w:val="000000"/>
                <w:kern w:val="0"/>
                <w:sz w:val="22"/>
              </w:rPr>
              <w:t>43%</w:t>
            </w:r>
          </w:p>
        </w:tc>
        <w:tc>
          <w:tcPr>
            <w:tcW w:w="0" w:type="auto"/>
            <w:tcBorders>
              <w:top w:val="single" w:color="000000" w:sz="4" w:space="0"/>
              <w:left w:val="nil"/>
              <w:bottom w:val="single" w:color="000000" w:sz="4" w:space="0"/>
              <w:right w:val="single" w:color="000000" w:sz="4" w:space="0"/>
            </w:tcBorders>
            <w:noWrap/>
            <w:vAlign w:val="center"/>
          </w:tcPr>
          <w:p w14:paraId="7831BBB7">
            <w:pPr>
              <w:widowControl/>
              <w:ind w:firstLine="0" w:firstLineChars="0"/>
              <w:jc w:val="center"/>
              <w:textAlignment w:val="center"/>
              <w:rPr>
                <w:color w:val="000000"/>
                <w:sz w:val="22"/>
              </w:rPr>
            </w:pPr>
            <w:r>
              <w:rPr>
                <w:color w:val="000000"/>
                <w:kern w:val="0"/>
                <w:sz w:val="22"/>
              </w:rPr>
              <w:t>44%</w:t>
            </w:r>
          </w:p>
        </w:tc>
        <w:tc>
          <w:tcPr>
            <w:tcW w:w="0" w:type="auto"/>
            <w:tcBorders>
              <w:top w:val="single" w:color="000000" w:sz="4" w:space="0"/>
              <w:left w:val="nil"/>
              <w:bottom w:val="single" w:color="000000" w:sz="4" w:space="0"/>
              <w:right w:val="single" w:color="000000" w:sz="4" w:space="0"/>
            </w:tcBorders>
            <w:noWrap/>
            <w:vAlign w:val="center"/>
          </w:tcPr>
          <w:p w14:paraId="26FB58EA">
            <w:pPr>
              <w:widowControl/>
              <w:ind w:firstLine="0" w:firstLineChars="0"/>
              <w:jc w:val="center"/>
              <w:textAlignment w:val="center"/>
              <w:rPr>
                <w:color w:val="000000"/>
                <w:sz w:val="22"/>
              </w:rPr>
            </w:pPr>
            <w:r>
              <w:rPr>
                <w:color w:val="000000"/>
                <w:kern w:val="0"/>
                <w:sz w:val="22"/>
              </w:rPr>
              <w:t>46%</w:t>
            </w:r>
          </w:p>
        </w:tc>
        <w:tc>
          <w:tcPr>
            <w:tcW w:w="0" w:type="auto"/>
            <w:tcBorders>
              <w:top w:val="single" w:color="000000" w:sz="4" w:space="0"/>
              <w:left w:val="nil"/>
              <w:bottom w:val="single" w:color="000000" w:sz="4" w:space="0"/>
              <w:right w:val="single" w:color="000000" w:sz="4" w:space="0"/>
            </w:tcBorders>
            <w:noWrap/>
            <w:vAlign w:val="center"/>
          </w:tcPr>
          <w:p w14:paraId="138EBF2F">
            <w:pPr>
              <w:widowControl/>
              <w:ind w:firstLine="0" w:firstLineChars="0"/>
              <w:jc w:val="center"/>
              <w:textAlignment w:val="center"/>
              <w:rPr>
                <w:color w:val="000000"/>
                <w:sz w:val="22"/>
              </w:rPr>
            </w:pPr>
            <w:r>
              <w:rPr>
                <w:color w:val="000000"/>
                <w:kern w:val="0"/>
                <w:sz w:val="22"/>
              </w:rPr>
              <w:t>49%</w:t>
            </w:r>
          </w:p>
        </w:tc>
        <w:tc>
          <w:tcPr>
            <w:tcW w:w="0" w:type="auto"/>
            <w:tcBorders>
              <w:top w:val="single" w:color="000000" w:sz="4" w:space="0"/>
              <w:left w:val="nil"/>
              <w:bottom w:val="single" w:color="000000" w:sz="4" w:space="0"/>
              <w:right w:val="single" w:color="000000" w:sz="4" w:space="0"/>
            </w:tcBorders>
            <w:noWrap/>
            <w:vAlign w:val="center"/>
          </w:tcPr>
          <w:p w14:paraId="66492E10">
            <w:pPr>
              <w:widowControl/>
              <w:ind w:firstLine="0" w:firstLineChars="0"/>
              <w:jc w:val="center"/>
              <w:textAlignment w:val="center"/>
              <w:rPr>
                <w:color w:val="000000"/>
                <w:sz w:val="22"/>
              </w:rPr>
            </w:pPr>
            <w:r>
              <w:rPr>
                <w:color w:val="000000"/>
                <w:kern w:val="0"/>
                <w:sz w:val="22"/>
              </w:rPr>
              <w:t>47%</w:t>
            </w:r>
          </w:p>
        </w:tc>
        <w:tc>
          <w:tcPr>
            <w:tcW w:w="0" w:type="auto"/>
            <w:tcBorders>
              <w:top w:val="single" w:color="000000" w:sz="4" w:space="0"/>
              <w:left w:val="nil"/>
              <w:bottom w:val="single" w:color="000000" w:sz="4" w:space="0"/>
              <w:right w:val="single" w:color="000000" w:sz="4" w:space="0"/>
            </w:tcBorders>
            <w:noWrap/>
            <w:vAlign w:val="center"/>
          </w:tcPr>
          <w:p w14:paraId="2078FA4D">
            <w:pPr>
              <w:widowControl/>
              <w:ind w:firstLine="0" w:firstLineChars="0"/>
              <w:jc w:val="center"/>
              <w:textAlignment w:val="center"/>
              <w:rPr>
                <w:color w:val="000000"/>
                <w:sz w:val="22"/>
              </w:rPr>
            </w:pPr>
            <w:r>
              <w:rPr>
                <w:color w:val="000000"/>
                <w:kern w:val="0"/>
                <w:sz w:val="22"/>
              </w:rPr>
              <w:t>50%</w:t>
            </w:r>
          </w:p>
        </w:tc>
      </w:tr>
      <w:tr w14:paraId="00CFA3C1">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D05D37">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部门清洁能源消费量占比</w:t>
            </w:r>
            <w:r>
              <w:rPr>
                <w:rFonts w:eastAsia="仿宋"/>
                <w:color w:val="000000"/>
                <w:kern w:val="0"/>
                <w:sz w:val="20"/>
                <w:szCs w:val="20"/>
              </w:rPr>
              <w:t xml:space="preserve">  X18-4 </w:t>
            </w:r>
          </w:p>
        </w:tc>
        <w:tc>
          <w:tcPr>
            <w:tcW w:w="0" w:type="auto"/>
            <w:tcBorders>
              <w:top w:val="single" w:color="000000" w:sz="4" w:space="0"/>
              <w:left w:val="nil"/>
              <w:bottom w:val="single" w:color="000000" w:sz="4" w:space="0"/>
              <w:right w:val="single" w:color="000000" w:sz="4" w:space="0"/>
            </w:tcBorders>
            <w:noWrap/>
            <w:vAlign w:val="center"/>
          </w:tcPr>
          <w:p w14:paraId="1194EC70">
            <w:pPr>
              <w:widowControl/>
              <w:ind w:firstLine="0" w:firstLineChars="0"/>
              <w:jc w:val="center"/>
              <w:textAlignment w:val="center"/>
              <w:rPr>
                <w:color w:val="000000"/>
                <w:sz w:val="22"/>
              </w:rPr>
            </w:pPr>
            <w:r>
              <w:rPr>
                <w:color w:val="000000"/>
                <w:kern w:val="0"/>
                <w:sz w:val="22"/>
              </w:rPr>
              <w:t>4%</w:t>
            </w:r>
          </w:p>
        </w:tc>
        <w:tc>
          <w:tcPr>
            <w:tcW w:w="0" w:type="auto"/>
            <w:tcBorders>
              <w:top w:val="single" w:color="000000" w:sz="4" w:space="0"/>
              <w:left w:val="nil"/>
              <w:bottom w:val="single" w:color="000000" w:sz="4" w:space="0"/>
              <w:right w:val="single" w:color="000000" w:sz="4" w:space="0"/>
            </w:tcBorders>
            <w:noWrap/>
            <w:vAlign w:val="center"/>
          </w:tcPr>
          <w:p w14:paraId="193F35EB">
            <w:pPr>
              <w:widowControl/>
              <w:ind w:firstLine="0" w:firstLineChars="0"/>
              <w:jc w:val="center"/>
              <w:textAlignment w:val="center"/>
              <w:rPr>
                <w:color w:val="000000"/>
                <w:sz w:val="22"/>
              </w:rPr>
            </w:pPr>
            <w:r>
              <w:rPr>
                <w:color w:val="000000"/>
                <w:kern w:val="0"/>
                <w:sz w:val="22"/>
              </w:rPr>
              <w:t>7%</w:t>
            </w:r>
          </w:p>
        </w:tc>
        <w:tc>
          <w:tcPr>
            <w:tcW w:w="0" w:type="auto"/>
            <w:tcBorders>
              <w:top w:val="single" w:color="000000" w:sz="4" w:space="0"/>
              <w:left w:val="nil"/>
              <w:bottom w:val="single" w:color="000000" w:sz="4" w:space="0"/>
              <w:right w:val="single" w:color="000000" w:sz="4" w:space="0"/>
            </w:tcBorders>
            <w:noWrap/>
            <w:vAlign w:val="center"/>
          </w:tcPr>
          <w:p w14:paraId="290438D0">
            <w:pPr>
              <w:widowControl/>
              <w:ind w:firstLine="0" w:firstLineChars="0"/>
              <w:jc w:val="center"/>
              <w:textAlignment w:val="center"/>
              <w:rPr>
                <w:color w:val="000000"/>
                <w:sz w:val="22"/>
              </w:rPr>
            </w:pPr>
            <w:r>
              <w:rPr>
                <w:color w:val="000000"/>
                <w:kern w:val="0"/>
                <w:sz w:val="22"/>
              </w:rPr>
              <w:t>7%</w:t>
            </w:r>
          </w:p>
        </w:tc>
        <w:tc>
          <w:tcPr>
            <w:tcW w:w="0" w:type="auto"/>
            <w:tcBorders>
              <w:top w:val="single" w:color="000000" w:sz="4" w:space="0"/>
              <w:left w:val="nil"/>
              <w:bottom w:val="single" w:color="000000" w:sz="4" w:space="0"/>
              <w:right w:val="single" w:color="000000" w:sz="4" w:space="0"/>
            </w:tcBorders>
            <w:noWrap/>
            <w:vAlign w:val="center"/>
          </w:tcPr>
          <w:p w14:paraId="22043F22">
            <w:pPr>
              <w:widowControl/>
              <w:ind w:firstLine="0" w:firstLineChars="0"/>
              <w:jc w:val="center"/>
              <w:textAlignment w:val="center"/>
              <w:rPr>
                <w:color w:val="000000"/>
                <w:sz w:val="22"/>
              </w:rPr>
            </w:pPr>
            <w:r>
              <w:rPr>
                <w:color w:val="000000"/>
                <w:kern w:val="0"/>
                <w:sz w:val="22"/>
              </w:rPr>
              <w:t>7%</w:t>
            </w:r>
          </w:p>
        </w:tc>
        <w:tc>
          <w:tcPr>
            <w:tcW w:w="0" w:type="auto"/>
            <w:tcBorders>
              <w:top w:val="single" w:color="000000" w:sz="4" w:space="0"/>
              <w:left w:val="nil"/>
              <w:bottom w:val="single" w:color="000000" w:sz="4" w:space="0"/>
              <w:right w:val="single" w:color="000000" w:sz="4" w:space="0"/>
            </w:tcBorders>
            <w:noWrap/>
            <w:vAlign w:val="center"/>
          </w:tcPr>
          <w:p w14:paraId="17F6BE57">
            <w:pPr>
              <w:widowControl/>
              <w:ind w:firstLine="0" w:firstLineChars="0"/>
              <w:jc w:val="center"/>
              <w:textAlignment w:val="center"/>
              <w:rPr>
                <w:color w:val="000000"/>
                <w:sz w:val="22"/>
              </w:rPr>
            </w:pPr>
            <w:r>
              <w:rPr>
                <w:color w:val="000000"/>
                <w:kern w:val="0"/>
                <w:sz w:val="22"/>
              </w:rPr>
              <w:t>9%</w:t>
            </w:r>
          </w:p>
        </w:tc>
        <w:tc>
          <w:tcPr>
            <w:tcW w:w="0" w:type="auto"/>
            <w:tcBorders>
              <w:top w:val="single" w:color="000000" w:sz="4" w:space="0"/>
              <w:left w:val="nil"/>
              <w:bottom w:val="single" w:color="000000" w:sz="4" w:space="0"/>
              <w:right w:val="single" w:color="000000" w:sz="4" w:space="0"/>
            </w:tcBorders>
            <w:noWrap/>
            <w:vAlign w:val="center"/>
          </w:tcPr>
          <w:p w14:paraId="6FF0D1EA">
            <w:pPr>
              <w:widowControl/>
              <w:ind w:firstLine="0" w:firstLineChars="0"/>
              <w:jc w:val="center"/>
              <w:textAlignment w:val="center"/>
              <w:rPr>
                <w:color w:val="000000"/>
                <w:sz w:val="22"/>
              </w:rPr>
            </w:pPr>
            <w:r>
              <w:rPr>
                <w:color w:val="000000"/>
                <w:kern w:val="0"/>
                <w:sz w:val="22"/>
              </w:rPr>
              <w:t>11%</w:t>
            </w:r>
          </w:p>
        </w:tc>
        <w:tc>
          <w:tcPr>
            <w:tcW w:w="0" w:type="auto"/>
            <w:tcBorders>
              <w:top w:val="single" w:color="000000" w:sz="4" w:space="0"/>
              <w:left w:val="nil"/>
              <w:bottom w:val="single" w:color="000000" w:sz="4" w:space="0"/>
              <w:right w:val="single" w:color="000000" w:sz="4" w:space="0"/>
            </w:tcBorders>
            <w:noWrap/>
            <w:vAlign w:val="center"/>
          </w:tcPr>
          <w:p w14:paraId="04B1F4B3">
            <w:pPr>
              <w:widowControl/>
              <w:ind w:firstLine="0" w:firstLineChars="0"/>
              <w:jc w:val="center"/>
              <w:textAlignment w:val="center"/>
              <w:rPr>
                <w:color w:val="000000"/>
                <w:sz w:val="22"/>
              </w:rPr>
            </w:pPr>
            <w:r>
              <w:rPr>
                <w:color w:val="000000"/>
                <w:kern w:val="0"/>
                <w:sz w:val="22"/>
              </w:rPr>
              <w:t>12%</w:t>
            </w:r>
          </w:p>
        </w:tc>
        <w:tc>
          <w:tcPr>
            <w:tcW w:w="0" w:type="auto"/>
            <w:tcBorders>
              <w:top w:val="single" w:color="000000" w:sz="4" w:space="0"/>
              <w:left w:val="nil"/>
              <w:bottom w:val="single" w:color="000000" w:sz="4" w:space="0"/>
              <w:right w:val="single" w:color="000000" w:sz="4" w:space="0"/>
            </w:tcBorders>
            <w:noWrap/>
            <w:vAlign w:val="center"/>
          </w:tcPr>
          <w:p w14:paraId="3A051FB7">
            <w:pPr>
              <w:widowControl/>
              <w:ind w:firstLine="0" w:firstLineChars="0"/>
              <w:jc w:val="center"/>
              <w:textAlignment w:val="center"/>
              <w:rPr>
                <w:color w:val="000000"/>
                <w:sz w:val="22"/>
              </w:rPr>
            </w:pPr>
            <w:r>
              <w:rPr>
                <w:color w:val="000000"/>
                <w:kern w:val="0"/>
                <w:sz w:val="22"/>
              </w:rPr>
              <w:t>12%</w:t>
            </w:r>
          </w:p>
        </w:tc>
        <w:tc>
          <w:tcPr>
            <w:tcW w:w="0" w:type="auto"/>
            <w:tcBorders>
              <w:top w:val="single" w:color="000000" w:sz="4" w:space="0"/>
              <w:left w:val="nil"/>
              <w:bottom w:val="single" w:color="000000" w:sz="4" w:space="0"/>
              <w:right w:val="single" w:color="000000" w:sz="4" w:space="0"/>
            </w:tcBorders>
            <w:noWrap/>
            <w:vAlign w:val="center"/>
          </w:tcPr>
          <w:p w14:paraId="719E7B28">
            <w:pPr>
              <w:widowControl/>
              <w:ind w:firstLine="0" w:firstLineChars="0"/>
              <w:jc w:val="center"/>
              <w:textAlignment w:val="center"/>
              <w:rPr>
                <w:color w:val="000000"/>
                <w:sz w:val="22"/>
              </w:rPr>
            </w:pPr>
            <w:r>
              <w:rPr>
                <w:color w:val="000000"/>
                <w:kern w:val="0"/>
                <w:sz w:val="22"/>
              </w:rPr>
              <w:t>13%</w:t>
            </w:r>
          </w:p>
        </w:tc>
        <w:tc>
          <w:tcPr>
            <w:tcW w:w="0" w:type="auto"/>
            <w:tcBorders>
              <w:top w:val="single" w:color="000000" w:sz="4" w:space="0"/>
              <w:left w:val="nil"/>
              <w:bottom w:val="single" w:color="000000" w:sz="4" w:space="0"/>
              <w:right w:val="single" w:color="000000" w:sz="4" w:space="0"/>
            </w:tcBorders>
            <w:noWrap/>
            <w:vAlign w:val="center"/>
          </w:tcPr>
          <w:p w14:paraId="67E798E7">
            <w:pPr>
              <w:widowControl/>
              <w:ind w:firstLine="0" w:firstLineChars="0"/>
              <w:jc w:val="center"/>
              <w:textAlignment w:val="center"/>
              <w:rPr>
                <w:color w:val="000000"/>
                <w:sz w:val="22"/>
              </w:rPr>
            </w:pPr>
            <w:r>
              <w:rPr>
                <w:color w:val="000000"/>
                <w:kern w:val="0"/>
                <w:sz w:val="22"/>
              </w:rPr>
              <w:t>15%</w:t>
            </w:r>
          </w:p>
        </w:tc>
        <w:tc>
          <w:tcPr>
            <w:tcW w:w="0" w:type="auto"/>
            <w:tcBorders>
              <w:top w:val="single" w:color="000000" w:sz="4" w:space="0"/>
              <w:left w:val="nil"/>
              <w:bottom w:val="single" w:color="000000" w:sz="4" w:space="0"/>
              <w:right w:val="single" w:color="000000" w:sz="4" w:space="0"/>
            </w:tcBorders>
            <w:noWrap/>
            <w:vAlign w:val="center"/>
          </w:tcPr>
          <w:p w14:paraId="3AE1BAFF">
            <w:pPr>
              <w:widowControl/>
              <w:ind w:firstLine="0" w:firstLineChars="0"/>
              <w:jc w:val="center"/>
              <w:textAlignment w:val="center"/>
              <w:rPr>
                <w:color w:val="000000"/>
                <w:sz w:val="22"/>
              </w:rPr>
            </w:pPr>
            <w:r>
              <w:rPr>
                <w:color w:val="000000"/>
                <w:kern w:val="0"/>
                <w:sz w:val="22"/>
              </w:rPr>
              <w:t>13%</w:t>
            </w:r>
          </w:p>
        </w:tc>
      </w:tr>
      <w:tr w14:paraId="40131A1A">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8C9D1CB">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部门清洁能源消费量占比</w:t>
            </w:r>
            <w:r>
              <w:rPr>
                <w:rFonts w:eastAsia="仿宋"/>
                <w:color w:val="000000"/>
                <w:kern w:val="0"/>
                <w:sz w:val="20"/>
                <w:szCs w:val="20"/>
              </w:rPr>
              <w:t xml:space="preserve">  X18-5 </w:t>
            </w:r>
          </w:p>
        </w:tc>
        <w:tc>
          <w:tcPr>
            <w:tcW w:w="0" w:type="auto"/>
            <w:tcBorders>
              <w:top w:val="single" w:color="000000" w:sz="4" w:space="0"/>
              <w:left w:val="nil"/>
              <w:bottom w:val="single" w:color="000000" w:sz="4" w:space="0"/>
              <w:right w:val="single" w:color="000000" w:sz="4" w:space="0"/>
            </w:tcBorders>
            <w:noWrap/>
            <w:vAlign w:val="center"/>
          </w:tcPr>
          <w:p w14:paraId="318238CE">
            <w:pPr>
              <w:widowControl/>
              <w:ind w:firstLine="0" w:firstLineChars="0"/>
              <w:jc w:val="center"/>
              <w:textAlignment w:val="center"/>
              <w:rPr>
                <w:color w:val="000000"/>
                <w:sz w:val="22"/>
              </w:rPr>
            </w:pPr>
            <w:r>
              <w:rPr>
                <w:color w:val="000000"/>
                <w:kern w:val="0"/>
                <w:sz w:val="22"/>
              </w:rPr>
              <w:t>81%</w:t>
            </w:r>
          </w:p>
        </w:tc>
        <w:tc>
          <w:tcPr>
            <w:tcW w:w="0" w:type="auto"/>
            <w:tcBorders>
              <w:top w:val="single" w:color="000000" w:sz="4" w:space="0"/>
              <w:left w:val="nil"/>
              <w:bottom w:val="single" w:color="000000" w:sz="4" w:space="0"/>
              <w:right w:val="single" w:color="000000" w:sz="4" w:space="0"/>
            </w:tcBorders>
            <w:noWrap/>
            <w:vAlign w:val="center"/>
          </w:tcPr>
          <w:p w14:paraId="6BCA16E4">
            <w:pPr>
              <w:widowControl/>
              <w:ind w:firstLine="0" w:firstLineChars="0"/>
              <w:jc w:val="center"/>
              <w:textAlignment w:val="center"/>
              <w:rPr>
                <w:color w:val="000000"/>
                <w:sz w:val="22"/>
              </w:rPr>
            </w:pPr>
            <w:r>
              <w:rPr>
                <w:color w:val="000000"/>
                <w:kern w:val="0"/>
                <w:sz w:val="22"/>
              </w:rPr>
              <w:t>79%</w:t>
            </w:r>
          </w:p>
        </w:tc>
        <w:tc>
          <w:tcPr>
            <w:tcW w:w="0" w:type="auto"/>
            <w:tcBorders>
              <w:top w:val="single" w:color="000000" w:sz="4" w:space="0"/>
              <w:left w:val="nil"/>
              <w:bottom w:val="single" w:color="000000" w:sz="4" w:space="0"/>
              <w:right w:val="single" w:color="000000" w:sz="4" w:space="0"/>
            </w:tcBorders>
            <w:noWrap/>
            <w:vAlign w:val="center"/>
          </w:tcPr>
          <w:p w14:paraId="42DD23C9">
            <w:pPr>
              <w:widowControl/>
              <w:ind w:firstLine="0" w:firstLineChars="0"/>
              <w:jc w:val="center"/>
              <w:textAlignment w:val="center"/>
              <w:rPr>
                <w:color w:val="000000"/>
                <w:sz w:val="22"/>
              </w:rPr>
            </w:pPr>
            <w:r>
              <w:rPr>
                <w:color w:val="000000"/>
                <w:kern w:val="0"/>
                <w:sz w:val="22"/>
              </w:rPr>
              <w:t>79%</w:t>
            </w:r>
          </w:p>
        </w:tc>
        <w:tc>
          <w:tcPr>
            <w:tcW w:w="0" w:type="auto"/>
            <w:tcBorders>
              <w:top w:val="single" w:color="000000" w:sz="4" w:space="0"/>
              <w:left w:val="nil"/>
              <w:bottom w:val="single" w:color="000000" w:sz="4" w:space="0"/>
              <w:right w:val="single" w:color="000000" w:sz="4" w:space="0"/>
            </w:tcBorders>
            <w:noWrap/>
            <w:vAlign w:val="center"/>
          </w:tcPr>
          <w:p w14:paraId="38B2B2B5">
            <w:pPr>
              <w:widowControl/>
              <w:ind w:firstLine="0" w:firstLineChars="0"/>
              <w:jc w:val="center"/>
              <w:textAlignment w:val="center"/>
              <w:rPr>
                <w:color w:val="000000"/>
                <w:sz w:val="22"/>
              </w:rPr>
            </w:pPr>
            <w:r>
              <w:rPr>
                <w:color w:val="000000"/>
                <w:kern w:val="0"/>
                <w:sz w:val="22"/>
              </w:rPr>
              <w:t>83%</w:t>
            </w:r>
          </w:p>
        </w:tc>
        <w:tc>
          <w:tcPr>
            <w:tcW w:w="0" w:type="auto"/>
            <w:tcBorders>
              <w:top w:val="single" w:color="000000" w:sz="4" w:space="0"/>
              <w:left w:val="nil"/>
              <w:bottom w:val="single" w:color="000000" w:sz="4" w:space="0"/>
              <w:right w:val="single" w:color="000000" w:sz="4" w:space="0"/>
            </w:tcBorders>
            <w:noWrap/>
            <w:vAlign w:val="center"/>
          </w:tcPr>
          <w:p w14:paraId="3A7E97AE">
            <w:pPr>
              <w:widowControl/>
              <w:ind w:firstLine="0" w:firstLineChars="0"/>
              <w:jc w:val="center"/>
              <w:textAlignment w:val="center"/>
              <w:rPr>
                <w:color w:val="000000"/>
                <w:sz w:val="22"/>
              </w:rPr>
            </w:pPr>
            <w:r>
              <w:rPr>
                <w:color w:val="000000"/>
                <w:kern w:val="0"/>
                <w:sz w:val="22"/>
              </w:rPr>
              <w:t>86%</w:t>
            </w:r>
          </w:p>
        </w:tc>
        <w:tc>
          <w:tcPr>
            <w:tcW w:w="0" w:type="auto"/>
            <w:tcBorders>
              <w:top w:val="single" w:color="000000" w:sz="4" w:space="0"/>
              <w:left w:val="nil"/>
              <w:bottom w:val="single" w:color="000000" w:sz="4" w:space="0"/>
              <w:right w:val="single" w:color="000000" w:sz="4" w:space="0"/>
            </w:tcBorders>
            <w:noWrap/>
            <w:vAlign w:val="center"/>
          </w:tcPr>
          <w:p w14:paraId="258DC475">
            <w:pPr>
              <w:widowControl/>
              <w:ind w:firstLine="0" w:firstLineChars="0"/>
              <w:jc w:val="center"/>
              <w:textAlignment w:val="center"/>
              <w:rPr>
                <w:color w:val="000000"/>
                <w:sz w:val="22"/>
              </w:rPr>
            </w:pPr>
            <w:r>
              <w:rPr>
                <w:color w:val="000000"/>
                <w:kern w:val="0"/>
                <w:sz w:val="22"/>
              </w:rPr>
              <w:t>89%</w:t>
            </w:r>
          </w:p>
        </w:tc>
        <w:tc>
          <w:tcPr>
            <w:tcW w:w="0" w:type="auto"/>
            <w:tcBorders>
              <w:top w:val="single" w:color="000000" w:sz="4" w:space="0"/>
              <w:left w:val="nil"/>
              <w:bottom w:val="single" w:color="000000" w:sz="4" w:space="0"/>
              <w:right w:val="single" w:color="000000" w:sz="4" w:space="0"/>
            </w:tcBorders>
            <w:noWrap/>
            <w:vAlign w:val="center"/>
          </w:tcPr>
          <w:p w14:paraId="4AB6729A">
            <w:pPr>
              <w:widowControl/>
              <w:ind w:firstLine="0" w:firstLineChars="0"/>
              <w:jc w:val="center"/>
              <w:textAlignment w:val="center"/>
              <w:rPr>
                <w:color w:val="000000"/>
                <w:sz w:val="22"/>
              </w:rPr>
            </w:pPr>
            <w:r>
              <w:rPr>
                <w:color w:val="000000"/>
                <w:kern w:val="0"/>
                <w:sz w:val="22"/>
              </w:rPr>
              <w:t>93%</w:t>
            </w:r>
          </w:p>
        </w:tc>
        <w:tc>
          <w:tcPr>
            <w:tcW w:w="0" w:type="auto"/>
            <w:tcBorders>
              <w:top w:val="single" w:color="000000" w:sz="4" w:space="0"/>
              <w:left w:val="nil"/>
              <w:bottom w:val="single" w:color="000000" w:sz="4" w:space="0"/>
              <w:right w:val="single" w:color="000000" w:sz="4" w:space="0"/>
            </w:tcBorders>
            <w:noWrap/>
            <w:vAlign w:val="center"/>
          </w:tcPr>
          <w:p w14:paraId="54575D54">
            <w:pPr>
              <w:widowControl/>
              <w:ind w:firstLine="0" w:firstLineChars="0"/>
              <w:jc w:val="center"/>
              <w:textAlignment w:val="center"/>
              <w:rPr>
                <w:color w:val="000000"/>
                <w:sz w:val="22"/>
              </w:rPr>
            </w:pPr>
            <w:r>
              <w:rPr>
                <w:color w:val="000000"/>
                <w:kern w:val="0"/>
                <w:sz w:val="22"/>
              </w:rPr>
              <w:t>95%</w:t>
            </w:r>
          </w:p>
        </w:tc>
        <w:tc>
          <w:tcPr>
            <w:tcW w:w="0" w:type="auto"/>
            <w:tcBorders>
              <w:top w:val="single" w:color="000000" w:sz="4" w:space="0"/>
              <w:left w:val="nil"/>
              <w:bottom w:val="single" w:color="000000" w:sz="4" w:space="0"/>
              <w:right w:val="single" w:color="000000" w:sz="4" w:space="0"/>
            </w:tcBorders>
            <w:noWrap/>
            <w:vAlign w:val="center"/>
          </w:tcPr>
          <w:p w14:paraId="36A4421F">
            <w:pPr>
              <w:widowControl/>
              <w:ind w:firstLine="0" w:firstLineChars="0"/>
              <w:jc w:val="center"/>
              <w:textAlignment w:val="center"/>
              <w:rPr>
                <w:color w:val="000000"/>
                <w:sz w:val="22"/>
              </w:rPr>
            </w:pPr>
            <w:r>
              <w:rPr>
                <w:color w:val="000000"/>
                <w:kern w:val="0"/>
                <w:sz w:val="22"/>
              </w:rPr>
              <w:t>96%</w:t>
            </w:r>
          </w:p>
        </w:tc>
        <w:tc>
          <w:tcPr>
            <w:tcW w:w="0" w:type="auto"/>
            <w:tcBorders>
              <w:top w:val="single" w:color="000000" w:sz="4" w:space="0"/>
              <w:left w:val="nil"/>
              <w:bottom w:val="single" w:color="000000" w:sz="4" w:space="0"/>
              <w:right w:val="single" w:color="000000" w:sz="4" w:space="0"/>
            </w:tcBorders>
            <w:noWrap/>
            <w:vAlign w:val="center"/>
          </w:tcPr>
          <w:p w14:paraId="56897A99">
            <w:pPr>
              <w:widowControl/>
              <w:ind w:firstLine="0" w:firstLineChars="0"/>
              <w:jc w:val="center"/>
              <w:textAlignment w:val="center"/>
              <w:rPr>
                <w:color w:val="000000"/>
                <w:sz w:val="22"/>
              </w:rPr>
            </w:pPr>
            <w:r>
              <w:rPr>
                <w:color w:val="000000"/>
                <w:kern w:val="0"/>
                <w:sz w:val="22"/>
              </w:rPr>
              <w:t>96%</w:t>
            </w:r>
          </w:p>
        </w:tc>
        <w:tc>
          <w:tcPr>
            <w:tcW w:w="0" w:type="auto"/>
            <w:tcBorders>
              <w:top w:val="single" w:color="000000" w:sz="4" w:space="0"/>
              <w:left w:val="nil"/>
              <w:bottom w:val="single" w:color="000000" w:sz="4" w:space="0"/>
              <w:right w:val="single" w:color="000000" w:sz="4" w:space="0"/>
            </w:tcBorders>
            <w:noWrap/>
            <w:vAlign w:val="center"/>
          </w:tcPr>
          <w:p w14:paraId="73312987">
            <w:pPr>
              <w:widowControl/>
              <w:ind w:firstLine="0" w:firstLineChars="0"/>
              <w:jc w:val="center"/>
              <w:textAlignment w:val="center"/>
              <w:rPr>
                <w:color w:val="000000"/>
                <w:sz w:val="22"/>
              </w:rPr>
            </w:pPr>
            <w:r>
              <w:rPr>
                <w:color w:val="000000"/>
                <w:kern w:val="0"/>
                <w:sz w:val="22"/>
              </w:rPr>
              <w:t>99%</w:t>
            </w:r>
          </w:p>
        </w:tc>
      </w:tr>
      <w:tr w14:paraId="0A1B73EB">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DD2D3D">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部门清洁能源消费量占比</w:t>
            </w:r>
            <w:r>
              <w:rPr>
                <w:rFonts w:eastAsia="仿宋"/>
                <w:color w:val="000000"/>
                <w:kern w:val="0"/>
                <w:sz w:val="20"/>
                <w:szCs w:val="20"/>
              </w:rPr>
              <w:t xml:space="preserve">  X18-6 </w:t>
            </w:r>
          </w:p>
        </w:tc>
        <w:tc>
          <w:tcPr>
            <w:tcW w:w="0" w:type="auto"/>
            <w:tcBorders>
              <w:top w:val="single" w:color="000000" w:sz="4" w:space="0"/>
              <w:left w:val="nil"/>
              <w:bottom w:val="single" w:color="000000" w:sz="4" w:space="0"/>
              <w:right w:val="single" w:color="000000" w:sz="4" w:space="0"/>
            </w:tcBorders>
            <w:noWrap/>
            <w:vAlign w:val="center"/>
          </w:tcPr>
          <w:p w14:paraId="3B1D562D">
            <w:pPr>
              <w:widowControl/>
              <w:ind w:firstLine="0" w:firstLineChars="0"/>
              <w:jc w:val="center"/>
              <w:textAlignment w:val="center"/>
              <w:rPr>
                <w:color w:val="000000"/>
                <w:sz w:val="22"/>
              </w:rPr>
            </w:pPr>
            <w:r>
              <w:rPr>
                <w:color w:val="000000"/>
                <w:kern w:val="0"/>
                <w:sz w:val="22"/>
              </w:rPr>
              <w:t>53.2%</w:t>
            </w:r>
          </w:p>
        </w:tc>
        <w:tc>
          <w:tcPr>
            <w:tcW w:w="0" w:type="auto"/>
            <w:tcBorders>
              <w:top w:val="single" w:color="000000" w:sz="4" w:space="0"/>
              <w:left w:val="nil"/>
              <w:bottom w:val="single" w:color="000000" w:sz="4" w:space="0"/>
              <w:right w:val="single" w:color="000000" w:sz="4" w:space="0"/>
            </w:tcBorders>
            <w:noWrap/>
            <w:vAlign w:val="center"/>
          </w:tcPr>
          <w:p w14:paraId="6F7FCE18">
            <w:pPr>
              <w:widowControl/>
              <w:ind w:firstLine="0" w:firstLineChars="0"/>
              <w:jc w:val="center"/>
              <w:textAlignment w:val="center"/>
              <w:rPr>
                <w:color w:val="000000"/>
                <w:sz w:val="22"/>
              </w:rPr>
            </w:pPr>
            <w:r>
              <w:rPr>
                <w:color w:val="000000"/>
                <w:kern w:val="0"/>
                <w:sz w:val="22"/>
              </w:rPr>
              <w:t>53.3%</w:t>
            </w:r>
          </w:p>
        </w:tc>
        <w:tc>
          <w:tcPr>
            <w:tcW w:w="0" w:type="auto"/>
            <w:tcBorders>
              <w:top w:val="single" w:color="000000" w:sz="4" w:space="0"/>
              <w:left w:val="nil"/>
              <w:bottom w:val="single" w:color="000000" w:sz="4" w:space="0"/>
              <w:right w:val="single" w:color="000000" w:sz="4" w:space="0"/>
            </w:tcBorders>
            <w:noWrap/>
            <w:vAlign w:val="center"/>
          </w:tcPr>
          <w:p w14:paraId="15124F14">
            <w:pPr>
              <w:widowControl/>
              <w:ind w:firstLine="0" w:firstLineChars="0"/>
              <w:jc w:val="center"/>
              <w:textAlignment w:val="center"/>
              <w:rPr>
                <w:color w:val="000000"/>
                <w:sz w:val="22"/>
              </w:rPr>
            </w:pPr>
            <w:r>
              <w:rPr>
                <w:color w:val="000000"/>
                <w:kern w:val="0"/>
                <w:sz w:val="22"/>
              </w:rPr>
              <w:t>52.8%</w:t>
            </w:r>
          </w:p>
        </w:tc>
        <w:tc>
          <w:tcPr>
            <w:tcW w:w="0" w:type="auto"/>
            <w:tcBorders>
              <w:top w:val="single" w:color="000000" w:sz="4" w:space="0"/>
              <w:left w:val="nil"/>
              <w:bottom w:val="single" w:color="000000" w:sz="4" w:space="0"/>
              <w:right w:val="single" w:color="000000" w:sz="4" w:space="0"/>
            </w:tcBorders>
            <w:noWrap/>
            <w:vAlign w:val="center"/>
          </w:tcPr>
          <w:p w14:paraId="7A707C84">
            <w:pPr>
              <w:widowControl/>
              <w:ind w:firstLine="0" w:firstLineChars="0"/>
              <w:jc w:val="center"/>
              <w:textAlignment w:val="center"/>
              <w:rPr>
                <w:color w:val="000000"/>
                <w:sz w:val="22"/>
              </w:rPr>
            </w:pPr>
            <w:r>
              <w:rPr>
                <w:color w:val="000000"/>
                <w:kern w:val="0"/>
                <w:sz w:val="22"/>
              </w:rPr>
              <w:t>60.2%</w:t>
            </w:r>
          </w:p>
        </w:tc>
        <w:tc>
          <w:tcPr>
            <w:tcW w:w="0" w:type="auto"/>
            <w:tcBorders>
              <w:top w:val="single" w:color="000000" w:sz="4" w:space="0"/>
              <w:left w:val="nil"/>
              <w:bottom w:val="single" w:color="000000" w:sz="4" w:space="0"/>
              <w:right w:val="single" w:color="000000" w:sz="4" w:space="0"/>
            </w:tcBorders>
            <w:noWrap/>
            <w:vAlign w:val="center"/>
          </w:tcPr>
          <w:p w14:paraId="4865D461">
            <w:pPr>
              <w:widowControl/>
              <w:ind w:firstLine="0" w:firstLineChars="0"/>
              <w:jc w:val="center"/>
              <w:textAlignment w:val="center"/>
              <w:rPr>
                <w:color w:val="000000"/>
                <w:sz w:val="22"/>
              </w:rPr>
            </w:pPr>
            <w:r>
              <w:rPr>
                <w:color w:val="000000"/>
                <w:kern w:val="0"/>
                <w:sz w:val="22"/>
              </w:rPr>
              <w:t>56.8%</w:t>
            </w:r>
          </w:p>
        </w:tc>
        <w:tc>
          <w:tcPr>
            <w:tcW w:w="0" w:type="auto"/>
            <w:tcBorders>
              <w:top w:val="single" w:color="000000" w:sz="4" w:space="0"/>
              <w:left w:val="nil"/>
              <w:bottom w:val="single" w:color="000000" w:sz="4" w:space="0"/>
              <w:right w:val="single" w:color="000000" w:sz="4" w:space="0"/>
            </w:tcBorders>
            <w:noWrap/>
            <w:vAlign w:val="center"/>
          </w:tcPr>
          <w:p w14:paraId="059173F8">
            <w:pPr>
              <w:widowControl/>
              <w:ind w:firstLine="0" w:firstLineChars="0"/>
              <w:jc w:val="center"/>
              <w:textAlignment w:val="center"/>
              <w:rPr>
                <w:color w:val="000000"/>
                <w:sz w:val="22"/>
              </w:rPr>
            </w:pPr>
            <w:r>
              <w:rPr>
                <w:color w:val="000000"/>
                <w:kern w:val="0"/>
                <w:sz w:val="22"/>
              </w:rPr>
              <w:t>57.8%</w:t>
            </w:r>
          </w:p>
        </w:tc>
        <w:tc>
          <w:tcPr>
            <w:tcW w:w="0" w:type="auto"/>
            <w:tcBorders>
              <w:top w:val="single" w:color="000000" w:sz="4" w:space="0"/>
              <w:left w:val="nil"/>
              <w:bottom w:val="single" w:color="000000" w:sz="4" w:space="0"/>
              <w:right w:val="single" w:color="000000" w:sz="4" w:space="0"/>
            </w:tcBorders>
            <w:noWrap/>
            <w:vAlign w:val="center"/>
          </w:tcPr>
          <w:p w14:paraId="381AA5B2">
            <w:pPr>
              <w:widowControl/>
              <w:ind w:firstLine="0" w:firstLineChars="0"/>
              <w:jc w:val="center"/>
              <w:textAlignment w:val="center"/>
              <w:rPr>
                <w:color w:val="000000"/>
                <w:sz w:val="22"/>
              </w:rPr>
            </w:pPr>
            <w:r>
              <w:rPr>
                <w:color w:val="000000"/>
                <w:kern w:val="0"/>
                <w:sz w:val="22"/>
              </w:rPr>
              <w:t>61.4%</w:t>
            </w:r>
          </w:p>
        </w:tc>
        <w:tc>
          <w:tcPr>
            <w:tcW w:w="0" w:type="auto"/>
            <w:tcBorders>
              <w:top w:val="single" w:color="000000" w:sz="4" w:space="0"/>
              <w:left w:val="nil"/>
              <w:bottom w:val="single" w:color="000000" w:sz="4" w:space="0"/>
              <w:right w:val="single" w:color="000000" w:sz="4" w:space="0"/>
            </w:tcBorders>
            <w:noWrap/>
            <w:vAlign w:val="center"/>
          </w:tcPr>
          <w:p w14:paraId="715364C5">
            <w:pPr>
              <w:widowControl/>
              <w:ind w:firstLine="0" w:firstLineChars="0"/>
              <w:jc w:val="center"/>
              <w:textAlignment w:val="center"/>
              <w:rPr>
                <w:color w:val="000000"/>
                <w:sz w:val="22"/>
              </w:rPr>
            </w:pPr>
            <w:r>
              <w:rPr>
                <w:color w:val="000000"/>
                <w:kern w:val="0"/>
                <w:sz w:val="22"/>
              </w:rPr>
              <w:t>61.6%</w:t>
            </w:r>
          </w:p>
        </w:tc>
        <w:tc>
          <w:tcPr>
            <w:tcW w:w="0" w:type="auto"/>
            <w:tcBorders>
              <w:top w:val="single" w:color="000000" w:sz="4" w:space="0"/>
              <w:left w:val="nil"/>
              <w:bottom w:val="single" w:color="000000" w:sz="4" w:space="0"/>
              <w:right w:val="single" w:color="000000" w:sz="4" w:space="0"/>
            </w:tcBorders>
            <w:noWrap/>
            <w:vAlign w:val="center"/>
          </w:tcPr>
          <w:p w14:paraId="274DC1DE">
            <w:pPr>
              <w:widowControl/>
              <w:ind w:firstLine="0" w:firstLineChars="0"/>
              <w:jc w:val="center"/>
              <w:textAlignment w:val="center"/>
              <w:rPr>
                <w:color w:val="000000"/>
                <w:sz w:val="22"/>
              </w:rPr>
            </w:pPr>
            <w:r>
              <w:rPr>
                <w:color w:val="000000"/>
                <w:kern w:val="0"/>
                <w:sz w:val="22"/>
              </w:rPr>
              <w:t>63.5%</w:t>
            </w:r>
          </w:p>
        </w:tc>
        <w:tc>
          <w:tcPr>
            <w:tcW w:w="0" w:type="auto"/>
            <w:tcBorders>
              <w:top w:val="single" w:color="000000" w:sz="4" w:space="0"/>
              <w:left w:val="nil"/>
              <w:bottom w:val="single" w:color="000000" w:sz="4" w:space="0"/>
              <w:right w:val="single" w:color="000000" w:sz="4" w:space="0"/>
            </w:tcBorders>
            <w:noWrap/>
            <w:vAlign w:val="center"/>
          </w:tcPr>
          <w:p w14:paraId="6D13357E">
            <w:pPr>
              <w:widowControl/>
              <w:ind w:firstLine="0" w:firstLineChars="0"/>
              <w:jc w:val="center"/>
              <w:textAlignment w:val="center"/>
              <w:rPr>
                <w:color w:val="000000"/>
                <w:sz w:val="22"/>
              </w:rPr>
            </w:pPr>
            <w:r>
              <w:rPr>
                <w:color w:val="000000"/>
                <w:kern w:val="0"/>
                <w:sz w:val="22"/>
              </w:rPr>
              <w:t>65.4%</w:t>
            </w:r>
          </w:p>
        </w:tc>
        <w:tc>
          <w:tcPr>
            <w:tcW w:w="0" w:type="auto"/>
            <w:tcBorders>
              <w:top w:val="single" w:color="000000" w:sz="4" w:space="0"/>
              <w:left w:val="nil"/>
              <w:bottom w:val="single" w:color="000000" w:sz="4" w:space="0"/>
              <w:right w:val="single" w:color="000000" w:sz="4" w:space="0"/>
            </w:tcBorders>
            <w:noWrap/>
            <w:vAlign w:val="center"/>
          </w:tcPr>
          <w:p w14:paraId="14F8066E">
            <w:pPr>
              <w:widowControl/>
              <w:ind w:firstLine="0" w:firstLineChars="0"/>
              <w:jc w:val="center"/>
              <w:textAlignment w:val="center"/>
              <w:rPr>
                <w:color w:val="000000"/>
                <w:sz w:val="22"/>
              </w:rPr>
            </w:pPr>
            <w:r>
              <w:rPr>
                <w:color w:val="000000"/>
                <w:kern w:val="0"/>
                <w:sz w:val="22"/>
              </w:rPr>
              <w:t>66.3%</w:t>
            </w:r>
          </w:p>
        </w:tc>
      </w:tr>
      <w:tr w14:paraId="2FC94F6E">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bottom"/>
          </w:tcPr>
          <w:p w14:paraId="5A3ABC8F">
            <w:pPr>
              <w:widowControl/>
              <w:ind w:firstLine="0" w:firstLineChars="0"/>
              <w:jc w:val="center"/>
              <w:textAlignment w:val="bottom"/>
              <w:rPr>
                <w:rFonts w:eastAsia="仿宋"/>
                <w:color w:val="000000"/>
                <w:sz w:val="22"/>
              </w:rPr>
            </w:pPr>
            <w:r>
              <w:rPr>
                <w:rFonts w:ascii="仿宋" w:hAnsi="仿宋" w:eastAsia="仿宋"/>
                <w:color w:val="000000"/>
                <w:kern w:val="0"/>
                <w:sz w:val="22"/>
              </w:rPr>
              <w:t>均值</w:t>
            </w:r>
          </w:p>
        </w:tc>
        <w:tc>
          <w:tcPr>
            <w:tcW w:w="0" w:type="auto"/>
            <w:tcBorders>
              <w:top w:val="single" w:color="000000" w:sz="4" w:space="0"/>
              <w:left w:val="nil"/>
              <w:bottom w:val="single" w:color="000000" w:sz="4" w:space="0"/>
              <w:right w:val="single" w:color="000000" w:sz="4" w:space="0"/>
            </w:tcBorders>
            <w:noWrap/>
            <w:vAlign w:val="bottom"/>
          </w:tcPr>
          <w:p w14:paraId="1A60B103">
            <w:pPr>
              <w:widowControl/>
              <w:ind w:firstLine="0" w:firstLineChars="0"/>
              <w:jc w:val="center"/>
              <w:textAlignment w:val="bottom"/>
              <w:rPr>
                <w:rFonts w:eastAsia="仿宋"/>
                <w:color w:val="000000"/>
                <w:sz w:val="22"/>
              </w:rPr>
            </w:pPr>
            <w:r>
              <w:rPr>
                <w:rFonts w:eastAsia="仿宋"/>
                <w:color w:val="000000"/>
                <w:kern w:val="0"/>
                <w:sz w:val="22"/>
              </w:rPr>
              <w:t xml:space="preserve">0.32 </w:t>
            </w:r>
          </w:p>
        </w:tc>
        <w:tc>
          <w:tcPr>
            <w:tcW w:w="0" w:type="auto"/>
            <w:tcBorders>
              <w:top w:val="single" w:color="000000" w:sz="4" w:space="0"/>
              <w:left w:val="nil"/>
              <w:bottom w:val="single" w:color="000000" w:sz="4" w:space="0"/>
              <w:right w:val="single" w:color="000000" w:sz="4" w:space="0"/>
            </w:tcBorders>
            <w:noWrap/>
            <w:vAlign w:val="bottom"/>
          </w:tcPr>
          <w:p w14:paraId="0A738B9F">
            <w:pPr>
              <w:widowControl/>
              <w:ind w:firstLine="0" w:firstLineChars="0"/>
              <w:jc w:val="center"/>
              <w:textAlignment w:val="bottom"/>
              <w:rPr>
                <w:rFonts w:eastAsia="仿宋"/>
                <w:color w:val="000000"/>
                <w:sz w:val="22"/>
              </w:rPr>
            </w:pPr>
            <w:r>
              <w:rPr>
                <w:rFonts w:eastAsia="仿宋"/>
                <w:color w:val="000000"/>
                <w:kern w:val="0"/>
                <w:sz w:val="22"/>
              </w:rPr>
              <w:t xml:space="preserve">0.33 </w:t>
            </w:r>
          </w:p>
        </w:tc>
        <w:tc>
          <w:tcPr>
            <w:tcW w:w="0" w:type="auto"/>
            <w:tcBorders>
              <w:top w:val="single" w:color="000000" w:sz="4" w:space="0"/>
              <w:left w:val="nil"/>
              <w:bottom w:val="single" w:color="000000" w:sz="4" w:space="0"/>
              <w:right w:val="single" w:color="000000" w:sz="4" w:space="0"/>
            </w:tcBorders>
            <w:noWrap/>
            <w:vAlign w:val="bottom"/>
          </w:tcPr>
          <w:p w14:paraId="0DC009D6">
            <w:pPr>
              <w:widowControl/>
              <w:ind w:firstLine="0" w:firstLineChars="0"/>
              <w:jc w:val="center"/>
              <w:textAlignment w:val="bottom"/>
              <w:rPr>
                <w:rFonts w:eastAsia="仿宋"/>
                <w:color w:val="000000"/>
                <w:sz w:val="22"/>
              </w:rPr>
            </w:pPr>
            <w:r>
              <w:rPr>
                <w:rFonts w:eastAsia="仿宋"/>
                <w:color w:val="000000"/>
                <w:kern w:val="0"/>
                <w:sz w:val="22"/>
              </w:rPr>
              <w:t xml:space="preserve">0.33 </w:t>
            </w:r>
          </w:p>
        </w:tc>
        <w:tc>
          <w:tcPr>
            <w:tcW w:w="0" w:type="auto"/>
            <w:tcBorders>
              <w:top w:val="single" w:color="000000" w:sz="4" w:space="0"/>
              <w:left w:val="nil"/>
              <w:bottom w:val="single" w:color="000000" w:sz="4" w:space="0"/>
              <w:right w:val="single" w:color="000000" w:sz="4" w:space="0"/>
            </w:tcBorders>
            <w:noWrap/>
            <w:vAlign w:val="bottom"/>
          </w:tcPr>
          <w:p w14:paraId="1B461DA0">
            <w:pPr>
              <w:widowControl/>
              <w:ind w:firstLine="0" w:firstLineChars="0"/>
              <w:jc w:val="center"/>
              <w:textAlignment w:val="bottom"/>
              <w:rPr>
                <w:rFonts w:eastAsia="仿宋"/>
                <w:color w:val="000000"/>
                <w:sz w:val="22"/>
              </w:rPr>
            </w:pPr>
            <w:r>
              <w:rPr>
                <w:rFonts w:eastAsia="仿宋"/>
                <w:color w:val="000000"/>
                <w:kern w:val="0"/>
                <w:sz w:val="22"/>
              </w:rPr>
              <w:t xml:space="preserve">0.36 </w:t>
            </w:r>
          </w:p>
        </w:tc>
        <w:tc>
          <w:tcPr>
            <w:tcW w:w="0" w:type="auto"/>
            <w:tcBorders>
              <w:top w:val="single" w:color="000000" w:sz="4" w:space="0"/>
              <w:left w:val="nil"/>
              <w:bottom w:val="single" w:color="000000" w:sz="4" w:space="0"/>
              <w:right w:val="single" w:color="000000" w:sz="4" w:space="0"/>
            </w:tcBorders>
            <w:noWrap/>
            <w:vAlign w:val="bottom"/>
          </w:tcPr>
          <w:p w14:paraId="6BEB5685">
            <w:pPr>
              <w:widowControl/>
              <w:ind w:firstLine="0" w:firstLineChars="0"/>
              <w:jc w:val="center"/>
              <w:textAlignment w:val="bottom"/>
              <w:rPr>
                <w:rFonts w:eastAsia="仿宋"/>
                <w:color w:val="000000"/>
                <w:sz w:val="22"/>
              </w:rPr>
            </w:pPr>
            <w:r>
              <w:rPr>
                <w:rFonts w:eastAsia="仿宋"/>
                <w:color w:val="000000"/>
                <w:kern w:val="0"/>
                <w:sz w:val="22"/>
              </w:rPr>
              <w:t xml:space="preserve">0.36 </w:t>
            </w:r>
          </w:p>
        </w:tc>
        <w:tc>
          <w:tcPr>
            <w:tcW w:w="0" w:type="auto"/>
            <w:tcBorders>
              <w:top w:val="single" w:color="000000" w:sz="4" w:space="0"/>
              <w:left w:val="nil"/>
              <w:bottom w:val="single" w:color="000000" w:sz="4" w:space="0"/>
              <w:right w:val="single" w:color="000000" w:sz="4" w:space="0"/>
            </w:tcBorders>
            <w:noWrap/>
            <w:vAlign w:val="bottom"/>
          </w:tcPr>
          <w:p w14:paraId="3E630C86">
            <w:pPr>
              <w:widowControl/>
              <w:ind w:firstLine="0" w:firstLineChars="0"/>
              <w:jc w:val="center"/>
              <w:textAlignment w:val="bottom"/>
              <w:rPr>
                <w:rFonts w:eastAsia="仿宋"/>
                <w:color w:val="000000"/>
                <w:sz w:val="22"/>
              </w:rPr>
            </w:pPr>
            <w:r>
              <w:rPr>
                <w:rFonts w:eastAsia="仿宋"/>
                <w:color w:val="000000"/>
                <w:kern w:val="0"/>
                <w:sz w:val="22"/>
              </w:rPr>
              <w:t xml:space="preserve">0.37 </w:t>
            </w:r>
          </w:p>
        </w:tc>
        <w:tc>
          <w:tcPr>
            <w:tcW w:w="0" w:type="auto"/>
            <w:tcBorders>
              <w:top w:val="single" w:color="000000" w:sz="4" w:space="0"/>
              <w:left w:val="nil"/>
              <w:bottom w:val="single" w:color="000000" w:sz="4" w:space="0"/>
              <w:right w:val="single" w:color="000000" w:sz="4" w:space="0"/>
            </w:tcBorders>
            <w:noWrap/>
            <w:vAlign w:val="bottom"/>
          </w:tcPr>
          <w:p w14:paraId="78E45335">
            <w:pPr>
              <w:widowControl/>
              <w:ind w:firstLine="0" w:firstLineChars="0"/>
              <w:jc w:val="center"/>
              <w:textAlignment w:val="bottom"/>
              <w:rPr>
                <w:rFonts w:eastAsia="仿宋"/>
                <w:color w:val="000000"/>
                <w:sz w:val="22"/>
              </w:rPr>
            </w:pPr>
            <w:r>
              <w:rPr>
                <w:rFonts w:eastAsia="仿宋"/>
                <w:color w:val="000000"/>
                <w:kern w:val="0"/>
                <w:sz w:val="22"/>
              </w:rPr>
              <w:t xml:space="preserve">0.39 </w:t>
            </w:r>
          </w:p>
        </w:tc>
        <w:tc>
          <w:tcPr>
            <w:tcW w:w="0" w:type="auto"/>
            <w:tcBorders>
              <w:top w:val="single" w:color="000000" w:sz="4" w:space="0"/>
              <w:left w:val="nil"/>
              <w:bottom w:val="single" w:color="000000" w:sz="4" w:space="0"/>
              <w:right w:val="single" w:color="000000" w:sz="4" w:space="0"/>
            </w:tcBorders>
            <w:noWrap/>
            <w:vAlign w:val="bottom"/>
          </w:tcPr>
          <w:p w14:paraId="6A5912FC">
            <w:pPr>
              <w:widowControl/>
              <w:ind w:firstLine="0" w:firstLineChars="0"/>
              <w:jc w:val="center"/>
              <w:textAlignment w:val="bottom"/>
              <w:rPr>
                <w:rFonts w:eastAsia="仿宋"/>
                <w:color w:val="000000"/>
                <w:sz w:val="22"/>
              </w:rPr>
            </w:pPr>
            <w:r>
              <w:rPr>
                <w:rFonts w:eastAsia="仿宋"/>
                <w:color w:val="000000"/>
                <w:kern w:val="0"/>
                <w:sz w:val="22"/>
              </w:rPr>
              <w:t xml:space="preserve">0.41 </w:t>
            </w:r>
          </w:p>
        </w:tc>
        <w:tc>
          <w:tcPr>
            <w:tcW w:w="0" w:type="auto"/>
            <w:tcBorders>
              <w:top w:val="single" w:color="000000" w:sz="4" w:space="0"/>
              <w:left w:val="nil"/>
              <w:bottom w:val="single" w:color="000000" w:sz="4" w:space="0"/>
              <w:right w:val="single" w:color="000000" w:sz="4" w:space="0"/>
            </w:tcBorders>
            <w:noWrap/>
            <w:vAlign w:val="bottom"/>
          </w:tcPr>
          <w:p w14:paraId="763A3BC3">
            <w:pPr>
              <w:widowControl/>
              <w:ind w:firstLine="0" w:firstLineChars="0"/>
              <w:jc w:val="center"/>
              <w:textAlignment w:val="bottom"/>
              <w:rPr>
                <w:rFonts w:eastAsia="仿宋"/>
                <w:color w:val="000000"/>
                <w:sz w:val="22"/>
              </w:rPr>
            </w:pPr>
            <w:r>
              <w:rPr>
                <w:rFonts w:eastAsia="仿宋"/>
                <w:color w:val="000000"/>
                <w:kern w:val="0"/>
                <w:sz w:val="22"/>
              </w:rPr>
              <w:t xml:space="preserve">0.42 </w:t>
            </w:r>
          </w:p>
        </w:tc>
        <w:tc>
          <w:tcPr>
            <w:tcW w:w="0" w:type="auto"/>
            <w:tcBorders>
              <w:top w:val="single" w:color="000000" w:sz="4" w:space="0"/>
              <w:left w:val="nil"/>
              <w:bottom w:val="single" w:color="000000" w:sz="4" w:space="0"/>
              <w:right w:val="single" w:color="000000" w:sz="4" w:space="0"/>
            </w:tcBorders>
            <w:noWrap/>
            <w:vAlign w:val="bottom"/>
          </w:tcPr>
          <w:p w14:paraId="3313AF76">
            <w:pPr>
              <w:widowControl/>
              <w:ind w:firstLine="0" w:firstLineChars="0"/>
              <w:jc w:val="center"/>
              <w:textAlignment w:val="bottom"/>
              <w:rPr>
                <w:rFonts w:eastAsia="仿宋"/>
                <w:color w:val="000000"/>
                <w:sz w:val="22"/>
              </w:rPr>
            </w:pPr>
            <w:r>
              <w:rPr>
                <w:rFonts w:eastAsia="仿宋"/>
                <w:color w:val="000000"/>
                <w:kern w:val="0"/>
                <w:sz w:val="22"/>
              </w:rPr>
              <w:t xml:space="preserve">0.43 </w:t>
            </w:r>
          </w:p>
        </w:tc>
        <w:tc>
          <w:tcPr>
            <w:tcW w:w="0" w:type="auto"/>
            <w:tcBorders>
              <w:top w:val="single" w:color="000000" w:sz="4" w:space="0"/>
              <w:left w:val="nil"/>
              <w:bottom w:val="single" w:color="000000" w:sz="4" w:space="0"/>
              <w:right w:val="single" w:color="000000" w:sz="4" w:space="0"/>
            </w:tcBorders>
            <w:noWrap/>
            <w:vAlign w:val="bottom"/>
          </w:tcPr>
          <w:p w14:paraId="153F1304">
            <w:pPr>
              <w:widowControl/>
              <w:ind w:firstLine="0" w:firstLineChars="0"/>
              <w:jc w:val="center"/>
              <w:textAlignment w:val="bottom"/>
              <w:rPr>
                <w:rFonts w:eastAsia="仿宋"/>
                <w:color w:val="000000"/>
                <w:sz w:val="22"/>
              </w:rPr>
            </w:pPr>
            <w:r>
              <w:rPr>
                <w:rFonts w:eastAsia="仿宋"/>
                <w:color w:val="000000"/>
                <w:kern w:val="0"/>
                <w:sz w:val="22"/>
              </w:rPr>
              <w:t xml:space="preserve">0.44 </w:t>
            </w:r>
          </w:p>
        </w:tc>
      </w:tr>
      <w:tr w14:paraId="1C4EA599">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bottom"/>
          </w:tcPr>
          <w:p w14:paraId="58F8F3AB">
            <w:pPr>
              <w:widowControl/>
              <w:ind w:firstLine="0" w:firstLineChars="0"/>
              <w:jc w:val="center"/>
              <w:textAlignment w:val="bottom"/>
              <w:rPr>
                <w:rFonts w:eastAsia="仿宋"/>
                <w:color w:val="000000"/>
                <w:sz w:val="22"/>
              </w:rPr>
            </w:pPr>
            <w:r>
              <w:rPr>
                <w:rFonts w:ascii="仿宋" w:hAnsi="仿宋" w:eastAsia="仿宋"/>
                <w:color w:val="000000"/>
                <w:kern w:val="0"/>
                <w:sz w:val="22"/>
              </w:rPr>
              <w:t>石化能源消费量</w:t>
            </w:r>
            <w:r>
              <w:rPr>
                <w:rFonts w:eastAsia="仿宋"/>
                <w:color w:val="000000"/>
                <w:kern w:val="0"/>
                <w:sz w:val="22"/>
              </w:rPr>
              <w:t xml:space="preserve">  x19</w:t>
            </w:r>
          </w:p>
        </w:tc>
        <w:tc>
          <w:tcPr>
            <w:tcW w:w="0" w:type="auto"/>
            <w:tcBorders>
              <w:top w:val="single" w:color="000000" w:sz="4" w:space="0"/>
              <w:left w:val="nil"/>
              <w:bottom w:val="single" w:color="000000" w:sz="4" w:space="0"/>
              <w:right w:val="single" w:color="000000" w:sz="4" w:space="0"/>
            </w:tcBorders>
            <w:noWrap/>
            <w:vAlign w:val="bottom"/>
          </w:tcPr>
          <w:p w14:paraId="61A8D69D">
            <w:pPr>
              <w:widowControl/>
              <w:ind w:firstLine="0" w:firstLineChars="0"/>
              <w:jc w:val="center"/>
              <w:textAlignment w:val="bottom"/>
              <w:rPr>
                <w:rFonts w:eastAsia="仿宋"/>
                <w:color w:val="000000"/>
                <w:sz w:val="22"/>
              </w:rPr>
            </w:pPr>
            <w:r>
              <w:rPr>
                <w:rFonts w:eastAsia="仿宋"/>
                <w:color w:val="000000"/>
                <w:kern w:val="0"/>
                <w:sz w:val="22"/>
              </w:rPr>
              <w:t>21839.31318</w:t>
            </w:r>
          </w:p>
        </w:tc>
        <w:tc>
          <w:tcPr>
            <w:tcW w:w="0" w:type="auto"/>
            <w:tcBorders>
              <w:top w:val="single" w:color="000000" w:sz="4" w:space="0"/>
              <w:left w:val="nil"/>
              <w:bottom w:val="single" w:color="000000" w:sz="4" w:space="0"/>
              <w:right w:val="single" w:color="000000" w:sz="4" w:space="0"/>
            </w:tcBorders>
            <w:noWrap/>
            <w:vAlign w:val="bottom"/>
          </w:tcPr>
          <w:p w14:paraId="253E29AA">
            <w:pPr>
              <w:widowControl/>
              <w:ind w:firstLine="0" w:firstLineChars="0"/>
              <w:jc w:val="center"/>
              <w:textAlignment w:val="bottom"/>
              <w:rPr>
                <w:rFonts w:eastAsia="仿宋"/>
                <w:color w:val="000000"/>
                <w:sz w:val="22"/>
              </w:rPr>
            </w:pPr>
            <w:r>
              <w:rPr>
                <w:rFonts w:eastAsia="仿宋"/>
                <w:color w:val="000000"/>
                <w:kern w:val="0"/>
                <w:sz w:val="22"/>
              </w:rPr>
              <w:t>24883.94108</w:t>
            </w:r>
          </w:p>
        </w:tc>
        <w:tc>
          <w:tcPr>
            <w:tcW w:w="0" w:type="auto"/>
            <w:tcBorders>
              <w:top w:val="single" w:color="000000" w:sz="4" w:space="0"/>
              <w:left w:val="nil"/>
              <w:bottom w:val="single" w:color="000000" w:sz="4" w:space="0"/>
              <w:right w:val="single" w:color="000000" w:sz="4" w:space="0"/>
            </w:tcBorders>
            <w:noWrap/>
            <w:vAlign w:val="bottom"/>
          </w:tcPr>
          <w:p w14:paraId="5CD1366C">
            <w:pPr>
              <w:widowControl/>
              <w:ind w:firstLine="0" w:firstLineChars="0"/>
              <w:jc w:val="center"/>
              <w:textAlignment w:val="bottom"/>
              <w:rPr>
                <w:rFonts w:eastAsia="仿宋"/>
                <w:color w:val="000000"/>
                <w:sz w:val="22"/>
              </w:rPr>
            </w:pPr>
            <w:r>
              <w:rPr>
                <w:rFonts w:eastAsia="仿宋"/>
                <w:color w:val="000000"/>
                <w:kern w:val="0"/>
                <w:sz w:val="22"/>
              </w:rPr>
              <w:t>25607.44612</w:t>
            </w:r>
          </w:p>
        </w:tc>
        <w:tc>
          <w:tcPr>
            <w:tcW w:w="0" w:type="auto"/>
            <w:tcBorders>
              <w:top w:val="single" w:color="000000" w:sz="4" w:space="0"/>
              <w:left w:val="nil"/>
              <w:bottom w:val="single" w:color="000000" w:sz="4" w:space="0"/>
              <w:right w:val="single" w:color="000000" w:sz="4" w:space="0"/>
            </w:tcBorders>
            <w:noWrap/>
            <w:vAlign w:val="bottom"/>
          </w:tcPr>
          <w:p w14:paraId="6121BB01">
            <w:pPr>
              <w:widowControl/>
              <w:ind w:firstLine="0" w:firstLineChars="0"/>
              <w:jc w:val="center"/>
              <w:textAlignment w:val="bottom"/>
              <w:rPr>
                <w:rFonts w:eastAsia="仿宋"/>
                <w:color w:val="000000"/>
                <w:sz w:val="22"/>
              </w:rPr>
            </w:pPr>
            <w:r>
              <w:rPr>
                <w:rFonts w:eastAsia="仿宋"/>
                <w:color w:val="000000"/>
                <w:kern w:val="0"/>
                <w:sz w:val="22"/>
              </w:rPr>
              <w:t>25513.69683</w:t>
            </w:r>
          </w:p>
        </w:tc>
        <w:tc>
          <w:tcPr>
            <w:tcW w:w="0" w:type="auto"/>
            <w:tcBorders>
              <w:top w:val="single" w:color="000000" w:sz="4" w:space="0"/>
              <w:left w:val="nil"/>
              <w:bottom w:val="single" w:color="000000" w:sz="4" w:space="0"/>
              <w:right w:val="single" w:color="000000" w:sz="4" w:space="0"/>
            </w:tcBorders>
            <w:noWrap/>
            <w:vAlign w:val="bottom"/>
          </w:tcPr>
          <w:p w14:paraId="660FF32C">
            <w:pPr>
              <w:widowControl/>
              <w:ind w:firstLine="0" w:firstLineChars="0"/>
              <w:jc w:val="center"/>
              <w:textAlignment w:val="bottom"/>
              <w:rPr>
                <w:rFonts w:eastAsia="仿宋"/>
                <w:color w:val="000000"/>
                <w:sz w:val="22"/>
              </w:rPr>
            </w:pPr>
            <w:r>
              <w:rPr>
                <w:rFonts w:eastAsia="仿宋"/>
                <w:color w:val="000000"/>
                <w:kern w:val="0"/>
                <w:sz w:val="22"/>
              </w:rPr>
              <w:t>25179.45353</w:t>
            </w:r>
          </w:p>
        </w:tc>
        <w:tc>
          <w:tcPr>
            <w:tcW w:w="0" w:type="auto"/>
            <w:tcBorders>
              <w:top w:val="single" w:color="000000" w:sz="4" w:space="0"/>
              <w:left w:val="nil"/>
              <w:bottom w:val="single" w:color="000000" w:sz="4" w:space="0"/>
              <w:right w:val="single" w:color="000000" w:sz="4" w:space="0"/>
            </w:tcBorders>
            <w:noWrap/>
            <w:vAlign w:val="bottom"/>
          </w:tcPr>
          <w:p w14:paraId="0CF0C8B6">
            <w:pPr>
              <w:widowControl/>
              <w:ind w:firstLine="0" w:firstLineChars="0"/>
              <w:jc w:val="center"/>
              <w:textAlignment w:val="bottom"/>
              <w:rPr>
                <w:rFonts w:eastAsia="仿宋"/>
                <w:color w:val="000000"/>
                <w:sz w:val="22"/>
              </w:rPr>
            </w:pPr>
            <w:r>
              <w:rPr>
                <w:rFonts w:eastAsia="仿宋"/>
                <w:color w:val="000000"/>
                <w:kern w:val="0"/>
                <w:sz w:val="22"/>
              </w:rPr>
              <w:t>25575.04483</w:t>
            </w:r>
          </w:p>
        </w:tc>
        <w:tc>
          <w:tcPr>
            <w:tcW w:w="0" w:type="auto"/>
            <w:tcBorders>
              <w:top w:val="single" w:color="000000" w:sz="4" w:space="0"/>
              <w:left w:val="nil"/>
              <w:bottom w:val="single" w:color="000000" w:sz="4" w:space="0"/>
              <w:right w:val="single" w:color="000000" w:sz="4" w:space="0"/>
            </w:tcBorders>
            <w:noWrap/>
            <w:vAlign w:val="bottom"/>
          </w:tcPr>
          <w:p w14:paraId="0C50ACE9">
            <w:pPr>
              <w:widowControl/>
              <w:ind w:firstLine="0" w:firstLineChars="0"/>
              <w:jc w:val="center"/>
              <w:textAlignment w:val="bottom"/>
              <w:rPr>
                <w:rFonts w:eastAsia="仿宋"/>
                <w:color w:val="000000"/>
                <w:sz w:val="22"/>
              </w:rPr>
            </w:pPr>
            <w:r>
              <w:rPr>
                <w:rFonts w:eastAsia="仿宋"/>
                <w:color w:val="000000"/>
                <w:kern w:val="0"/>
                <w:sz w:val="22"/>
              </w:rPr>
              <w:t>26318.77719</w:t>
            </w:r>
          </w:p>
        </w:tc>
        <w:tc>
          <w:tcPr>
            <w:tcW w:w="0" w:type="auto"/>
            <w:tcBorders>
              <w:top w:val="single" w:color="000000" w:sz="4" w:space="0"/>
              <w:left w:val="nil"/>
              <w:bottom w:val="single" w:color="000000" w:sz="4" w:space="0"/>
              <w:right w:val="single" w:color="000000" w:sz="4" w:space="0"/>
            </w:tcBorders>
            <w:noWrap/>
            <w:vAlign w:val="bottom"/>
          </w:tcPr>
          <w:p w14:paraId="0E06225E">
            <w:pPr>
              <w:widowControl/>
              <w:ind w:firstLine="0" w:firstLineChars="0"/>
              <w:jc w:val="center"/>
              <w:textAlignment w:val="bottom"/>
              <w:rPr>
                <w:rFonts w:eastAsia="仿宋"/>
                <w:color w:val="000000"/>
                <w:sz w:val="22"/>
              </w:rPr>
            </w:pPr>
            <w:r>
              <w:rPr>
                <w:rFonts w:eastAsia="仿宋"/>
                <w:color w:val="000000"/>
                <w:kern w:val="0"/>
                <w:sz w:val="22"/>
              </w:rPr>
              <w:t>25875.79199</w:t>
            </w:r>
          </w:p>
        </w:tc>
        <w:tc>
          <w:tcPr>
            <w:tcW w:w="0" w:type="auto"/>
            <w:tcBorders>
              <w:top w:val="single" w:color="000000" w:sz="4" w:space="0"/>
              <w:left w:val="nil"/>
              <w:bottom w:val="single" w:color="000000" w:sz="4" w:space="0"/>
              <w:right w:val="single" w:color="000000" w:sz="4" w:space="0"/>
            </w:tcBorders>
            <w:noWrap/>
            <w:vAlign w:val="bottom"/>
          </w:tcPr>
          <w:p w14:paraId="1C611AB6">
            <w:pPr>
              <w:widowControl/>
              <w:ind w:firstLine="0" w:firstLineChars="0"/>
              <w:jc w:val="center"/>
              <w:textAlignment w:val="bottom"/>
              <w:rPr>
                <w:rFonts w:eastAsia="仿宋"/>
                <w:color w:val="000000"/>
                <w:sz w:val="22"/>
              </w:rPr>
            </w:pPr>
            <w:r>
              <w:rPr>
                <w:rFonts w:eastAsia="仿宋"/>
                <w:color w:val="000000"/>
                <w:kern w:val="0"/>
                <w:sz w:val="22"/>
              </w:rPr>
              <w:t>25718.83834</w:t>
            </w:r>
          </w:p>
        </w:tc>
        <w:tc>
          <w:tcPr>
            <w:tcW w:w="0" w:type="auto"/>
            <w:tcBorders>
              <w:top w:val="single" w:color="000000" w:sz="4" w:space="0"/>
              <w:left w:val="nil"/>
              <w:bottom w:val="single" w:color="000000" w:sz="4" w:space="0"/>
              <w:right w:val="single" w:color="000000" w:sz="4" w:space="0"/>
            </w:tcBorders>
            <w:noWrap/>
            <w:vAlign w:val="bottom"/>
          </w:tcPr>
          <w:p w14:paraId="544A7230">
            <w:pPr>
              <w:widowControl/>
              <w:ind w:firstLine="0" w:firstLineChars="0"/>
              <w:jc w:val="center"/>
              <w:textAlignment w:val="bottom"/>
              <w:rPr>
                <w:rFonts w:eastAsia="仿宋"/>
                <w:color w:val="000000"/>
                <w:sz w:val="22"/>
              </w:rPr>
            </w:pPr>
            <w:r>
              <w:rPr>
                <w:rFonts w:eastAsia="仿宋"/>
                <w:color w:val="000000"/>
                <w:kern w:val="0"/>
                <w:sz w:val="22"/>
              </w:rPr>
              <w:t>26204.14245</w:t>
            </w:r>
          </w:p>
        </w:tc>
        <w:tc>
          <w:tcPr>
            <w:tcW w:w="0" w:type="auto"/>
            <w:tcBorders>
              <w:top w:val="single" w:color="000000" w:sz="4" w:space="0"/>
              <w:left w:val="nil"/>
              <w:bottom w:val="single" w:color="000000" w:sz="4" w:space="0"/>
              <w:right w:val="single" w:color="000000" w:sz="4" w:space="0"/>
            </w:tcBorders>
            <w:noWrap/>
            <w:vAlign w:val="bottom"/>
          </w:tcPr>
          <w:p w14:paraId="470B6C83">
            <w:pPr>
              <w:widowControl/>
              <w:ind w:firstLine="0" w:firstLineChars="0"/>
              <w:jc w:val="center"/>
              <w:textAlignment w:val="bottom"/>
              <w:rPr>
                <w:rFonts w:eastAsia="仿宋"/>
                <w:color w:val="000000"/>
                <w:sz w:val="22"/>
              </w:rPr>
            </w:pPr>
            <w:r>
              <w:rPr>
                <w:rFonts w:eastAsia="仿宋"/>
                <w:color w:val="000000"/>
                <w:kern w:val="0"/>
                <w:sz w:val="22"/>
              </w:rPr>
              <w:t>25447.69928</w:t>
            </w:r>
          </w:p>
        </w:tc>
      </w:tr>
      <w:tr w14:paraId="0CAAE7B1">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033A76A">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部门碳总排放量</w:t>
            </w:r>
            <w:r>
              <w:rPr>
                <w:rFonts w:eastAsia="仿宋"/>
                <w:color w:val="000000"/>
                <w:kern w:val="0"/>
                <w:sz w:val="20"/>
                <w:szCs w:val="20"/>
              </w:rPr>
              <w:t xml:space="preserve">    Y1-1</w:t>
            </w:r>
          </w:p>
        </w:tc>
        <w:tc>
          <w:tcPr>
            <w:tcW w:w="0" w:type="auto"/>
            <w:tcBorders>
              <w:top w:val="single" w:color="000000" w:sz="4" w:space="0"/>
              <w:left w:val="nil"/>
              <w:bottom w:val="single" w:color="000000" w:sz="4" w:space="0"/>
              <w:right w:val="single" w:color="000000" w:sz="4" w:space="0"/>
            </w:tcBorders>
            <w:noWrap/>
            <w:vAlign w:val="center"/>
          </w:tcPr>
          <w:p w14:paraId="28AA5644">
            <w:pPr>
              <w:widowControl/>
              <w:ind w:firstLine="0" w:firstLineChars="0"/>
              <w:jc w:val="center"/>
              <w:textAlignment w:val="center"/>
              <w:rPr>
                <w:color w:val="000000"/>
                <w:sz w:val="22"/>
              </w:rPr>
            </w:pPr>
            <w:r>
              <w:rPr>
                <w:color w:val="000000"/>
                <w:kern w:val="0"/>
                <w:sz w:val="22"/>
              </w:rPr>
              <w:t>896.07</w:t>
            </w:r>
          </w:p>
        </w:tc>
        <w:tc>
          <w:tcPr>
            <w:tcW w:w="0" w:type="auto"/>
            <w:tcBorders>
              <w:top w:val="single" w:color="000000" w:sz="4" w:space="0"/>
              <w:left w:val="nil"/>
              <w:bottom w:val="single" w:color="000000" w:sz="4" w:space="0"/>
              <w:right w:val="single" w:color="000000" w:sz="4" w:space="0"/>
            </w:tcBorders>
            <w:noWrap/>
            <w:vAlign w:val="center"/>
          </w:tcPr>
          <w:p w14:paraId="29BC307E">
            <w:pPr>
              <w:widowControl/>
              <w:ind w:firstLine="0" w:firstLineChars="0"/>
              <w:jc w:val="center"/>
              <w:textAlignment w:val="center"/>
              <w:rPr>
                <w:color w:val="000000"/>
                <w:sz w:val="22"/>
              </w:rPr>
            </w:pPr>
            <w:r>
              <w:rPr>
                <w:color w:val="000000"/>
                <w:kern w:val="0"/>
                <w:sz w:val="22"/>
              </w:rPr>
              <w:t>1031.18</w:t>
            </w:r>
          </w:p>
        </w:tc>
        <w:tc>
          <w:tcPr>
            <w:tcW w:w="0" w:type="auto"/>
            <w:tcBorders>
              <w:top w:val="single" w:color="000000" w:sz="4" w:space="0"/>
              <w:left w:val="nil"/>
              <w:bottom w:val="single" w:color="000000" w:sz="4" w:space="0"/>
              <w:right w:val="single" w:color="000000" w:sz="4" w:space="0"/>
            </w:tcBorders>
            <w:noWrap/>
            <w:vAlign w:val="center"/>
          </w:tcPr>
          <w:p w14:paraId="339D17AF">
            <w:pPr>
              <w:widowControl/>
              <w:ind w:firstLine="0" w:firstLineChars="0"/>
              <w:jc w:val="center"/>
              <w:textAlignment w:val="center"/>
              <w:rPr>
                <w:color w:val="000000"/>
                <w:sz w:val="22"/>
              </w:rPr>
            </w:pPr>
            <w:r>
              <w:rPr>
                <w:color w:val="000000"/>
                <w:kern w:val="0"/>
                <w:sz w:val="22"/>
              </w:rPr>
              <w:t>1165.28</w:t>
            </w:r>
          </w:p>
        </w:tc>
        <w:tc>
          <w:tcPr>
            <w:tcW w:w="0" w:type="auto"/>
            <w:tcBorders>
              <w:top w:val="single" w:color="000000" w:sz="4" w:space="0"/>
              <w:left w:val="nil"/>
              <w:bottom w:val="single" w:color="000000" w:sz="4" w:space="0"/>
              <w:right w:val="single" w:color="000000" w:sz="4" w:space="0"/>
            </w:tcBorders>
            <w:noWrap/>
            <w:vAlign w:val="center"/>
          </w:tcPr>
          <w:p w14:paraId="2CA25A1C">
            <w:pPr>
              <w:widowControl/>
              <w:ind w:firstLine="0" w:firstLineChars="0"/>
              <w:jc w:val="center"/>
              <w:textAlignment w:val="center"/>
              <w:rPr>
                <w:color w:val="000000"/>
                <w:sz w:val="22"/>
              </w:rPr>
            </w:pPr>
            <w:r>
              <w:rPr>
                <w:color w:val="000000"/>
                <w:kern w:val="0"/>
                <w:sz w:val="22"/>
              </w:rPr>
              <w:t>1007.48</w:t>
            </w:r>
          </w:p>
        </w:tc>
        <w:tc>
          <w:tcPr>
            <w:tcW w:w="0" w:type="auto"/>
            <w:tcBorders>
              <w:top w:val="single" w:color="000000" w:sz="4" w:space="0"/>
              <w:left w:val="nil"/>
              <w:bottom w:val="single" w:color="000000" w:sz="4" w:space="0"/>
              <w:right w:val="single" w:color="000000" w:sz="4" w:space="0"/>
            </w:tcBorders>
            <w:noWrap/>
            <w:vAlign w:val="center"/>
          </w:tcPr>
          <w:p w14:paraId="6B67AD3A">
            <w:pPr>
              <w:widowControl/>
              <w:ind w:firstLine="0" w:firstLineChars="0"/>
              <w:jc w:val="center"/>
              <w:textAlignment w:val="center"/>
              <w:rPr>
                <w:color w:val="000000"/>
                <w:sz w:val="22"/>
              </w:rPr>
            </w:pPr>
            <w:r>
              <w:rPr>
                <w:color w:val="000000"/>
                <w:kern w:val="0"/>
                <w:sz w:val="22"/>
              </w:rPr>
              <w:t>1020.85</w:t>
            </w:r>
          </w:p>
        </w:tc>
        <w:tc>
          <w:tcPr>
            <w:tcW w:w="0" w:type="auto"/>
            <w:tcBorders>
              <w:top w:val="single" w:color="000000" w:sz="4" w:space="0"/>
              <w:left w:val="nil"/>
              <w:bottom w:val="single" w:color="000000" w:sz="4" w:space="0"/>
              <w:right w:val="single" w:color="000000" w:sz="4" w:space="0"/>
            </w:tcBorders>
            <w:noWrap/>
            <w:vAlign w:val="center"/>
          </w:tcPr>
          <w:p w14:paraId="036D67BC">
            <w:pPr>
              <w:widowControl/>
              <w:ind w:firstLine="0" w:firstLineChars="0"/>
              <w:jc w:val="center"/>
              <w:textAlignment w:val="center"/>
              <w:rPr>
                <w:color w:val="000000"/>
                <w:sz w:val="22"/>
              </w:rPr>
            </w:pPr>
            <w:r>
              <w:rPr>
                <w:color w:val="000000"/>
                <w:kern w:val="0"/>
                <w:sz w:val="22"/>
              </w:rPr>
              <w:t>1162.51</w:t>
            </w:r>
          </w:p>
        </w:tc>
        <w:tc>
          <w:tcPr>
            <w:tcW w:w="0" w:type="auto"/>
            <w:tcBorders>
              <w:top w:val="single" w:color="000000" w:sz="4" w:space="0"/>
              <w:left w:val="nil"/>
              <w:bottom w:val="single" w:color="000000" w:sz="4" w:space="0"/>
              <w:right w:val="single" w:color="000000" w:sz="4" w:space="0"/>
            </w:tcBorders>
            <w:noWrap/>
            <w:vAlign w:val="center"/>
          </w:tcPr>
          <w:p w14:paraId="17314CE0">
            <w:pPr>
              <w:widowControl/>
              <w:ind w:firstLine="0" w:firstLineChars="0"/>
              <w:jc w:val="center"/>
              <w:textAlignment w:val="center"/>
              <w:rPr>
                <w:color w:val="000000"/>
                <w:sz w:val="22"/>
              </w:rPr>
            </w:pPr>
            <w:r>
              <w:rPr>
                <w:color w:val="000000"/>
                <w:kern w:val="0"/>
                <w:sz w:val="22"/>
              </w:rPr>
              <w:t>1211.03</w:t>
            </w:r>
          </w:p>
        </w:tc>
        <w:tc>
          <w:tcPr>
            <w:tcW w:w="0" w:type="auto"/>
            <w:tcBorders>
              <w:top w:val="single" w:color="000000" w:sz="4" w:space="0"/>
              <w:left w:val="nil"/>
              <w:bottom w:val="single" w:color="000000" w:sz="4" w:space="0"/>
              <w:right w:val="single" w:color="000000" w:sz="4" w:space="0"/>
            </w:tcBorders>
            <w:noWrap/>
            <w:vAlign w:val="center"/>
          </w:tcPr>
          <w:p w14:paraId="595EDBFB">
            <w:pPr>
              <w:widowControl/>
              <w:ind w:firstLine="0" w:firstLineChars="0"/>
              <w:jc w:val="center"/>
              <w:textAlignment w:val="center"/>
              <w:rPr>
                <w:color w:val="000000"/>
                <w:sz w:val="22"/>
              </w:rPr>
            </w:pPr>
            <w:r>
              <w:rPr>
                <w:color w:val="000000"/>
                <w:kern w:val="0"/>
                <w:sz w:val="22"/>
              </w:rPr>
              <w:t>1245.02</w:t>
            </w:r>
          </w:p>
        </w:tc>
        <w:tc>
          <w:tcPr>
            <w:tcW w:w="0" w:type="auto"/>
            <w:tcBorders>
              <w:top w:val="single" w:color="000000" w:sz="4" w:space="0"/>
              <w:left w:val="nil"/>
              <w:bottom w:val="single" w:color="000000" w:sz="4" w:space="0"/>
              <w:right w:val="single" w:color="000000" w:sz="4" w:space="0"/>
            </w:tcBorders>
            <w:noWrap/>
            <w:vAlign w:val="center"/>
          </w:tcPr>
          <w:p w14:paraId="272A0546">
            <w:pPr>
              <w:widowControl/>
              <w:ind w:firstLine="0" w:firstLineChars="0"/>
              <w:jc w:val="center"/>
              <w:textAlignment w:val="center"/>
              <w:rPr>
                <w:color w:val="000000"/>
                <w:sz w:val="22"/>
              </w:rPr>
            </w:pPr>
            <w:r>
              <w:rPr>
                <w:color w:val="000000"/>
                <w:kern w:val="0"/>
                <w:sz w:val="22"/>
              </w:rPr>
              <w:t>1295.49</w:t>
            </w:r>
          </w:p>
        </w:tc>
        <w:tc>
          <w:tcPr>
            <w:tcW w:w="0" w:type="auto"/>
            <w:tcBorders>
              <w:top w:val="single" w:color="000000" w:sz="4" w:space="0"/>
              <w:left w:val="nil"/>
              <w:bottom w:val="single" w:color="000000" w:sz="4" w:space="0"/>
              <w:right w:val="single" w:color="000000" w:sz="4" w:space="0"/>
            </w:tcBorders>
            <w:noWrap/>
            <w:vAlign w:val="center"/>
          </w:tcPr>
          <w:p w14:paraId="12192726">
            <w:pPr>
              <w:widowControl/>
              <w:ind w:firstLine="0" w:firstLineChars="0"/>
              <w:jc w:val="center"/>
              <w:textAlignment w:val="center"/>
              <w:rPr>
                <w:color w:val="000000"/>
                <w:sz w:val="22"/>
              </w:rPr>
            </w:pPr>
            <w:r>
              <w:rPr>
                <w:color w:val="000000"/>
                <w:kern w:val="0"/>
                <w:sz w:val="22"/>
              </w:rPr>
              <w:t>1278.38</w:t>
            </w:r>
          </w:p>
        </w:tc>
        <w:tc>
          <w:tcPr>
            <w:tcW w:w="0" w:type="auto"/>
            <w:tcBorders>
              <w:top w:val="single" w:color="000000" w:sz="4" w:space="0"/>
              <w:left w:val="nil"/>
              <w:bottom w:val="single" w:color="000000" w:sz="4" w:space="0"/>
              <w:right w:val="single" w:color="000000" w:sz="4" w:space="0"/>
            </w:tcBorders>
            <w:noWrap/>
            <w:vAlign w:val="center"/>
          </w:tcPr>
          <w:p w14:paraId="69FF92AD">
            <w:pPr>
              <w:widowControl/>
              <w:ind w:firstLine="0" w:firstLineChars="0"/>
              <w:jc w:val="center"/>
              <w:textAlignment w:val="center"/>
              <w:rPr>
                <w:color w:val="000000"/>
                <w:sz w:val="22"/>
              </w:rPr>
            </w:pPr>
            <w:r>
              <w:rPr>
                <w:color w:val="000000"/>
                <w:kern w:val="0"/>
                <w:sz w:val="22"/>
              </w:rPr>
              <w:t>1238.76</w:t>
            </w:r>
          </w:p>
        </w:tc>
      </w:tr>
      <w:tr w14:paraId="1187B738">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8739E9">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部门碳总排放量</w:t>
            </w:r>
            <w:r>
              <w:rPr>
                <w:rFonts w:eastAsia="仿宋"/>
                <w:color w:val="000000"/>
                <w:kern w:val="0"/>
                <w:sz w:val="20"/>
                <w:szCs w:val="20"/>
              </w:rPr>
              <w:t xml:space="preserve">    Y1-2</w:t>
            </w:r>
          </w:p>
        </w:tc>
        <w:tc>
          <w:tcPr>
            <w:tcW w:w="0" w:type="auto"/>
            <w:tcBorders>
              <w:top w:val="single" w:color="000000" w:sz="4" w:space="0"/>
              <w:left w:val="nil"/>
              <w:bottom w:val="single" w:color="000000" w:sz="4" w:space="0"/>
              <w:right w:val="single" w:color="000000" w:sz="4" w:space="0"/>
            </w:tcBorders>
            <w:noWrap/>
            <w:vAlign w:val="bottom"/>
          </w:tcPr>
          <w:p w14:paraId="45C5537F">
            <w:pPr>
              <w:widowControl/>
              <w:ind w:firstLine="0" w:firstLineChars="0"/>
              <w:jc w:val="center"/>
              <w:textAlignment w:val="bottom"/>
              <w:rPr>
                <w:color w:val="000000"/>
                <w:sz w:val="22"/>
              </w:rPr>
            </w:pPr>
            <w:r>
              <w:rPr>
                <w:color w:val="000000"/>
                <w:kern w:val="0"/>
                <w:sz w:val="22"/>
              </w:rPr>
              <w:t>113011.08</w:t>
            </w:r>
          </w:p>
        </w:tc>
        <w:tc>
          <w:tcPr>
            <w:tcW w:w="0" w:type="auto"/>
            <w:tcBorders>
              <w:top w:val="single" w:color="000000" w:sz="4" w:space="0"/>
              <w:left w:val="nil"/>
              <w:bottom w:val="single" w:color="000000" w:sz="4" w:space="0"/>
              <w:right w:val="single" w:color="000000" w:sz="4" w:space="0"/>
            </w:tcBorders>
            <w:noWrap/>
            <w:vAlign w:val="bottom"/>
          </w:tcPr>
          <w:p w14:paraId="3E20FD4A">
            <w:pPr>
              <w:widowControl/>
              <w:ind w:firstLine="0" w:firstLineChars="0"/>
              <w:jc w:val="center"/>
              <w:textAlignment w:val="bottom"/>
              <w:rPr>
                <w:color w:val="000000"/>
                <w:sz w:val="22"/>
              </w:rPr>
            </w:pPr>
            <w:r>
              <w:rPr>
                <w:color w:val="000000"/>
                <w:kern w:val="0"/>
                <w:sz w:val="22"/>
              </w:rPr>
              <w:t>135120.66</w:t>
            </w:r>
          </w:p>
        </w:tc>
        <w:tc>
          <w:tcPr>
            <w:tcW w:w="0" w:type="auto"/>
            <w:tcBorders>
              <w:top w:val="single" w:color="000000" w:sz="4" w:space="0"/>
              <w:left w:val="nil"/>
              <w:bottom w:val="single" w:color="000000" w:sz="4" w:space="0"/>
              <w:right w:val="single" w:color="000000" w:sz="4" w:space="0"/>
            </w:tcBorders>
            <w:noWrap/>
            <w:vAlign w:val="bottom"/>
          </w:tcPr>
          <w:p w14:paraId="12A1C4AC">
            <w:pPr>
              <w:widowControl/>
              <w:ind w:firstLine="0" w:firstLineChars="0"/>
              <w:jc w:val="center"/>
              <w:textAlignment w:val="bottom"/>
              <w:rPr>
                <w:color w:val="000000"/>
                <w:sz w:val="22"/>
              </w:rPr>
            </w:pPr>
            <w:r>
              <w:rPr>
                <w:color w:val="000000"/>
                <w:kern w:val="0"/>
                <w:sz w:val="22"/>
              </w:rPr>
              <w:t>133540.15</w:t>
            </w:r>
          </w:p>
        </w:tc>
        <w:tc>
          <w:tcPr>
            <w:tcW w:w="0" w:type="auto"/>
            <w:tcBorders>
              <w:top w:val="single" w:color="000000" w:sz="4" w:space="0"/>
              <w:left w:val="nil"/>
              <w:bottom w:val="single" w:color="000000" w:sz="4" w:space="0"/>
              <w:right w:val="single" w:color="000000" w:sz="4" w:space="0"/>
            </w:tcBorders>
            <w:noWrap/>
            <w:vAlign w:val="bottom"/>
          </w:tcPr>
          <w:p w14:paraId="6302A438">
            <w:pPr>
              <w:widowControl/>
              <w:ind w:firstLine="0" w:firstLineChars="0"/>
              <w:jc w:val="center"/>
              <w:textAlignment w:val="bottom"/>
              <w:rPr>
                <w:color w:val="000000"/>
                <w:sz w:val="22"/>
              </w:rPr>
            </w:pPr>
            <w:r>
              <w:rPr>
                <w:color w:val="000000"/>
                <w:kern w:val="0"/>
                <w:sz w:val="22"/>
              </w:rPr>
              <w:t>135252.68</w:t>
            </w:r>
          </w:p>
        </w:tc>
        <w:tc>
          <w:tcPr>
            <w:tcW w:w="0" w:type="auto"/>
            <w:tcBorders>
              <w:top w:val="single" w:color="000000" w:sz="4" w:space="0"/>
              <w:left w:val="nil"/>
              <w:bottom w:val="single" w:color="000000" w:sz="4" w:space="0"/>
              <w:right w:val="single" w:color="000000" w:sz="4" w:space="0"/>
            </w:tcBorders>
            <w:noWrap/>
            <w:vAlign w:val="bottom"/>
          </w:tcPr>
          <w:p w14:paraId="7762D8D9">
            <w:pPr>
              <w:widowControl/>
              <w:ind w:firstLine="0" w:firstLineChars="0"/>
              <w:jc w:val="center"/>
              <w:textAlignment w:val="bottom"/>
              <w:rPr>
                <w:color w:val="000000"/>
                <w:sz w:val="22"/>
              </w:rPr>
            </w:pPr>
            <w:r>
              <w:rPr>
                <w:color w:val="000000"/>
                <w:kern w:val="0"/>
                <w:sz w:val="22"/>
              </w:rPr>
              <w:t>124759.82</w:t>
            </w:r>
          </w:p>
        </w:tc>
        <w:tc>
          <w:tcPr>
            <w:tcW w:w="0" w:type="auto"/>
            <w:tcBorders>
              <w:top w:val="single" w:color="000000" w:sz="4" w:space="0"/>
              <w:left w:val="nil"/>
              <w:bottom w:val="single" w:color="000000" w:sz="4" w:space="0"/>
              <w:right w:val="single" w:color="000000" w:sz="4" w:space="0"/>
            </w:tcBorders>
            <w:noWrap/>
            <w:vAlign w:val="bottom"/>
          </w:tcPr>
          <w:p w14:paraId="2625FB3D">
            <w:pPr>
              <w:widowControl/>
              <w:ind w:firstLine="0" w:firstLineChars="0"/>
              <w:jc w:val="center"/>
              <w:textAlignment w:val="bottom"/>
              <w:rPr>
                <w:color w:val="000000"/>
                <w:sz w:val="22"/>
              </w:rPr>
            </w:pPr>
            <w:r>
              <w:rPr>
                <w:color w:val="000000"/>
                <w:kern w:val="0"/>
                <w:sz w:val="22"/>
              </w:rPr>
              <w:t>128202.58</w:t>
            </w:r>
          </w:p>
        </w:tc>
        <w:tc>
          <w:tcPr>
            <w:tcW w:w="0" w:type="auto"/>
            <w:tcBorders>
              <w:top w:val="single" w:color="000000" w:sz="4" w:space="0"/>
              <w:left w:val="nil"/>
              <w:bottom w:val="single" w:color="000000" w:sz="4" w:space="0"/>
              <w:right w:val="single" w:color="000000" w:sz="4" w:space="0"/>
            </w:tcBorders>
            <w:noWrap/>
            <w:vAlign w:val="bottom"/>
          </w:tcPr>
          <w:p w14:paraId="1A24171F">
            <w:pPr>
              <w:widowControl/>
              <w:ind w:firstLine="0" w:firstLineChars="0"/>
              <w:jc w:val="center"/>
              <w:textAlignment w:val="bottom"/>
              <w:rPr>
                <w:color w:val="000000"/>
                <w:sz w:val="22"/>
              </w:rPr>
            </w:pPr>
            <w:r>
              <w:rPr>
                <w:color w:val="000000"/>
                <w:kern w:val="0"/>
                <w:sz w:val="22"/>
              </w:rPr>
              <w:t>131023.79</w:t>
            </w:r>
          </w:p>
        </w:tc>
        <w:tc>
          <w:tcPr>
            <w:tcW w:w="0" w:type="auto"/>
            <w:tcBorders>
              <w:top w:val="single" w:color="000000" w:sz="4" w:space="0"/>
              <w:left w:val="nil"/>
              <w:bottom w:val="single" w:color="000000" w:sz="4" w:space="0"/>
              <w:right w:val="single" w:color="000000" w:sz="4" w:space="0"/>
            </w:tcBorders>
            <w:noWrap/>
            <w:vAlign w:val="bottom"/>
          </w:tcPr>
          <w:p w14:paraId="7597D06F">
            <w:pPr>
              <w:widowControl/>
              <w:ind w:firstLine="0" w:firstLineChars="0"/>
              <w:jc w:val="center"/>
              <w:textAlignment w:val="bottom"/>
              <w:rPr>
                <w:color w:val="000000"/>
                <w:sz w:val="22"/>
              </w:rPr>
            </w:pPr>
            <w:r>
              <w:rPr>
                <w:color w:val="000000"/>
                <w:kern w:val="0"/>
                <w:sz w:val="22"/>
              </w:rPr>
              <w:t>127459.96</w:t>
            </w:r>
          </w:p>
        </w:tc>
        <w:tc>
          <w:tcPr>
            <w:tcW w:w="0" w:type="auto"/>
            <w:tcBorders>
              <w:top w:val="single" w:color="000000" w:sz="4" w:space="0"/>
              <w:left w:val="nil"/>
              <w:bottom w:val="single" w:color="000000" w:sz="4" w:space="0"/>
              <w:right w:val="single" w:color="000000" w:sz="4" w:space="0"/>
            </w:tcBorders>
            <w:noWrap/>
            <w:vAlign w:val="bottom"/>
          </w:tcPr>
          <w:p w14:paraId="5C2419CC">
            <w:pPr>
              <w:widowControl/>
              <w:ind w:firstLine="0" w:firstLineChars="0"/>
              <w:jc w:val="center"/>
              <w:textAlignment w:val="bottom"/>
              <w:rPr>
                <w:color w:val="000000"/>
                <w:sz w:val="22"/>
              </w:rPr>
            </w:pPr>
            <w:r>
              <w:rPr>
                <w:color w:val="000000"/>
                <w:kern w:val="0"/>
                <w:sz w:val="22"/>
              </w:rPr>
              <w:t>126139.92</w:t>
            </w:r>
          </w:p>
        </w:tc>
        <w:tc>
          <w:tcPr>
            <w:tcW w:w="0" w:type="auto"/>
            <w:tcBorders>
              <w:top w:val="single" w:color="000000" w:sz="4" w:space="0"/>
              <w:left w:val="nil"/>
              <w:bottom w:val="single" w:color="000000" w:sz="4" w:space="0"/>
              <w:right w:val="single" w:color="000000" w:sz="4" w:space="0"/>
            </w:tcBorders>
            <w:noWrap/>
            <w:vAlign w:val="bottom"/>
          </w:tcPr>
          <w:p w14:paraId="6FFEA177">
            <w:pPr>
              <w:widowControl/>
              <w:ind w:firstLine="0" w:firstLineChars="0"/>
              <w:jc w:val="center"/>
              <w:textAlignment w:val="bottom"/>
              <w:rPr>
                <w:color w:val="000000"/>
                <w:sz w:val="22"/>
              </w:rPr>
            </w:pPr>
            <w:r>
              <w:rPr>
                <w:color w:val="000000"/>
                <w:kern w:val="0"/>
                <w:sz w:val="22"/>
              </w:rPr>
              <w:t>130374.24</w:t>
            </w:r>
          </w:p>
        </w:tc>
        <w:tc>
          <w:tcPr>
            <w:tcW w:w="0" w:type="auto"/>
            <w:tcBorders>
              <w:top w:val="single" w:color="000000" w:sz="4" w:space="0"/>
              <w:left w:val="nil"/>
              <w:bottom w:val="single" w:color="000000" w:sz="4" w:space="0"/>
              <w:right w:val="single" w:color="000000" w:sz="4" w:space="0"/>
            </w:tcBorders>
            <w:noWrap/>
            <w:vAlign w:val="bottom"/>
          </w:tcPr>
          <w:p w14:paraId="168543D3">
            <w:pPr>
              <w:widowControl/>
              <w:ind w:firstLine="0" w:firstLineChars="0"/>
              <w:jc w:val="center"/>
              <w:textAlignment w:val="bottom"/>
              <w:rPr>
                <w:color w:val="000000"/>
                <w:sz w:val="22"/>
              </w:rPr>
            </w:pPr>
            <w:r>
              <w:rPr>
                <w:color w:val="000000"/>
                <w:kern w:val="0"/>
                <w:sz w:val="22"/>
              </w:rPr>
              <w:t>124569.64</w:t>
            </w:r>
          </w:p>
        </w:tc>
      </w:tr>
      <w:tr w14:paraId="5AD9B214">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E8C9059">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部门碳总排放量</w:t>
            </w:r>
            <w:r>
              <w:rPr>
                <w:rFonts w:eastAsia="仿宋"/>
                <w:color w:val="000000"/>
                <w:kern w:val="0"/>
                <w:sz w:val="20"/>
                <w:szCs w:val="20"/>
              </w:rPr>
              <w:t xml:space="preserve">    Y1-3</w:t>
            </w:r>
          </w:p>
        </w:tc>
        <w:tc>
          <w:tcPr>
            <w:tcW w:w="0" w:type="auto"/>
            <w:tcBorders>
              <w:top w:val="single" w:color="000000" w:sz="4" w:space="0"/>
              <w:left w:val="nil"/>
              <w:bottom w:val="single" w:color="000000" w:sz="4" w:space="0"/>
              <w:right w:val="single" w:color="000000" w:sz="4" w:space="0"/>
            </w:tcBorders>
            <w:noWrap/>
            <w:vAlign w:val="bottom"/>
          </w:tcPr>
          <w:p w14:paraId="118A783B">
            <w:pPr>
              <w:widowControl/>
              <w:ind w:firstLine="0" w:firstLineChars="0"/>
              <w:jc w:val="center"/>
              <w:textAlignment w:val="bottom"/>
              <w:rPr>
                <w:color w:val="000000"/>
                <w:sz w:val="22"/>
              </w:rPr>
            </w:pPr>
            <w:r>
              <w:rPr>
                <w:color w:val="000000"/>
                <w:kern w:val="0"/>
                <w:sz w:val="22"/>
              </w:rPr>
              <w:t>45225.70</w:t>
            </w:r>
          </w:p>
        </w:tc>
        <w:tc>
          <w:tcPr>
            <w:tcW w:w="0" w:type="auto"/>
            <w:tcBorders>
              <w:top w:val="single" w:color="000000" w:sz="4" w:space="0"/>
              <w:left w:val="nil"/>
              <w:bottom w:val="single" w:color="000000" w:sz="4" w:space="0"/>
              <w:right w:val="single" w:color="000000" w:sz="4" w:space="0"/>
            </w:tcBorders>
            <w:noWrap/>
            <w:vAlign w:val="bottom"/>
          </w:tcPr>
          <w:p w14:paraId="0833375E">
            <w:pPr>
              <w:widowControl/>
              <w:ind w:firstLine="0" w:firstLineChars="0"/>
              <w:jc w:val="center"/>
              <w:textAlignment w:val="bottom"/>
              <w:rPr>
                <w:color w:val="000000"/>
                <w:sz w:val="22"/>
              </w:rPr>
            </w:pPr>
            <w:r>
              <w:rPr>
                <w:color w:val="000000"/>
                <w:kern w:val="0"/>
                <w:sz w:val="22"/>
              </w:rPr>
              <w:t>52975.79</w:t>
            </w:r>
          </w:p>
        </w:tc>
        <w:tc>
          <w:tcPr>
            <w:tcW w:w="0" w:type="auto"/>
            <w:tcBorders>
              <w:top w:val="single" w:color="000000" w:sz="4" w:space="0"/>
              <w:left w:val="nil"/>
              <w:bottom w:val="single" w:color="000000" w:sz="4" w:space="0"/>
              <w:right w:val="single" w:color="000000" w:sz="4" w:space="0"/>
            </w:tcBorders>
            <w:noWrap/>
            <w:vAlign w:val="bottom"/>
          </w:tcPr>
          <w:p w14:paraId="2FDFD303">
            <w:pPr>
              <w:widowControl/>
              <w:ind w:firstLine="0" w:firstLineChars="0"/>
              <w:jc w:val="center"/>
              <w:textAlignment w:val="bottom"/>
              <w:rPr>
                <w:color w:val="000000"/>
                <w:sz w:val="22"/>
              </w:rPr>
            </w:pPr>
            <w:r>
              <w:rPr>
                <w:color w:val="000000"/>
                <w:kern w:val="0"/>
                <w:sz w:val="22"/>
              </w:rPr>
              <w:t>54048.28</w:t>
            </w:r>
          </w:p>
        </w:tc>
        <w:tc>
          <w:tcPr>
            <w:tcW w:w="0" w:type="auto"/>
            <w:tcBorders>
              <w:top w:val="single" w:color="000000" w:sz="4" w:space="0"/>
              <w:left w:val="nil"/>
              <w:bottom w:val="single" w:color="000000" w:sz="4" w:space="0"/>
              <w:right w:val="single" w:color="000000" w:sz="4" w:space="0"/>
            </w:tcBorders>
            <w:noWrap/>
            <w:vAlign w:val="bottom"/>
          </w:tcPr>
          <w:p w14:paraId="38AEE6F8">
            <w:pPr>
              <w:widowControl/>
              <w:ind w:firstLine="0" w:firstLineChars="0"/>
              <w:jc w:val="center"/>
              <w:textAlignment w:val="bottom"/>
              <w:rPr>
                <w:color w:val="000000"/>
                <w:sz w:val="22"/>
              </w:rPr>
            </w:pPr>
            <w:r>
              <w:rPr>
                <w:color w:val="000000"/>
                <w:kern w:val="0"/>
                <w:sz w:val="22"/>
              </w:rPr>
              <w:t>52229.08</w:t>
            </w:r>
          </w:p>
        </w:tc>
        <w:tc>
          <w:tcPr>
            <w:tcW w:w="0" w:type="auto"/>
            <w:tcBorders>
              <w:top w:val="single" w:color="000000" w:sz="4" w:space="0"/>
              <w:left w:val="nil"/>
              <w:bottom w:val="single" w:color="000000" w:sz="4" w:space="0"/>
              <w:right w:val="single" w:color="000000" w:sz="4" w:space="0"/>
            </w:tcBorders>
            <w:noWrap/>
            <w:vAlign w:val="bottom"/>
          </w:tcPr>
          <w:p w14:paraId="28DF7982">
            <w:pPr>
              <w:widowControl/>
              <w:ind w:firstLine="0" w:firstLineChars="0"/>
              <w:jc w:val="center"/>
              <w:textAlignment w:val="bottom"/>
              <w:rPr>
                <w:color w:val="000000"/>
                <w:sz w:val="22"/>
              </w:rPr>
            </w:pPr>
            <w:r>
              <w:rPr>
                <w:color w:val="000000"/>
                <w:kern w:val="0"/>
                <w:sz w:val="22"/>
              </w:rPr>
              <w:t>51187.98</w:t>
            </w:r>
          </w:p>
        </w:tc>
        <w:tc>
          <w:tcPr>
            <w:tcW w:w="0" w:type="auto"/>
            <w:tcBorders>
              <w:top w:val="single" w:color="000000" w:sz="4" w:space="0"/>
              <w:left w:val="nil"/>
              <w:bottom w:val="single" w:color="000000" w:sz="4" w:space="0"/>
              <w:right w:val="single" w:color="000000" w:sz="4" w:space="0"/>
            </w:tcBorders>
            <w:noWrap/>
            <w:vAlign w:val="bottom"/>
          </w:tcPr>
          <w:p w14:paraId="204539A9">
            <w:pPr>
              <w:widowControl/>
              <w:ind w:firstLine="0" w:firstLineChars="0"/>
              <w:jc w:val="center"/>
              <w:textAlignment w:val="bottom"/>
              <w:rPr>
                <w:color w:val="000000"/>
                <w:sz w:val="22"/>
              </w:rPr>
            </w:pPr>
            <w:r>
              <w:rPr>
                <w:color w:val="000000"/>
                <w:kern w:val="0"/>
                <w:sz w:val="22"/>
              </w:rPr>
              <w:t>51101.87</w:t>
            </w:r>
          </w:p>
        </w:tc>
        <w:tc>
          <w:tcPr>
            <w:tcW w:w="0" w:type="auto"/>
            <w:tcBorders>
              <w:top w:val="single" w:color="000000" w:sz="4" w:space="0"/>
              <w:left w:val="nil"/>
              <w:bottom w:val="single" w:color="000000" w:sz="4" w:space="0"/>
              <w:right w:val="single" w:color="000000" w:sz="4" w:space="0"/>
            </w:tcBorders>
            <w:noWrap/>
            <w:vAlign w:val="bottom"/>
          </w:tcPr>
          <w:p w14:paraId="1AC1BC2C">
            <w:pPr>
              <w:widowControl/>
              <w:ind w:firstLine="0" w:firstLineChars="0"/>
              <w:jc w:val="center"/>
              <w:textAlignment w:val="bottom"/>
              <w:rPr>
                <w:color w:val="000000"/>
                <w:sz w:val="22"/>
              </w:rPr>
            </w:pPr>
            <w:r>
              <w:rPr>
                <w:color w:val="000000"/>
                <w:kern w:val="0"/>
                <w:sz w:val="22"/>
              </w:rPr>
              <w:t>52382.22</w:t>
            </w:r>
          </w:p>
        </w:tc>
        <w:tc>
          <w:tcPr>
            <w:tcW w:w="0" w:type="auto"/>
            <w:tcBorders>
              <w:top w:val="single" w:color="000000" w:sz="4" w:space="0"/>
              <w:left w:val="nil"/>
              <w:bottom w:val="single" w:color="000000" w:sz="4" w:space="0"/>
              <w:right w:val="single" w:color="000000" w:sz="4" w:space="0"/>
            </w:tcBorders>
            <w:noWrap/>
            <w:vAlign w:val="bottom"/>
          </w:tcPr>
          <w:p w14:paraId="155CAB2B">
            <w:pPr>
              <w:widowControl/>
              <w:ind w:firstLine="0" w:firstLineChars="0"/>
              <w:jc w:val="center"/>
              <w:textAlignment w:val="bottom"/>
              <w:rPr>
                <w:color w:val="000000"/>
                <w:sz w:val="22"/>
              </w:rPr>
            </w:pPr>
            <w:r>
              <w:rPr>
                <w:color w:val="000000"/>
                <w:kern w:val="0"/>
                <w:sz w:val="22"/>
              </w:rPr>
              <w:t>52975.85</w:t>
            </w:r>
          </w:p>
        </w:tc>
        <w:tc>
          <w:tcPr>
            <w:tcW w:w="0" w:type="auto"/>
            <w:tcBorders>
              <w:top w:val="single" w:color="000000" w:sz="4" w:space="0"/>
              <w:left w:val="nil"/>
              <w:bottom w:val="single" w:color="000000" w:sz="4" w:space="0"/>
              <w:right w:val="single" w:color="000000" w:sz="4" w:space="0"/>
            </w:tcBorders>
            <w:noWrap/>
            <w:vAlign w:val="bottom"/>
          </w:tcPr>
          <w:p w14:paraId="1F1F5987">
            <w:pPr>
              <w:widowControl/>
              <w:ind w:firstLine="0" w:firstLineChars="0"/>
              <w:jc w:val="center"/>
              <w:textAlignment w:val="bottom"/>
              <w:rPr>
                <w:color w:val="000000"/>
                <w:sz w:val="22"/>
              </w:rPr>
            </w:pPr>
            <w:r>
              <w:rPr>
                <w:color w:val="000000"/>
                <w:kern w:val="0"/>
                <w:sz w:val="22"/>
              </w:rPr>
              <w:t>52506.88</w:t>
            </w:r>
          </w:p>
        </w:tc>
        <w:tc>
          <w:tcPr>
            <w:tcW w:w="0" w:type="auto"/>
            <w:tcBorders>
              <w:top w:val="single" w:color="000000" w:sz="4" w:space="0"/>
              <w:left w:val="nil"/>
              <w:bottom w:val="single" w:color="000000" w:sz="4" w:space="0"/>
              <w:right w:val="single" w:color="000000" w:sz="4" w:space="0"/>
            </w:tcBorders>
            <w:noWrap/>
            <w:vAlign w:val="bottom"/>
          </w:tcPr>
          <w:p w14:paraId="10BA5FC5">
            <w:pPr>
              <w:widowControl/>
              <w:ind w:firstLine="0" w:firstLineChars="0"/>
              <w:jc w:val="center"/>
              <w:textAlignment w:val="bottom"/>
              <w:rPr>
                <w:color w:val="000000"/>
                <w:sz w:val="22"/>
              </w:rPr>
            </w:pPr>
            <w:r>
              <w:rPr>
                <w:color w:val="000000"/>
                <w:kern w:val="0"/>
                <w:sz w:val="22"/>
              </w:rPr>
              <w:t>54235.44</w:t>
            </w:r>
          </w:p>
        </w:tc>
        <w:tc>
          <w:tcPr>
            <w:tcW w:w="0" w:type="auto"/>
            <w:tcBorders>
              <w:top w:val="single" w:color="000000" w:sz="4" w:space="0"/>
              <w:left w:val="nil"/>
              <w:bottom w:val="single" w:color="000000" w:sz="4" w:space="0"/>
              <w:right w:val="single" w:color="000000" w:sz="4" w:space="0"/>
            </w:tcBorders>
            <w:noWrap/>
            <w:vAlign w:val="bottom"/>
          </w:tcPr>
          <w:p w14:paraId="58F8C63B">
            <w:pPr>
              <w:widowControl/>
              <w:ind w:firstLine="0" w:firstLineChars="0"/>
              <w:jc w:val="center"/>
              <w:textAlignment w:val="bottom"/>
              <w:rPr>
                <w:color w:val="000000"/>
                <w:sz w:val="22"/>
              </w:rPr>
            </w:pPr>
            <w:r>
              <w:rPr>
                <w:color w:val="000000"/>
                <w:kern w:val="0"/>
                <w:sz w:val="22"/>
              </w:rPr>
              <w:t>52954.05</w:t>
            </w:r>
          </w:p>
        </w:tc>
      </w:tr>
      <w:tr w14:paraId="119EBF76">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C9191A3">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部门碳总排放量</w:t>
            </w:r>
            <w:r>
              <w:rPr>
                <w:rFonts w:eastAsia="仿宋"/>
                <w:color w:val="000000"/>
                <w:kern w:val="0"/>
                <w:sz w:val="20"/>
                <w:szCs w:val="20"/>
              </w:rPr>
              <w:t xml:space="preserve">    Y1-4</w:t>
            </w:r>
          </w:p>
        </w:tc>
        <w:tc>
          <w:tcPr>
            <w:tcW w:w="0" w:type="auto"/>
            <w:tcBorders>
              <w:top w:val="single" w:color="000000" w:sz="4" w:space="0"/>
              <w:left w:val="nil"/>
              <w:bottom w:val="single" w:color="000000" w:sz="4" w:space="0"/>
              <w:right w:val="single" w:color="000000" w:sz="4" w:space="0"/>
            </w:tcBorders>
            <w:noWrap/>
            <w:vAlign w:val="bottom"/>
          </w:tcPr>
          <w:p w14:paraId="278D1B65">
            <w:pPr>
              <w:widowControl/>
              <w:ind w:firstLine="0" w:firstLineChars="0"/>
              <w:jc w:val="center"/>
              <w:textAlignment w:val="bottom"/>
              <w:rPr>
                <w:color w:val="000000"/>
                <w:sz w:val="22"/>
              </w:rPr>
            </w:pPr>
            <w:r>
              <w:rPr>
                <w:color w:val="000000"/>
                <w:kern w:val="0"/>
                <w:sz w:val="22"/>
              </w:rPr>
              <w:t>3068.03</w:t>
            </w:r>
          </w:p>
        </w:tc>
        <w:tc>
          <w:tcPr>
            <w:tcW w:w="0" w:type="auto"/>
            <w:tcBorders>
              <w:top w:val="single" w:color="000000" w:sz="4" w:space="0"/>
              <w:left w:val="nil"/>
              <w:bottom w:val="single" w:color="000000" w:sz="4" w:space="0"/>
              <w:right w:val="single" w:color="000000" w:sz="4" w:space="0"/>
            </w:tcBorders>
            <w:noWrap/>
            <w:vAlign w:val="bottom"/>
          </w:tcPr>
          <w:p w14:paraId="6B60AADC">
            <w:pPr>
              <w:widowControl/>
              <w:ind w:firstLine="0" w:firstLineChars="0"/>
              <w:jc w:val="center"/>
              <w:textAlignment w:val="bottom"/>
              <w:rPr>
                <w:color w:val="000000"/>
                <w:sz w:val="22"/>
              </w:rPr>
            </w:pPr>
            <w:r>
              <w:rPr>
                <w:color w:val="000000"/>
                <w:kern w:val="0"/>
                <w:sz w:val="22"/>
              </w:rPr>
              <w:t>3280.29</w:t>
            </w:r>
          </w:p>
        </w:tc>
        <w:tc>
          <w:tcPr>
            <w:tcW w:w="0" w:type="auto"/>
            <w:tcBorders>
              <w:top w:val="single" w:color="000000" w:sz="4" w:space="0"/>
              <w:left w:val="nil"/>
              <w:bottom w:val="single" w:color="000000" w:sz="4" w:space="0"/>
              <w:right w:val="single" w:color="000000" w:sz="4" w:space="0"/>
            </w:tcBorders>
            <w:noWrap/>
            <w:vAlign w:val="bottom"/>
          </w:tcPr>
          <w:p w14:paraId="7687AA76">
            <w:pPr>
              <w:widowControl/>
              <w:ind w:firstLine="0" w:firstLineChars="0"/>
              <w:jc w:val="center"/>
              <w:textAlignment w:val="bottom"/>
              <w:rPr>
                <w:color w:val="000000"/>
                <w:sz w:val="22"/>
              </w:rPr>
            </w:pPr>
            <w:r>
              <w:rPr>
                <w:color w:val="000000"/>
                <w:kern w:val="0"/>
                <w:sz w:val="22"/>
              </w:rPr>
              <w:t>3561.73</w:t>
            </w:r>
          </w:p>
        </w:tc>
        <w:tc>
          <w:tcPr>
            <w:tcW w:w="0" w:type="auto"/>
            <w:tcBorders>
              <w:top w:val="single" w:color="000000" w:sz="4" w:space="0"/>
              <w:left w:val="nil"/>
              <w:bottom w:val="single" w:color="000000" w:sz="4" w:space="0"/>
              <w:right w:val="single" w:color="000000" w:sz="4" w:space="0"/>
            </w:tcBorders>
            <w:noWrap/>
            <w:vAlign w:val="bottom"/>
          </w:tcPr>
          <w:p w14:paraId="4DA36A7A">
            <w:pPr>
              <w:widowControl/>
              <w:ind w:firstLine="0" w:firstLineChars="0"/>
              <w:jc w:val="center"/>
              <w:textAlignment w:val="bottom"/>
              <w:rPr>
                <w:color w:val="000000"/>
                <w:sz w:val="22"/>
              </w:rPr>
            </w:pPr>
            <w:r>
              <w:rPr>
                <w:color w:val="000000"/>
                <w:kern w:val="0"/>
                <w:sz w:val="22"/>
              </w:rPr>
              <w:t>3847.16</w:t>
            </w:r>
          </w:p>
        </w:tc>
        <w:tc>
          <w:tcPr>
            <w:tcW w:w="0" w:type="auto"/>
            <w:tcBorders>
              <w:top w:val="single" w:color="000000" w:sz="4" w:space="0"/>
              <w:left w:val="nil"/>
              <w:bottom w:val="single" w:color="000000" w:sz="4" w:space="0"/>
              <w:right w:val="single" w:color="000000" w:sz="4" w:space="0"/>
            </w:tcBorders>
            <w:noWrap/>
            <w:vAlign w:val="bottom"/>
          </w:tcPr>
          <w:p w14:paraId="11389CAB">
            <w:pPr>
              <w:widowControl/>
              <w:ind w:firstLine="0" w:firstLineChars="0"/>
              <w:jc w:val="center"/>
              <w:textAlignment w:val="bottom"/>
              <w:rPr>
                <w:color w:val="000000"/>
                <w:sz w:val="22"/>
              </w:rPr>
            </w:pPr>
            <w:r>
              <w:rPr>
                <w:color w:val="000000"/>
                <w:kern w:val="0"/>
                <w:sz w:val="22"/>
              </w:rPr>
              <w:t>4157.35</w:t>
            </w:r>
          </w:p>
        </w:tc>
        <w:tc>
          <w:tcPr>
            <w:tcW w:w="0" w:type="auto"/>
            <w:tcBorders>
              <w:top w:val="single" w:color="000000" w:sz="4" w:space="0"/>
              <w:left w:val="nil"/>
              <w:bottom w:val="single" w:color="000000" w:sz="4" w:space="0"/>
              <w:right w:val="single" w:color="000000" w:sz="4" w:space="0"/>
            </w:tcBorders>
            <w:noWrap/>
            <w:vAlign w:val="bottom"/>
          </w:tcPr>
          <w:p w14:paraId="43DF1780">
            <w:pPr>
              <w:widowControl/>
              <w:ind w:firstLine="0" w:firstLineChars="0"/>
              <w:jc w:val="center"/>
              <w:textAlignment w:val="bottom"/>
              <w:rPr>
                <w:color w:val="000000"/>
                <w:sz w:val="22"/>
              </w:rPr>
            </w:pPr>
            <w:r>
              <w:rPr>
                <w:color w:val="000000"/>
                <w:kern w:val="0"/>
                <w:sz w:val="22"/>
              </w:rPr>
              <w:t>4398.07</w:t>
            </w:r>
          </w:p>
        </w:tc>
        <w:tc>
          <w:tcPr>
            <w:tcW w:w="0" w:type="auto"/>
            <w:tcBorders>
              <w:top w:val="single" w:color="000000" w:sz="4" w:space="0"/>
              <w:left w:val="nil"/>
              <w:bottom w:val="single" w:color="000000" w:sz="4" w:space="0"/>
              <w:right w:val="single" w:color="000000" w:sz="4" w:space="0"/>
            </w:tcBorders>
            <w:noWrap/>
            <w:vAlign w:val="bottom"/>
          </w:tcPr>
          <w:p w14:paraId="609558FF">
            <w:pPr>
              <w:widowControl/>
              <w:ind w:firstLine="0" w:firstLineChars="0"/>
              <w:jc w:val="center"/>
              <w:textAlignment w:val="bottom"/>
              <w:rPr>
                <w:color w:val="000000"/>
                <w:sz w:val="22"/>
              </w:rPr>
            </w:pPr>
            <w:r>
              <w:rPr>
                <w:color w:val="000000"/>
                <w:kern w:val="0"/>
                <w:sz w:val="22"/>
              </w:rPr>
              <w:t>4556.29</w:t>
            </w:r>
          </w:p>
        </w:tc>
        <w:tc>
          <w:tcPr>
            <w:tcW w:w="0" w:type="auto"/>
            <w:tcBorders>
              <w:top w:val="single" w:color="000000" w:sz="4" w:space="0"/>
              <w:left w:val="nil"/>
              <w:bottom w:val="single" w:color="000000" w:sz="4" w:space="0"/>
              <w:right w:val="single" w:color="000000" w:sz="4" w:space="0"/>
            </w:tcBorders>
            <w:noWrap/>
            <w:vAlign w:val="bottom"/>
          </w:tcPr>
          <w:p w14:paraId="5C84241F">
            <w:pPr>
              <w:widowControl/>
              <w:ind w:firstLine="0" w:firstLineChars="0"/>
              <w:jc w:val="center"/>
              <w:textAlignment w:val="bottom"/>
              <w:rPr>
                <w:color w:val="000000"/>
                <w:sz w:val="22"/>
              </w:rPr>
            </w:pPr>
            <w:r>
              <w:rPr>
                <w:color w:val="000000"/>
                <w:kern w:val="0"/>
                <w:sz w:val="22"/>
              </w:rPr>
              <w:t>4826.11</w:t>
            </w:r>
          </w:p>
        </w:tc>
        <w:tc>
          <w:tcPr>
            <w:tcW w:w="0" w:type="auto"/>
            <w:tcBorders>
              <w:top w:val="single" w:color="000000" w:sz="4" w:space="0"/>
              <w:left w:val="nil"/>
              <w:bottom w:val="single" w:color="000000" w:sz="4" w:space="0"/>
              <w:right w:val="single" w:color="000000" w:sz="4" w:space="0"/>
            </w:tcBorders>
            <w:noWrap/>
            <w:vAlign w:val="bottom"/>
          </w:tcPr>
          <w:p w14:paraId="546AB245">
            <w:pPr>
              <w:widowControl/>
              <w:ind w:firstLine="0" w:firstLineChars="0"/>
              <w:jc w:val="center"/>
              <w:textAlignment w:val="bottom"/>
              <w:rPr>
                <w:color w:val="000000"/>
                <w:sz w:val="22"/>
              </w:rPr>
            </w:pPr>
            <w:r>
              <w:rPr>
                <w:color w:val="000000"/>
                <w:kern w:val="0"/>
                <w:sz w:val="22"/>
              </w:rPr>
              <w:t>5125.17</w:t>
            </w:r>
          </w:p>
        </w:tc>
        <w:tc>
          <w:tcPr>
            <w:tcW w:w="0" w:type="auto"/>
            <w:tcBorders>
              <w:top w:val="single" w:color="000000" w:sz="4" w:space="0"/>
              <w:left w:val="nil"/>
              <w:bottom w:val="single" w:color="000000" w:sz="4" w:space="0"/>
              <w:right w:val="single" w:color="000000" w:sz="4" w:space="0"/>
            </w:tcBorders>
            <w:noWrap/>
            <w:vAlign w:val="bottom"/>
          </w:tcPr>
          <w:p w14:paraId="1C45E852">
            <w:pPr>
              <w:widowControl/>
              <w:ind w:firstLine="0" w:firstLineChars="0"/>
              <w:jc w:val="center"/>
              <w:textAlignment w:val="bottom"/>
              <w:rPr>
                <w:color w:val="000000"/>
                <w:sz w:val="22"/>
              </w:rPr>
            </w:pPr>
            <w:r>
              <w:rPr>
                <w:color w:val="000000"/>
                <w:kern w:val="0"/>
                <w:sz w:val="22"/>
              </w:rPr>
              <w:t>5449.65</w:t>
            </w:r>
          </w:p>
        </w:tc>
        <w:tc>
          <w:tcPr>
            <w:tcW w:w="0" w:type="auto"/>
            <w:tcBorders>
              <w:top w:val="single" w:color="000000" w:sz="4" w:space="0"/>
              <w:left w:val="nil"/>
              <w:bottom w:val="single" w:color="000000" w:sz="4" w:space="0"/>
              <w:right w:val="single" w:color="000000" w:sz="4" w:space="0"/>
            </w:tcBorders>
            <w:noWrap/>
            <w:vAlign w:val="bottom"/>
          </w:tcPr>
          <w:p w14:paraId="40EE50CE">
            <w:pPr>
              <w:widowControl/>
              <w:ind w:firstLine="0" w:firstLineChars="0"/>
              <w:jc w:val="center"/>
              <w:textAlignment w:val="bottom"/>
              <w:rPr>
                <w:color w:val="000000"/>
                <w:sz w:val="22"/>
              </w:rPr>
            </w:pPr>
            <w:r>
              <w:rPr>
                <w:color w:val="000000"/>
                <w:kern w:val="0"/>
                <w:sz w:val="22"/>
              </w:rPr>
              <w:t>5456.84</w:t>
            </w:r>
          </w:p>
        </w:tc>
      </w:tr>
      <w:tr w14:paraId="4816A64F">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223D66E">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部门碳总排放量</w:t>
            </w:r>
            <w:r>
              <w:rPr>
                <w:rFonts w:eastAsia="仿宋"/>
                <w:color w:val="000000"/>
                <w:kern w:val="0"/>
                <w:sz w:val="20"/>
                <w:szCs w:val="20"/>
              </w:rPr>
              <w:t xml:space="preserve">    Y1-5</w:t>
            </w:r>
          </w:p>
        </w:tc>
        <w:tc>
          <w:tcPr>
            <w:tcW w:w="0" w:type="auto"/>
            <w:tcBorders>
              <w:top w:val="single" w:color="000000" w:sz="4" w:space="0"/>
              <w:left w:val="nil"/>
              <w:bottom w:val="single" w:color="000000" w:sz="4" w:space="0"/>
              <w:right w:val="single" w:color="000000" w:sz="4" w:space="0"/>
            </w:tcBorders>
            <w:noWrap/>
            <w:vAlign w:val="bottom"/>
          </w:tcPr>
          <w:p w14:paraId="03E5F529">
            <w:pPr>
              <w:widowControl/>
              <w:ind w:firstLine="0" w:firstLineChars="0"/>
              <w:jc w:val="center"/>
              <w:textAlignment w:val="bottom"/>
              <w:rPr>
                <w:color w:val="000000"/>
                <w:sz w:val="22"/>
              </w:rPr>
            </w:pPr>
            <w:r>
              <w:rPr>
                <w:color w:val="000000"/>
                <w:kern w:val="0"/>
                <w:sz w:val="22"/>
              </w:rPr>
              <w:t>2830.25</w:t>
            </w:r>
          </w:p>
        </w:tc>
        <w:tc>
          <w:tcPr>
            <w:tcW w:w="0" w:type="auto"/>
            <w:tcBorders>
              <w:top w:val="single" w:color="000000" w:sz="4" w:space="0"/>
              <w:left w:val="nil"/>
              <w:bottom w:val="single" w:color="000000" w:sz="4" w:space="0"/>
              <w:right w:val="single" w:color="000000" w:sz="4" w:space="0"/>
            </w:tcBorders>
            <w:noWrap/>
            <w:vAlign w:val="bottom"/>
          </w:tcPr>
          <w:p w14:paraId="27FAC60A">
            <w:pPr>
              <w:widowControl/>
              <w:ind w:firstLine="0" w:firstLineChars="0"/>
              <w:jc w:val="center"/>
              <w:textAlignment w:val="bottom"/>
              <w:rPr>
                <w:color w:val="000000"/>
                <w:sz w:val="22"/>
              </w:rPr>
            </w:pPr>
            <w:r>
              <w:rPr>
                <w:color w:val="000000"/>
                <w:kern w:val="0"/>
                <w:sz w:val="22"/>
              </w:rPr>
              <w:t>3304.26</w:t>
            </w:r>
          </w:p>
        </w:tc>
        <w:tc>
          <w:tcPr>
            <w:tcW w:w="0" w:type="auto"/>
            <w:tcBorders>
              <w:top w:val="single" w:color="000000" w:sz="4" w:space="0"/>
              <w:left w:val="nil"/>
              <w:bottom w:val="single" w:color="000000" w:sz="4" w:space="0"/>
              <w:right w:val="single" w:color="000000" w:sz="4" w:space="0"/>
            </w:tcBorders>
            <w:noWrap/>
            <w:vAlign w:val="bottom"/>
          </w:tcPr>
          <w:p w14:paraId="5A8C448C">
            <w:pPr>
              <w:widowControl/>
              <w:ind w:firstLine="0" w:firstLineChars="0"/>
              <w:jc w:val="center"/>
              <w:textAlignment w:val="bottom"/>
              <w:rPr>
                <w:color w:val="000000"/>
                <w:sz w:val="22"/>
              </w:rPr>
            </w:pPr>
            <w:r>
              <w:rPr>
                <w:color w:val="000000"/>
                <w:kern w:val="0"/>
                <w:sz w:val="22"/>
              </w:rPr>
              <w:t>3586.04</w:t>
            </w:r>
          </w:p>
        </w:tc>
        <w:tc>
          <w:tcPr>
            <w:tcW w:w="0" w:type="auto"/>
            <w:tcBorders>
              <w:top w:val="single" w:color="000000" w:sz="4" w:space="0"/>
              <w:left w:val="nil"/>
              <w:bottom w:val="single" w:color="000000" w:sz="4" w:space="0"/>
              <w:right w:val="single" w:color="000000" w:sz="4" w:space="0"/>
            </w:tcBorders>
            <w:noWrap/>
            <w:vAlign w:val="bottom"/>
          </w:tcPr>
          <w:p w14:paraId="522EA3AC">
            <w:pPr>
              <w:widowControl/>
              <w:ind w:firstLine="0" w:firstLineChars="0"/>
              <w:jc w:val="center"/>
              <w:textAlignment w:val="bottom"/>
              <w:rPr>
                <w:color w:val="000000"/>
                <w:sz w:val="22"/>
              </w:rPr>
            </w:pPr>
            <w:r>
              <w:rPr>
                <w:color w:val="000000"/>
                <w:kern w:val="0"/>
                <w:sz w:val="22"/>
              </w:rPr>
              <w:t>3944.32</w:t>
            </w:r>
          </w:p>
        </w:tc>
        <w:tc>
          <w:tcPr>
            <w:tcW w:w="0" w:type="auto"/>
            <w:tcBorders>
              <w:top w:val="single" w:color="000000" w:sz="4" w:space="0"/>
              <w:left w:val="nil"/>
              <w:bottom w:val="single" w:color="000000" w:sz="4" w:space="0"/>
              <w:right w:val="single" w:color="000000" w:sz="4" w:space="0"/>
            </w:tcBorders>
            <w:noWrap/>
            <w:vAlign w:val="bottom"/>
          </w:tcPr>
          <w:p w14:paraId="6249DE24">
            <w:pPr>
              <w:widowControl/>
              <w:ind w:firstLine="0" w:firstLineChars="0"/>
              <w:jc w:val="center"/>
              <w:textAlignment w:val="bottom"/>
              <w:rPr>
                <w:color w:val="000000"/>
                <w:sz w:val="22"/>
              </w:rPr>
            </w:pPr>
            <w:r>
              <w:rPr>
                <w:color w:val="000000"/>
                <w:kern w:val="0"/>
                <w:sz w:val="22"/>
              </w:rPr>
              <w:t>3518.72</w:t>
            </w:r>
          </w:p>
        </w:tc>
        <w:tc>
          <w:tcPr>
            <w:tcW w:w="0" w:type="auto"/>
            <w:tcBorders>
              <w:top w:val="single" w:color="000000" w:sz="4" w:space="0"/>
              <w:left w:val="nil"/>
              <w:bottom w:val="single" w:color="000000" w:sz="4" w:space="0"/>
              <w:right w:val="single" w:color="000000" w:sz="4" w:space="0"/>
            </w:tcBorders>
            <w:noWrap/>
            <w:vAlign w:val="bottom"/>
          </w:tcPr>
          <w:p w14:paraId="46DBF10E">
            <w:pPr>
              <w:widowControl/>
              <w:ind w:firstLine="0" w:firstLineChars="0"/>
              <w:jc w:val="center"/>
              <w:textAlignment w:val="bottom"/>
              <w:rPr>
                <w:color w:val="000000"/>
                <w:sz w:val="22"/>
              </w:rPr>
            </w:pPr>
            <w:r>
              <w:rPr>
                <w:color w:val="000000"/>
                <w:kern w:val="0"/>
                <w:sz w:val="22"/>
              </w:rPr>
              <w:t>3916.46</w:t>
            </w:r>
          </w:p>
        </w:tc>
        <w:tc>
          <w:tcPr>
            <w:tcW w:w="0" w:type="auto"/>
            <w:tcBorders>
              <w:top w:val="single" w:color="000000" w:sz="4" w:space="0"/>
              <w:left w:val="nil"/>
              <w:bottom w:val="single" w:color="000000" w:sz="4" w:space="0"/>
              <w:right w:val="single" w:color="000000" w:sz="4" w:space="0"/>
            </w:tcBorders>
            <w:noWrap/>
            <w:vAlign w:val="bottom"/>
          </w:tcPr>
          <w:p w14:paraId="7EBB8817">
            <w:pPr>
              <w:widowControl/>
              <w:ind w:firstLine="0" w:firstLineChars="0"/>
              <w:jc w:val="center"/>
              <w:textAlignment w:val="bottom"/>
              <w:rPr>
                <w:color w:val="000000"/>
                <w:sz w:val="22"/>
              </w:rPr>
            </w:pPr>
            <w:r>
              <w:rPr>
                <w:color w:val="000000"/>
                <w:kern w:val="0"/>
                <w:sz w:val="22"/>
              </w:rPr>
              <w:t>4244.72</w:t>
            </w:r>
          </w:p>
        </w:tc>
        <w:tc>
          <w:tcPr>
            <w:tcW w:w="0" w:type="auto"/>
            <w:tcBorders>
              <w:top w:val="single" w:color="000000" w:sz="4" w:space="0"/>
              <w:left w:val="nil"/>
              <w:bottom w:val="single" w:color="000000" w:sz="4" w:space="0"/>
              <w:right w:val="single" w:color="000000" w:sz="4" w:space="0"/>
            </w:tcBorders>
            <w:noWrap/>
            <w:vAlign w:val="bottom"/>
          </w:tcPr>
          <w:p w14:paraId="7B60CAAB">
            <w:pPr>
              <w:widowControl/>
              <w:ind w:firstLine="0" w:firstLineChars="0"/>
              <w:jc w:val="center"/>
              <w:textAlignment w:val="bottom"/>
              <w:rPr>
                <w:color w:val="000000"/>
                <w:sz w:val="22"/>
              </w:rPr>
            </w:pPr>
            <w:r>
              <w:rPr>
                <w:color w:val="000000"/>
                <w:kern w:val="0"/>
                <w:sz w:val="22"/>
              </w:rPr>
              <w:t>4697.91</w:t>
            </w:r>
          </w:p>
        </w:tc>
        <w:tc>
          <w:tcPr>
            <w:tcW w:w="0" w:type="auto"/>
            <w:tcBorders>
              <w:top w:val="single" w:color="000000" w:sz="4" w:space="0"/>
              <w:left w:val="nil"/>
              <w:bottom w:val="single" w:color="000000" w:sz="4" w:space="0"/>
              <w:right w:val="single" w:color="000000" w:sz="4" w:space="0"/>
            </w:tcBorders>
            <w:noWrap/>
            <w:vAlign w:val="bottom"/>
          </w:tcPr>
          <w:p w14:paraId="4B4C0D1D">
            <w:pPr>
              <w:widowControl/>
              <w:ind w:firstLine="0" w:firstLineChars="0"/>
              <w:jc w:val="center"/>
              <w:textAlignment w:val="bottom"/>
              <w:rPr>
                <w:color w:val="000000"/>
                <w:sz w:val="22"/>
              </w:rPr>
            </w:pPr>
            <w:r>
              <w:rPr>
                <w:color w:val="000000"/>
                <w:kern w:val="0"/>
                <w:sz w:val="22"/>
              </w:rPr>
              <w:t>5296.95</w:t>
            </w:r>
          </w:p>
        </w:tc>
        <w:tc>
          <w:tcPr>
            <w:tcW w:w="0" w:type="auto"/>
            <w:tcBorders>
              <w:top w:val="single" w:color="000000" w:sz="4" w:space="0"/>
              <w:left w:val="nil"/>
              <w:bottom w:val="single" w:color="000000" w:sz="4" w:space="0"/>
              <w:right w:val="single" w:color="000000" w:sz="4" w:space="0"/>
            </w:tcBorders>
            <w:noWrap/>
            <w:vAlign w:val="bottom"/>
          </w:tcPr>
          <w:p w14:paraId="3F9FE947">
            <w:pPr>
              <w:widowControl/>
              <w:ind w:firstLine="0" w:firstLineChars="0"/>
              <w:jc w:val="center"/>
              <w:textAlignment w:val="bottom"/>
              <w:rPr>
                <w:color w:val="000000"/>
                <w:sz w:val="22"/>
              </w:rPr>
            </w:pPr>
            <w:r>
              <w:rPr>
                <w:color w:val="000000"/>
                <w:kern w:val="0"/>
                <w:sz w:val="22"/>
              </w:rPr>
              <w:t>5701.31</w:t>
            </w:r>
          </w:p>
        </w:tc>
        <w:tc>
          <w:tcPr>
            <w:tcW w:w="0" w:type="auto"/>
            <w:tcBorders>
              <w:top w:val="single" w:color="000000" w:sz="4" w:space="0"/>
              <w:left w:val="nil"/>
              <w:bottom w:val="single" w:color="000000" w:sz="4" w:space="0"/>
              <w:right w:val="single" w:color="000000" w:sz="4" w:space="0"/>
            </w:tcBorders>
            <w:noWrap/>
            <w:vAlign w:val="bottom"/>
          </w:tcPr>
          <w:p w14:paraId="74C5172A">
            <w:pPr>
              <w:widowControl/>
              <w:ind w:firstLine="0" w:firstLineChars="0"/>
              <w:jc w:val="center"/>
              <w:textAlignment w:val="bottom"/>
              <w:rPr>
                <w:color w:val="000000"/>
                <w:sz w:val="22"/>
              </w:rPr>
            </w:pPr>
            <w:r>
              <w:rPr>
                <w:color w:val="000000"/>
                <w:kern w:val="0"/>
                <w:sz w:val="22"/>
              </w:rPr>
              <w:t>5449.19</w:t>
            </w:r>
          </w:p>
        </w:tc>
      </w:tr>
      <w:tr w14:paraId="495D9944">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F70EE0">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部门碳总排放量</w:t>
            </w:r>
            <w:r>
              <w:rPr>
                <w:rFonts w:eastAsia="仿宋"/>
                <w:color w:val="000000"/>
                <w:kern w:val="0"/>
                <w:sz w:val="20"/>
                <w:szCs w:val="20"/>
              </w:rPr>
              <w:t xml:space="preserve">    Y1-6</w:t>
            </w:r>
          </w:p>
        </w:tc>
        <w:tc>
          <w:tcPr>
            <w:tcW w:w="0" w:type="auto"/>
            <w:tcBorders>
              <w:top w:val="single" w:color="000000" w:sz="4" w:space="0"/>
              <w:left w:val="nil"/>
              <w:bottom w:val="single" w:color="000000" w:sz="4" w:space="0"/>
              <w:right w:val="single" w:color="000000" w:sz="4" w:space="0"/>
            </w:tcBorders>
            <w:noWrap/>
            <w:vAlign w:val="bottom"/>
          </w:tcPr>
          <w:p w14:paraId="4C02699C">
            <w:pPr>
              <w:widowControl/>
              <w:ind w:firstLine="0" w:firstLineChars="0"/>
              <w:jc w:val="center"/>
              <w:textAlignment w:val="bottom"/>
              <w:rPr>
                <w:color w:val="000000"/>
                <w:sz w:val="22"/>
              </w:rPr>
            </w:pPr>
            <w:r>
              <w:rPr>
                <w:color w:val="000000"/>
                <w:kern w:val="0"/>
                <w:sz w:val="22"/>
              </w:rPr>
              <w:t>4340.00</w:t>
            </w:r>
          </w:p>
        </w:tc>
        <w:tc>
          <w:tcPr>
            <w:tcW w:w="0" w:type="auto"/>
            <w:tcBorders>
              <w:top w:val="single" w:color="000000" w:sz="4" w:space="0"/>
              <w:left w:val="nil"/>
              <w:bottom w:val="single" w:color="000000" w:sz="4" w:space="0"/>
              <w:right w:val="single" w:color="000000" w:sz="4" w:space="0"/>
            </w:tcBorders>
            <w:noWrap/>
            <w:vAlign w:val="bottom"/>
          </w:tcPr>
          <w:p w14:paraId="139A7565">
            <w:pPr>
              <w:widowControl/>
              <w:ind w:firstLine="0" w:firstLineChars="0"/>
              <w:jc w:val="center"/>
              <w:textAlignment w:val="bottom"/>
              <w:rPr>
                <w:color w:val="000000"/>
                <w:sz w:val="22"/>
              </w:rPr>
            </w:pPr>
            <w:r>
              <w:rPr>
                <w:color w:val="000000"/>
                <w:kern w:val="0"/>
                <w:sz w:val="22"/>
              </w:rPr>
              <w:t>4601.82</w:t>
            </w:r>
          </w:p>
        </w:tc>
        <w:tc>
          <w:tcPr>
            <w:tcW w:w="0" w:type="auto"/>
            <w:tcBorders>
              <w:top w:val="single" w:color="000000" w:sz="4" w:space="0"/>
              <w:left w:val="nil"/>
              <w:bottom w:val="single" w:color="000000" w:sz="4" w:space="0"/>
              <w:right w:val="single" w:color="000000" w:sz="4" w:space="0"/>
            </w:tcBorders>
            <w:noWrap/>
            <w:vAlign w:val="bottom"/>
          </w:tcPr>
          <w:p w14:paraId="27965080">
            <w:pPr>
              <w:widowControl/>
              <w:ind w:firstLine="0" w:firstLineChars="0"/>
              <w:jc w:val="center"/>
              <w:textAlignment w:val="bottom"/>
              <w:rPr>
                <w:color w:val="000000"/>
                <w:sz w:val="22"/>
              </w:rPr>
            </w:pPr>
            <w:r>
              <w:rPr>
                <w:color w:val="000000"/>
                <w:kern w:val="0"/>
                <w:sz w:val="22"/>
              </w:rPr>
              <w:t>5141.28</w:t>
            </w:r>
          </w:p>
        </w:tc>
        <w:tc>
          <w:tcPr>
            <w:tcW w:w="0" w:type="auto"/>
            <w:tcBorders>
              <w:top w:val="single" w:color="000000" w:sz="4" w:space="0"/>
              <w:left w:val="nil"/>
              <w:bottom w:val="single" w:color="000000" w:sz="4" w:space="0"/>
              <w:right w:val="single" w:color="000000" w:sz="4" w:space="0"/>
            </w:tcBorders>
            <w:noWrap/>
            <w:vAlign w:val="bottom"/>
          </w:tcPr>
          <w:p w14:paraId="4C9B09CD">
            <w:pPr>
              <w:widowControl/>
              <w:ind w:firstLine="0" w:firstLineChars="0"/>
              <w:jc w:val="center"/>
              <w:textAlignment w:val="bottom"/>
              <w:rPr>
                <w:color w:val="000000"/>
                <w:sz w:val="22"/>
              </w:rPr>
            </w:pPr>
            <w:r>
              <w:rPr>
                <w:color w:val="000000"/>
                <w:kern w:val="0"/>
                <w:sz w:val="22"/>
              </w:rPr>
              <w:t>5721.34</w:t>
            </w:r>
          </w:p>
        </w:tc>
        <w:tc>
          <w:tcPr>
            <w:tcW w:w="0" w:type="auto"/>
            <w:tcBorders>
              <w:top w:val="single" w:color="000000" w:sz="4" w:space="0"/>
              <w:left w:val="nil"/>
              <w:bottom w:val="single" w:color="000000" w:sz="4" w:space="0"/>
              <w:right w:val="single" w:color="000000" w:sz="4" w:space="0"/>
            </w:tcBorders>
            <w:noWrap/>
            <w:vAlign w:val="bottom"/>
          </w:tcPr>
          <w:p w14:paraId="72D3EC5D">
            <w:pPr>
              <w:widowControl/>
              <w:ind w:firstLine="0" w:firstLineChars="0"/>
              <w:jc w:val="center"/>
              <w:textAlignment w:val="bottom"/>
              <w:rPr>
                <w:color w:val="000000"/>
                <w:sz w:val="22"/>
              </w:rPr>
            </w:pPr>
            <w:r>
              <w:rPr>
                <w:color w:val="000000"/>
                <w:kern w:val="0"/>
                <w:sz w:val="22"/>
              </w:rPr>
              <w:t>4968.37</w:t>
            </w:r>
          </w:p>
        </w:tc>
        <w:tc>
          <w:tcPr>
            <w:tcW w:w="0" w:type="auto"/>
            <w:tcBorders>
              <w:top w:val="single" w:color="000000" w:sz="4" w:space="0"/>
              <w:left w:val="nil"/>
              <w:bottom w:val="single" w:color="000000" w:sz="4" w:space="0"/>
              <w:right w:val="single" w:color="000000" w:sz="4" w:space="0"/>
            </w:tcBorders>
            <w:noWrap/>
            <w:vAlign w:val="bottom"/>
          </w:tcPr>
          <w:p w14:paraId="471FA565">
            <w:pPr>
              <w:widowControl/>
              <w:ind w:firstLine="0" w:firstLineChars="0"/>
              <w:jc w:val="center"/>
              <w:textAlignment w:val="bottom"/>
              <w:rPr>
                <w:color w:val="000000"/>
                <w:sz w:val="22"/>
              </w:rPr>
            </w:pPr>
            <w:r>
              <w:rPr>
                <w:color w:val="000000"/>
                <w:kern w:val="0"/>
                <w:sz w:val="22"/>
              </w:rPr>
              <w:t>5495.89</w:t>
            </w:r>
          </w:p>
        </w:tc>
        <w:tc>
          <w:tcPr>
            <w:tcW w:w="0" w:type="auto"/>
            <w:tcBorders>
              <w:top w:val="single" w:color="000000" w:sz="4" w:space="0"/>
              <w:left w:val="nil"/>
              <w:bottom w:val="single" w:color="000000" w:sz="4" w:space="0"/>
              <w:right w:val="single" w:color="000000" w:sz="4" w:space="0"/>
            </w:tcBorders>
            <w:noWrap/>
            <w:vAlign w:val="bottom"/>
          </w:tcPr>
          <w:p w14:paraId="2418E60A">
            <w:pPr>
              <w:widowControl/>
              <w:ind w:firstLine="0" w:firstLineChars="0"/>
              <w:jc w:val="center"/>
              <w:textAlignment w:val="bottom"/>
              <w:rPr>
                <w:color w:val="000000"/>
                <w:sz w:val="22"/>
              </w:rPr>
            </w:pPr>
            <w:r>
              <w:rPr>
                <w:color w:val="000000"/>
                <w:kern w:val="0"/>
                <w:sz w:val="22"/>
              </w:rPr>
              <w:t>6131.85</w:t>
            </w:r>
          </w:p>
        </w:tc>
        <w:tc>
          <w:tcPr>
            <w:tcW w:w="0" w:type="auto"/>
            <w:tcBorders>
              <w:top w:val="single" w:color="000000" w:sz="4" w:space="0"/>
              <w:left w:val="nil"/>
              <w:bottom w:val="single" w:color="000000" w:sz="4" w:space="0"/>
              <w:right w:val="single" w:color="000000" w:sz="4" w:space="0"/>
            </w:tcBorders>
            <w:noWrap/>
            <w:vAlign w:val="bottom"/>
          </w:tcPr>
          <w:p w14:paraId="6A3DD902">
            <w:pPr>
              <w:widowControl/>
              <w:ind w:firstLine="0" w:firstLineChars="0"/>
              <w:jc w:val="center"/>
              <w:textAlignment w:val="bottom"/>
              <w:rPr>
                <w:color w:val="000000"/>
                <w:sz w:val="22"/>
              </w:rPr>
            </w:pPr>
            <w:r>
              <w:rPr>
                <w:color w:val="000000"/>
                <w:kern w:val="0"/>
                <w:sz w:val="22"/>
              </w:rPr>
              <w:t>6706.67</w:t>
            </w:r>
          </w:p>
        </w:tc>
        <w:tc>
          <w:tcPr>
            <w:tcW w:w="0" w:type="auto"/>
            <w:tcBorders>
              <w:top w:val="single" w:color="000000" w:sz="4" w:space="0"/>
              <w:left w:val="nil"/>
              <w:bottom w:val="single" w:color="000000" w:sz="4" w:space="0"/>
              <w:right w:val="single" w:color="000000" w:sz="4" w:space="0"/>
            </w:tcBorders>
            <w:noWrap/>
            <w:vAlign w:val="bottom"/>
          </w:tcPr>
          <w:p w14:paraId="61BB1796">
            <w:pPr>
              <w:widowControl/>
              <w:ind w:firstLine="0" w:firstLineChars="0"/>
              <w:jc w:val="center"/>
              <w:textAlignment w:val="bottom"/>
              <w:rPr>
                <w:color w:val="000000"/>
                <w:sz w:val="22"/>
              </w:rPr>
            </w:pPr>
            <w:r>
              <w:rPr>
                <w:color w:val="000000"/>
                <w:kern w:val="0"/>
                <w:sz w:val="22"/>
              </w:rPr>
              <w:t>7277.52</w:t>
            </w:r>
          </w:p>
        </w:tc>
        <w:tc>
          <w:tcPr>
            <w:tcW w:w="0" w:type="auto"/>
            <w:tcBorders>
              <w:top w:val="single" w:color="000000" w:sz="4" w:space="0"/>
              <w:left w:val="nil"/>
              <w:bottom w:val="single" w:color="000000" w:sz="4" w:space="0"/>
              <w:right w:val="single" w:color="000000" w:sz="4" w:space="0"/>
            </w:tcBorders>
            <w:noWrap/>
            <w:vAlign w:val="bottom"/>
          </w:tcPr>
          <w:p w14:paraId="6184CAFA">
            <w:pPr>
              <w:widowControl/>
              <w:ind w:firstLine="0" w:firstLineChars="0"/>
              <w:jc w:val="center"/>
              <w:textAlignment w:val="bottom"/>
              <w:rPr>
                <w:color w:val="000000"/>
                <w:sz w:val="22"/>
              </w:rPr>
            </w:pPr>
            <w:r>
              <w:rPr>
                <w:color w:val="000000"/>
                <w:kern w:val="0"/>
                <w:sz w:val="22"/>
              </w:rPr>
              <w:t>7431.55</w:t>
            </w:r>
          </w:p>
        </w:tc>
        <w:tc>
          <w:tcPr>
            <w:tcW w:w="0" w:type="auto"/>
            <w:tcBorders>
              <w:top w:val="single" w:color="000000" w:sz="4" w:space="0"/>
              <w:left w:val="nil"/>
              <w:bottom w:val="single" w:color="000000" w:sz="4" w:space="0"/>
              <w:right w:val="single" w:color="000000" w:sz="4" w:space="0"/>
            </w:tcBorders>
            <w:noWrap/>
            <w:vAlign w:val="bottom"/>
          </w:tcPr>
          <w:p w14:paraId="3E6BD1D4">
            <w:pPr>
              <w:widowControl/>
              <w:ind w:firstLine="0" w:firstLineChars="0"/>
              <w:jc w:val="center"/>
              <w:textAlignment w:val="bottom"/>
              <w:rPr>
                <w:color w:val="000000"/>
                <w:sz w:val="22"/>
              </w:rPr>
            </w:pPr>
            <w:r>
              <w:rPr>
                <w:color w:val="000000"/>
                <w:kern w:val="0"/>
                <w:sz w:val="22"/>
              </w:rPr>
              <w:t>7534.49</w:t>
            </w:r>
          </w:p>
        </w:tc>
      </w:tr>
      <w:tr w14:paraId="68C2D0AB">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bottom"/>
          </w:tcPr>
          <w:p w14:paraId="26CDAB15">
            <w:pPr>
              <w:widowControl/>
              <w:ind w:firstLine="0" w:firstLineChars="0"/>
              <w:jc w:val="center"/>
              <w:textAlignment w:val="bottom"/>
              <w:rPr>
                <w:rFonts w:eastAsia="仿宋"/>
                <w:color w:val="000000"/>
                <w:sz w:val="20"/>
                <w:szCs w:val="20"/>
              </w:rPr>
            </w:pPr>
            <w:r>
              <w:rPr>
                <w:rFonts w:ascii="仿宋" w:hAnsi="仿宋" w:eastAsia="仿宋"/>
                <w:color w:val="000000"/>
                <w:kern w:val="0"/>
                <w:sz w:val="20"/>
                <w:szCs w:val="20"/>
              </w:rPr>
              <w:t>总体碳排放量</w:t>
            </w:r>
            <w:r>
              <w:rPr>
                <w:rFonts w:eastAsia="仿宋"/>
                <w:color w:val="000000"/>
                <w:kern w:val="0"/>
                <w:sz w:val="20"/>
                <w:szCs w:val="20"/>
              </w:rPr>
              <w:t xml:space="preserve">  Y2</w:t>
            </w:r>
          </w:p>
        </w:tc>
        <w:tc>
          <w:tcPr>
            <w:tcW w:w="0" w:type="auto"/>
            <w:tcBorders>
              <w:top w:val="single" w:color="000000" w:sz="4" w:space="0"/>
              <w:left w:val="nil"/>
              <w:bottom w:val="single" w:color="000000" w:sz="4" w:space="0"/>
              <w:right w:val="single" w:color="000000" w:sz="4" w:space="0"/>
            </w:tcBorders>
            <w:noWrap/>
            <w:vAlign w:val="bottom"/>
          </w:tcPr>
          <w:p w14:paraId="3B291541">
            <w:pPr>
              <w:widowControl/>
              <w:ind w:firstLine="0" w:firstLineChars="0"/>
              <w:jc w:val="center"/>
              <w:textAlignment w:val="bottom"/>
              <w:rPr>
                <w:color w:val="000000"/>
                <w:sz w:val="22"/>
              </w:rPr>
            </w:pPr>
            <w:r>
              <w:rPr>
                <w:color w:val="000000"/>
                <w:kern w:val="0"/>
                <w:sz w:val="22"/>
              </w:rPr>
              <w:t>148519.48</w:t>
            </w:r>
          </w:p>
        </w:tc>
        <w:tc>
          <w:tcPr>
            <w:tcW w:w="0" w:type="auto"/>
            <w:tcBorders>
              <w:top w:val="single" w:color="000000" w:sz="4" w:space="0"/>
              <w:left w:val="nil"/>
              <w:bottom w:val="single" w:color="000000" w:sz="4" w:space="0"/>
              <w:right w:val="single" w:color="000000" w:sz="4" w:space="0"/>
            </w:tcBorders>
            <w:noWrap/>
            <w:vAlign w:val="bottom"/>
          </w:tcPr>
          <w:p w14:paraId="3221232D">
            <w:pPr>
              <w:widowControl/>
              <w:ind w:firstLine="0" w:firstLineChars="0"/>
              <w:jc w:val="center"/>
              <w:textAlignment w:val="bottom"/>
              <w:rPr>
                <w:color w:val="000000"/>
                <w:sz w:val="22"/>
              </w:rPr>
            </w:pPr>
            <w:r>
              <w:rPr>
                <w:color w:val="000000"/>
                <w:kern w:val="0"/>
                <w:sz w:val="22"/>
              </w:rPr>
              <w:t>170612.81</w:t>
            </w:r>
          </w:p>
        </w:tc>
        <w:tc>
          <w:tcPr>
            <w:tcW w:w="0" w:type="auto"/>
            <w:tcBorders>
              <w:top w:val="single" w:color="000000" w:sz="4" w:space="0"/>
              <w:left w:val="nil"/>
              <w:bottom w:val="single" w:color="000000" w:sz="4" w:space="0"/>
              <w:right w:val="single" w:color="000000" w:sz="4" w:space="0"/>
            </w:tcBorders>
            <w:noWrap/>
            <w:vAlign w:val="bottom"/>
          </w:tcPr>
          <w:p w14:paraId="3C4F308B">
            <w:pPr>
              <w:widowControl/>
              <w:ind w:firstLine="0" w:firstLineChars="0"/>
              <w:jc w:val="center"/>
              <w:textAlignment w:val="bottom"/>
              <w:rPr>
                <w:color w:val="000000"/>
                <w:sz w:val="22"/>
              </w:rPr>
            </w:pPr>
            <w:r>
              <w:rPr>
                <w:color w:val="000000"/>
                <w:kern w:val="0"/>
                <w:sz w:val="22"/>
              </w:rPr>
              <w:t>170368.88</w:t>
            </w:r>
          </w:p>
        </w:tc>
        <w:tc>
          <w:tcPr>
            <w:tcW w:w="0" w:type="auto"/>
            <w:tcBorders>
              <w:top w:val="single" w:color="000000" w:sz="4" w:space="0"/>
              <w:left w:val="nil"/>
              <w:bottom w:val="single" w:color="000000" w:sz="4" w:space="0"/>
              <w:right w:val="single" w:color="000000" w:sz="4" w:space="0"/>
            </w:tcBorders>
            <w:noWrap/>
            <w:vAlign w:val="bottom"/>
          </w:tcPr>
          <w:p w14:paraId="45060B01">
            <w:pPr>
              <w:widowControl/>
              <w:ind w:firstLine="0" w:firstLineChars="0"/>
              <w:jc w:val="center"/>
              <w:textAlignment w:val="bottom"/>
              <w:rPr>
                <w:color w:val="000000"/>
                <w:sz w:val="22"/>
              </w:rPr>
            </w:pPr>
            <w:r>
              <w:rPr>
                <w:color w:val="000000"/>
                <w:kern w:val="0"/>
                <w:sz w:val="22"/>
              </w:rPr>
              <w:t>177959.30</w:t>
            </w:r>
          </w:p>
        </w:tc>
        <w:tc>
          <w:tcPr>
            <w:tcW w:w="0" w:type="auto"/>
            <w:tcBorders>
              <w:top w:val="single" w:color="000000" w:sz="4" w:space="0"/>
              <w:left w:val="nil"/>
              <w:bottom w:val="single" w:color="000000" w:sz="4" w:space="0"/>
              <w:right w:val="single" w:color="000000" w:sz="4" w:space="0"/>
            </w:tcBorders>
            <w:noWrap/>
            <w:vAlign w:val="bottom"/>
          </w:tcPr>
          <w:p w14:paraId="13E0FC48">
            <w:pPr>
              <w:widowControl/>
              <w:ind w:firstLine="0" w:firstLineChars="0"/>
              <w:jc w:val="center"/>
              <w:textAlignment w:val="bottom"/>
              <w:rPr>
                <w:color w:val="000000"/>
                <w:sz w:val="22"/>
              </w:rPr>
            </w:pPr>
            <w:r>
              <w:rPr>
                <w:color w:val="000000"/>
                <w:kern w:val="0"/>
                <w:sz w:val="22"/>
              </w:rPr>
              <w:t>169612.44</w:t>
            </w:r>
          </w:p>
        </w:tc>
        <w:tc>
          <w:tcPr>
            <w:tcW w:w="0" w:type="auto"/>
            <w:tcBorders>
              <w:top w:val="single" w:color="000000" w:sz="4" w:space="0"/>
              <w:left w:val="nil"/>
              <w:bottom w:val="single" w:color="000000" w:sz="4" w:space="0"/>
              <w:right w:val="single" w:color="000000" w:sz="4" w:space="0"/>
            </w:tcBorders>
            <w:noWrap/>
            <w:vAlign w:val="bottom"/>
          </w:tcPr>
          <w:p w14:paraId="393B249B">
            <w:pPr>
              <w:widowControl/>
              <w:ind w:firstLine="0" w:firstLineChars="0"/>
              <w:jc w:val="center"/>
              <w:textAlignment w:val="bottom"/>
              <w:rPr>
                <w:color w:val="000000"/>
                <w:sz w:val="22"/>
              </w:rPr>
            </w:pPr>
            <w:r>
              <w:rPr>
                <w:color w:val="000000"/>
                <w:kern w:val="0"/>
                <w:sz w:val="22"/>
              </w:rPr>
              <w:t>172435.66</w:t>
            </w:r>
          </w:p>
        </w:tc>
        <w:tc>
          <w:tcPr>
            <w:tcW w:w="0" w:type="auto"/>
            <w:tcBorders>
              <w:top w:val="single" w:color="000000" w:sz="4" w:space="0"/>
              <w:left w:val="nil"/>
              <w:bottom w:val="single" w:color="000000" w:sz="4" w:space="0"/>
              <w:right w:val="single" w:color="000000" w:sz="4" w:space="0"/>
            </w:tcBorders>
            <w:noWrap/>
            <w:vAlign w:val="bottom"/>
          </w:tcPr>
          <w:p w14:paraId="2CF82EF8">
            <w:pPr>
              <w:widowControl/>
              <w:ind w:firstLine="0" w:firstLineChars="0"/>
              <w:jc w:val="center"/>
              <w:textAlignment w:val="bottom"/>
              <w:rPr>
                <w:color w:val="000000"/>
                <w:sz w:val="22"/>
              </w:rPr>
            </w:pPr>
            <w:r>
              <w:rPr>
                <w:color w:val="000000"/>
                <w:kern w:val="0"/>
                <w:sz w:val="22"/>
              </w:rPr>
              <w:t>176649.83</w:t>
            </w:r>
          </w:p>
        </w:tc>
        <w:tc>
          <w:tcPr>
            <w:tcW w:w="0" w:type="auto"/>
            <w:tcBorders>
              <w:top w:val="single" w:color="000000" w:sz="4" w:space="0"/>
              <w:left w:val="nil"/>
              <w:bottom w:val="single" w:color="000000" w:sz="4" w:space="0"/>
              <w:right w:val="single" w:color="000000" w:sz="4" w:space="0"/>
            </w:tcBorders>
            <w:noWrap/>
            <w:vAlign w:val="bottom"/>
          </w:tcPr>
          <w:p w14:paraId="482E9FB5">
            <w:pPr>
              <w:widowControl/>
              <w:ind w:firstLine="0" w:firstLineChars="0"/>
              <w:jc w:val="center"/>
              <w:textAlignment w:val="bottom"/>
              <w:rPr>
                <w:color w:val="000000"/>
                <w:sz w:val="22"/>
              </w:rPr>
            </w:pPr>
            <w:r>
              <w:rPr>
                <w:color w:val="000000"/>
                <w:kern w:val="0"/>
                <w:sz w:val="22"/>
              </w:rPr>
              <w:t>174572.31</w:t>
            </w:r>
          </w:p>
        </w:tc>
        <w:tc>
          <w:tcPr>
            <w:tcW w:w="0" w:type="auto"/>
            <w:tcBorders>
              <w:top w:val="single" w:color="000000" w:sz="4" w:space="0"/>
              <w:left w:val="nil"/>
              <w:bottom w:val="single" w:color="000000" w:sz="4" w:space="0"/>
              <w:right w:val="single" w:color="000000" w:sz="4" w:space="0"/>
            </w:tcBorders>
            <w:noWrap/>
            <w:vAlign w:val="bottom"/>
          </w:tcPr>
          <w:p w14:paraId="3FB1C4C3">
            <w:pPr>
              <w:widowControl/>
              <w:ind w:firstLine="0" w:firstLineChars="0"/>
              <w:jc w:val="center"/>
              <w:textAlignment w:val="bottom"/>
              <w:rPr>
                <w:color w:val="000000"/>
                <w:sz w:val="22"/>
              </w:rPr>
            </w:pPr>
            <w:r>
              <w:rPr>
                <w:color w:val="000000"/>
                <w:kern w:val="0"/>
                <w:sz w:val="22"/>
              </w:rPr>
              <w:t>175016.69</w:t>
            </w:r>
          </w:p>
        </w:tc>
        <w:tc>
          <w:tcPr>
            <w:tcW w:w="0" w:type="auto"/>
            <w:tcBorders>
              <w:top w:val="single" w:color="000000" w:sz="4" w:space="0"/>
              <w:left w:val="nil"/>
              <w:bottom w:val="single" w:color="000000" w:sz="4" w:space="0"/>
              <w:right w:val="single" w:color="000000" w:sz="4" w:space="0"/>
            </w:tcBorders>
            <w:noWrap/>
            <w:vAlign w:val="bottom"/>
          </w:tcPr>
          <w:p w14:paraId="21D636CC">
            <w:pPr>
              <w:widowControl/>
              <w:ind w:firstLine="0" w:firstLineChars="0"/>
              <w:jc w:val="center"/>
              <w:textAlignment w:val="bottom"/>
              <w:rPr>
                <w:color w:val="000000"/>
                <w:sz w:val="22"/>
              </w:rPr>
            </w:pPr>
            <w:r>
              <w:rPr>
                <w:color w:val="000000"/>
                <w:kern w:val="0"/>
                <w:sz w:val="22"/>
              </w:rPr>
              <w:t>184015.68</w:t>
            </w:r>
          </w:p>
        </w:tc>
        <w:tc>
          <w:tcPr>
            <w:tcW w:w="0" w:type="auto"/>
            <w:tcBorders>
              <w:top w:val="single" w:color="000000" w:sz="4" w:space="0"/>
              <w:left w:val="nil"/>
              <w:bottom w:val="single" w:color="000000" w:sz="4" w:space="0"/>
              <w:right w:val="single" w:color="000000" w:sz="4" w:space="0"/>
            </w:tcBorders>
            <w:noWrap/>
            <w:vAlign w:val="bottom"/>
          </w:tcPr>
          <w:p w14:paraId="3200EE4D">
            <w:pPr>
              <w:widowControl/>
              <w:ind w:firstLine="0" w:firstLineChars="0"/>
              <w:jc w:val="center"/>
              <w:textAlignment w:val="bottom"/>
              <w:rPr>
                <w:color w:val="000000"/>
                <w:sz w:val="22"/>
              </w:rPr>
            </w:pPr>
            <w:r>
              <w:rPr>
                <w:color w:val="000000"/>
                <w:kern w:val="0"/>
                <w:sz w:val="22"/>
              </w:rPr>
              <w:t>177221.49</w:t>
            </w:r>
          </w:p>
        </w:tc>
      </w:tr>
      <w:tr w14:paraId="72AB95ED">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4CC2204">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部门碳排放量增长率</w:t>
            </w:r>
            <w:r>
              <w:rPr>
                <w:rFonts w:eastAsia="仿宋"/>
                <w:color w:val="000000"/>
                <w:kern w:val="0"/>
                <w:sz w:val="20"/>
                <w:szCs w:val="20"/>
              </w:rPr>
              <w:t xml:space="preserve">    Y3-1</w:t>
            </w:r>
          </w:p>
        </w:tc>
        <w:tc>
          <w:tcPr>
            <w:tcW w:w="0" w:type="auto"/>
            <w:tcBorders>
              <w:top w:val="single" w:color="000000" w:sz="4" w:space="0"/>
              <w:left w:val="nil"/>
              <w:bottom w:val="single" w:color="000000" w:sz="4" w:space="0"/>
              <w:right w:val="single" w:color="000000" w:sz="4" w:space="0"/>
            </w:tcBorders>
            <w:noWrap/>
            <w:vAlign w:val="bottom"/>
          </w:tcPr>
          <w:p w14:paraId="7641AA86">
            <w:pPr>
              <w:ind w:firstLine="0" w:firstLineChars="0"/>
              <w:rPr>
                <w:color w:val="000000"/>
                <w:sz w:val="22"/>
              </w:rPr>
            </w:pPr>
          </w:p>
        </w:tc>
        <w:tc>
          <w:tcPr>
            <w:tcW w:w="0" w:type="auto"/>
            <w:tcBorders>
              <w:top w:val="single" w:color="000000" w:sz="4" w:space="0"/>
              <w:left w:val="nil"/>
              <w:bottom w:val="single" w:color="000000" w:sz="4" w:space="0"/>
              <w:right w:val="single" w:color="000000" w:sz="4" w:space="0"/>
            </w:tcBorders>
            <w:noWrap/>
            <w:vAlign w:val="center"/>
          </w:tcPr>
          <w:p w14:paraId="5037C3ED">
            <w:pPr>
              <w:widowControl/>
              <w:ind w:firstLine="0" w:firstLineChars="0"/>
              <w:jc w:val="center"/>
              <w:textAlignment w:val="center"/>
              <w:rPr>
                <w:color w:val="000000"/>
                <w:sz w:val="22"/>
              </w:rPr>
            </w:pPr>
            <w:r>
              <w:rPr>
                <w:color w:val="000000"/>
                <w:kern w:val="0"/>
                <w:sz w:val="22"/>
              </w:rPr>
              <w:t>15.08%</w:t>
            </w:r>
          </w:p>
        </w:tc>
        <w:tc>
          <w:tcPr>
            <w:tcW w:w="0" w:type="auto"/>
            <w:tcBorders>
              <w:top w:val="single" w:color="000000" w:sz="4" w:space="0"/>
              <w:left w:val="nil"/>
              <w:bottom w:val="single" w:color="000000" w:sz="4" w:space="0"/>
              <w:right w:val="single" w:color="000000" w:sz="4" w:space="0"/>
            </w:tcBorders>
            <w:noWrap/>
            <w:vAlign w:val="center"/>
          </w:tcPr>
          <w:p w14:paraId="06642EA6">
            <w:pPr>
              <w:widowControl/>
              <w:ind w:firstLine="0" w:firstLineChars="0"/>
              <w:jc w:val="center"/>
              <w:textAlignment w:val="center"/>
              <w:rPr>
                <w:color w:val="000000"/>
                <w:sz w:val="22"/>
              </w:rPr>
            </w:pPr>
            <w:r>
              <w:rPr>
                <w:color w:val="000000"/>
                <w:kern w:val="0"/>
                <w:sz w:val="22"/>
              </w:rPr>
              <w:t>13.00%</w:t>
            </w:r>
          </w:p>
        </w:tc>
        <w:tc>
          <w:tcPr>
            <w:tcW w:w="0" w:type="auto"/>
            <w:tcBorders>
              <w:top w:val="single" w:color="000000" w:sz="4" w:space="0"/>
              <w:left w:val="nil"/>
              <w:bottom w:val="single" w:color="000000" w:sz="4" w:space="0"/>
              <w:right w:val="single" w:color="000000" w:sz="4" w:space="0"/>
            </w:tcBorders>
            <w:noWrap/>
            <w:vAlign w:val="center"/>
          </w:tcPr>
          <w:p w14:paraId="4C5E37B9">
            <w:pPr>
              <w:widowControl/>
              <w:ind w:firstLine="0" w:firstLineChars="0"/>
              <w:jc w:val="center"/>
              <w:textAlignment w:val="center"/>
              <w:rPr>
                <w:color w:val="000000"/>
                <w:sz w:val="22"/>
              </w:rPr>
            </w:pPr>
            <w:r>
              <w:rPr>
                <w:color w:val="000000"/>
                <w:kern w:val="0"/>
                <w:sz w:val="22"/>
              </w:rPr>
              <w:t>-13.54%</w:t>
            </w:r>
          </w:p>
        </w:tc>
        <w:tc>
          <w:tcPr>
            <w:tcW w:w="0" w:type="auto"/>
            <w:tcBorders>
              <w:top w:val="single" w:color="000000" w:sz="4" w:space="0"/>
              <w:left w:val="nil"/>
              <w:bottom w:val="single" w:color="000000" w:sz="4" w:space="0"/>
              <w:right w:val="single" w:color="000000" w:sz="4" w:space="0"/>
            </w:tcBorders>
            <w:noWrap/>
            <w:vAlign w:val="center"/>
          </w:tcPr>
          <w:p w14:paraId="558C8E7F">
            <w:pPr>
              <w:widowControl/>
              <w:ind w:firstLine="0" w:firstLineChars="0"/>
              <w:jc w:val="center"/>
              <w:textAlignment w:val="center"/>
              <w:rPr>
                <w:color w:val="000000"/>
                <w:sz w:val="22"/>
              </w:rPr>
            </w:pPr>
            <w:r>
              <w:rPr>
                <w:color w:val="000000"/>
                <w:kern w:val="0"/>
                <w:sz w:val="22"/>
              </w:rPr>
              <w:t>1.33%</w:t>
            </w:r>
          </w:p>
        </w:tc>
        <w:tc>
          <w:tcPr>
            <w:tcW w:w="0" w:type="auto"/>
            <w:tcBorders>
              <w:top w:val="single" w:color="000000" w:sz="4" w:space="0"/>
              <w:left w:val="nil"/>
              <w:bottom w:val="single" w:color="000000" w:sz="4" w:space="0"/>
              <w:right w:val="single" w:color="000000" w:sz="4" w:space="0"/>
            </w:tcBorders>
            <w:noWrap/>
            <w:vAlign w:val="center"/>
          </w:tcPr>
          <w:p w14:paraId="0C437342">
            <w:pPr>
              <w:widowControl/>
              <w:ind w:firstLine="0" w:firstLineChars="0"/>
              <w:jc w:val="center"/>
              <w:textAlignment w:val="center"/>
              <w:rPr>
                <w:color w:val="000000"/>
                <w:sz w:val="22"/>
              </w:rPr>
            </w:pPr>
            <w:r>
              <w:rPr>
                <w:color w:val="000000"/>
                <w:kern w:val="0"/>
                <w:sz w:val="22"/>
              </w:rPr>
              <w:t>13.88%</w:t>
            </w:r>
          </w:p>
        </w:tc>
        <w:tc>
          <w:tcPr>
            <w:tcW w:w="0" w:type="auto"/>
            <w:tcBorders>
              <w:top w:val="single" w:color="000000" w:sz="4" w:space="0"/>
              <w:left w:val="nil"/>
              <w:bottom w:val="single" w:color="000000" w:sz="4" w:space="0"/>
              <w:right w:val="single" w:color="000000" w:sz="4" w:space="0"/>
            </w:tcBorders>
            <w:noWrap/>
            <w:vAlign w:val="center"/>
          </w:tcPr>
          <w:p w14:paraId="12A96BA5">
            <w:pPr>
              <w:widowControl/>
              <w:ind w:firstLine="0" w:firstLineChars="0"/>
              <w:jc w:val="center"/>
              <w:textAlignment w:val="center"/>
              <w:rPr>
                <w:color w:val="000000"/>
                <w:sz w:val="22"/>
              </w:rPr>
            </w:pPr>
            <w:r>
              <w:rPr>
                <w:color w:val="000000"/>
                <w:kern w:val="0"/>
                <w:sz w:val="22"/>
              </w:rPr>
              <w:t>4.17%</w:t>
            </w:r>
          </w:p>
        </w:tc>
        <w:tc>
          <w:tcPr>
            <w:tcW w:w="0" w:type="auto"/>
            <w:tcBorders>
              <w:top w:val="single" w:color="000000" w:sz="4" w:space="0"/>
              <w:left w:val="nil"/>
              <w:bottom w:val="single" w:color="000000" w:sz="4" w:space="0"/>
              <w:right w:val="single" w:color="000000" w:sz="4" w:space="0"/>
            </w:tcBorders>
            <w:noWrap/>
            <w:vAlign w:val="center"/>
          </w:tcPr>
          <w:p w14:paraId="0893430E">
            <w:pPr>
              <w:widowControl/>
              <w:ind w:firstLine="0" w:firstLineChars="0"/>
              <w:jc w:val="center"/>
              <w:textAlignment w:val="center"/>
              <w:rPr>
                <w:color w:val="000000"/>
                <w:sz w:val="22"/>
              </w:rPr>
            </w:pPr>
            <w:r>
              <w:rPr>
                <w:color w:val="000000"/>
                <w:kern w:val="0"/>
                <w:sz w:val="22"/>
              </w:rPr>
              <w:t>2.81%</w:t>
            </w:r>
          </w:p>
        </w:tc>
        <w:tc>
          <w:tcPr>
            <w:tcW w:w="0" w:type="auto"/>
            <w:tcBorders>
              <w:top w:val="single" w:color="000000" w:sz="4" w:space="0"/>
              <w:left w:val="nil"/>
              <w:bottom w:val="single" w:color="000000" w:sz="4" w:space="0"/>
              <w:right w:val="single" w:color="000000" w:sz="4" w:space="0"/>
            </w:tcBorders>
            <w:noWrap/>
            <w:vAlign w:val="center"/>
          </w:tcPr>
          <w:p w14:paraId="148026B6">
            <w:pPr>
              <w:widowControl/>
              <w:ind w:firstLine="0" w:firstLineChars="0"/>
              <w:jc w:val="center"/>
              <w:textAlignment w:val="center"/>
              <w:rPr>
                <w:color w:val="000000"/>
                <w:sz w:val="22"/>
              </w:rPr>
            </w:pPr>
            <w:r>
              <w:rPr>
                <w:color w:val="000000"/>
                <w:kern w:val="0"/>
                <w:sz w:val="22"/>
              </w:rPr>
              <w:t>4.05%</w:t>
            </w:r>
          </w:p>
        </w:tc>
        <w:tc>
          <w:tcPr>
            <w:tcW w:w="0" w:type="auto"/>
            <w:tcBorders>
              <w:top w:val="single" w:color="000000" w:sz="4" w:space="0"/>
              <w:left w:val="nil"/>
              <w:bottom w:val="single" w:color="000000" w:sz="4" w:space="0"/>
              <w:right w:val="single" w:color="000000" w:sz="4" w:space="0"/>
            </w:tcBorders>
            <w:noWrap/>
            <w:vAlign w:val="center"/>
          </w:tcPr>
          <w:p w14:paraId="1359D78E">
            <w:pPr>
              <w:widowControl/>
              <w:ind w:firstLine="0" w:firstLineChars="0"/>
              <w:jc w:val="center"/>
              <w:textAlignment w:val="center"/>
              <w:rPr>
                <w:color w:val="000000"/>
                <w:sz w:val="22"/>
              </w:rPr>
            </w:pPr>
            <w:r>
              <w:rPr>
                <w:color w:val="000000"/>
                <w:kern w:val="0"/>
                <w:sz w:val="22"/>
              </w:rPr>
              <w:t>-1.32%</w:t>
            </w:r>
          </w:p>
        </w:tc>
        <w:tc>
          <w:tcPr>
            <w:tcW w:w="0" w:type="auto"/>
            <w:tcBorders>
              <w:top w:val="single" w:color="000000" w:sz="4" w:space="0"/>
              <w:left w:val="nil"/>
              <w:bottom w:val="single" w:color="000000" w:sz="4" w:space="0"/>
              <w:right w:val="single" w:color="000000" w:sz="4" w:space="0"/>
            </w:tcBorders>
            <w:noWrap/>
            <w:vAlign w:val="center"/>
          </w:tcPr>
          <w:p w14:paraId="78AF2857">
            <w:pPr>
              <w:widowControl/>
              <w:ind w:firstLine="0" w:firstLineChars="0"/>
              <w:jc w:val="center"/>
              <w:textAlignment w:val="center"/>
              <w:rPr>
                <w:color w:val="000000"/>
                <w:sz w:val="22"/>
              </w:rPr>
            </w:pPr>
            <w:r>
              <w:rPr>
                <w:color w:val="000000"/>
                <w:kern w:val="0"/>
                <w:sz w:val="22"/>
              </w:rPr>
              <w:t>-3.10%</w:t>
            </w:r>
          </w:p>
        </w:tc>
      </w:tr>
      <w:tr w14:paraId="60796D3B">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BA39CE9">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部门碳排放量增长率</w:t>
            </w:r>
            <w:r>
              <w:rPr>
                <w:rFonts w:eastAsia="仿宋"/>
                <w:color w:val="000000"/>
                <w:kern w:val="0"/>
                <w:sz w:val="20"/>
                <w:szCs w:val="20"/>
              </w:rPr>
              <w:t xml:space="preserve">    Y3-2</w:t>
            </w:r>
          </w:p>
        </w:tc>
        <w:tc>
          <w:tcPr>
            <w:tcW w:w="0" w:type="auto"/>
            <w:tcBorders>
              <w:top w:val="single" w:color="000000" w:sz="4" w:space="0"/>
              <w:left w:val="nil"/>
              <w:bottom w:val="single" w:color="000000" w:sz="4" w:space="0"/>
              <w:right w:val="single" w:color="000000" w:sz="4" w:space="0"/>
            </w:tcBorders>
            <w:noWrap/>
            <w:vAlign w:val="bottom"/>
          </w:tcPr>
          <w:p w14:paraId="0EC75B35">
            <w:pPr>
              <w:ind w:firstLine="0" w:firstLineChars="0"/>
              <w:rPr>
                <w:color w:val="000000"/>
                <w:sz w:val="22"/>
              </w:rPr>
            </w:pPr>
          </w:p>
        </w:tc>
        <w:tc>
          <w:tcPr>
            <w:tcW w:w="0" w:type="auto"/>
            <w:tcBorders>
              <w:top w:val="single" w:color="000000" w:sz="4" w:space="0"/>
              <w:left w:val="nil"/>
              <w:bottom w:val="single" w:color="000000" w:sz="4" w:space="0"/>
              <w:right w:val="single" w:color="000000" w:sz="4" w:space="0"/>
            </w:tcBorders>
            <w:noWrap/>
            <w:vAlign w:val="center"/>
          </w:tcPr>
          <w:p w14:paraId="1102BB73">
            <w:pPr>
              <w:widowControl/>
              <w:ind w:firstLine="0" w:firstLineChars="0"/>
              <w:jc w:val="center"/>
              <w:textAlignment w:val="center"/>
              <w:rPr>
                <w:color w:val="000000"/>
                <w:sz w:val="22"/>
              </w:rPr>
            </w:pPr>
            <w:r>
              <w:rPr>
                <w:color w:val="000000"/>
                <w:kern w:val="0"/>
                <w:sz w:val="22"/>
              </w:rPr>
              <w:t>14.39%</w:t>
            </w:r>
          </w:p>
        </w:tc>
        <w:tc>
          <w:tcPr>
            <w:tcW w:w="0" w:type="auto"/>
            <w:tcBorders>
              <w:top w:val="single" w:color="000000" w:sz="4" w:space="0"/>
              <w:left w:val="nil"/>
              <w:bottom w:val="single" w:color="000000" w:sz="4" w:space="0"/>
              <w:right w:val="single" w:color="000000" w:sz="4" w:space="0"/>
            </w:tcBorders>
            <w:noWrap/>
            <w:vAlign w:val="center"/>
          </w:tcPr>
          <w:p w14:paraId="30DDF149">
            <w:pPr>
              <w:widowControl/>
              <w:ind w:firstLine="0" w:firstLineChars="0"/>
              <w:jc w:val="center"/>
              <w:textAlignment w:val="center"/>
              <w:rPr>
                <w:color w:val="000000"/>
                <w:sz w:val="22"/>
              </w:rPr>
            </w:pPr>
            <w:r>
              <w:rPr>
                <w:color w:val="000000"/>
                <w:kern w:val="0"/>
                <w:sz w:val="22"/>
              </w:rPr>
              <w:t>-2.42%</w:t>
            </w:r>
          </w:p>
        </w:tc>
        <w:tc>
          <w:tcPr>
            <w:tcW w:w="0" w:type="auto"/>
            <w:tcBorders>
              <w:top w:val="single" w:color="000000" w:sz="4" w:space="0"/>
              <w:left w:val="nil"/>
              <w:bottom w:val="single" w:color="000000" w:sz="4" w:space="0"/>
              <w:right w:val="single" w:color="000000" w:sz="4" w:space="0"/>
            </w:tcBorders>
            <w:noWrap/>
            <w:vAlign w:val="center"/>
          </w:tcPr>
          <w:p w14:paraId="4D7E5470">
            <w:pPr>
              <w:widowControl/>
              <w:ind w:firstLine="0" w:firstLineChars="0"/>
              <w:jc w:val="center"/>
              <w:textAlignment w:val="center"/>
              <w:rPr>
                <w:color w:val="000000"/>
                <w:sz w:val="22"/>
              </w:rPr>
            </w:pPr>
            <w:r>
              <w:rPr>
                <w:color w:val="000000"/>
                <w:kern w:val="0"/>
                <w:sz w:val="22"/>
              </w:rPr>
              <w:t>8.11%</w:t>
            </w:r>
          </w:p>
        </w:tc>
        <w:tc>
          <w:tcPr>
            <w:tcW w:w="0" w:type="auto"/>
            <w:tcBorders>
              <w:top w:val="single" w:color="000000" w:sz="4" w:space="0"/>
              <w:left w:val="nil"/>
              <w:bottom w:val="single" w:color="000000" w:sz="4" w:space="0"/>
              <w:right w:val="single" w:color="000000" w:sz="4" w:space="0"/>
            </w:tcBorders>
            <w:noWrap/>
            <w:vAlign w:val="center"/>
          </w:tcPr>
          <w:p w14:paraId="027A1B24">
            <w:pPr>
              <w:widowControl/>
              <w:ind w:firstLine="0" w:firstLineChars="0"/>
              <w:jc w:val="center"/>
              <w:textAlignment w:val="center"/>
              <w:rPr>
                <w:color w:val="000000"/>
                <w:sz w:val="22"/>
              </w:rPr>
            </w:pPr>
            <w:r>
              <w:rPr>
                <w:color w:val="000000"/>
                <w:kern w:val="0"/>
                <w:sz w:val="22"/>
              </w:rPr>
              <w:t>-5.80%</w:t>
            </w:r>
          </w:p>
        </w:tc>
        <w:tc>
          <w:tcPr>
            <w:tcW w:w="0" w:type="auto"/>
            <w:tcBorders>
              <w:top w:val="single" w:color="000000" w:sz="4" w:space="0"/>
              <w:left w:val="nil"/>
              <w:bottom w:val="single" w:color="000000" w:sz="4" w:space="0"/>
              <w:right w:val="single" w:color="000000" w:sz="4" w:space="0"/>
            </w:tcBorders>
            <w:noWrap/>
            <w:vAlign w:val="center"/>
          </w:tcPr>
          <w:p w14:paraId="216FEE60">
            <w:pPr>
              <w:widowControl/>
              <w:ind w:firstLine="0" w:firstLineChars="0"/>
              <w:jc w:val="center"/>
              <w:textAlignment w:val="center"/>
              <w:rPr>
                <w:color w:val="000000"/>
                <w:sz w:val="22"/>
              </w:rPr>
            </w:pPr>
            <w:r>
              <w:rPr>
                <w:color w:val="000000"/>
                <w:kern w:val="0"/>
                <w:sz w:val="22"/>
              </w:rPr>
              <w:t>1.53%</w:t>
            </w:r>
          </w:p>
        </w:tc>
        <w:tc>
          <w:tcPr>
            <w:tcW w:w="0" w:type="auto"/>
            <w:tcBorders>
              <w:top w:val="single" w:color="000000" w:sz="4" w:space="0"/>
              <w:left w:val="nil"/>
              <w:bottom w:val="single" w:color="000000" w:sz="4" w:space="0"/>
              <w:right w:val="single" w:color="000000" w:sz="4" w:space="0"/>
            </w:tcBorders>
            <w:noWrap/>
            <w:vAlign w:val="center"/>
          </w:tcPr>
          <w:p w14:paraId="5E18987D">
            <w:pPr>
              <w:widowControl/>
              <w:ind w:firstLine="0" w:firstLineChars="0"/>
              <w:jc w:val="center"/>
              <w:textAlignment w:val="center"/>
              <w:rPr>
                <w:color w:val="000000"/>
                <w:sz w:val="22"/>
              </w:rPr>
            </w:pPr>
            <w:r>
              <w:rPr>
                <w:color w:val="000000"/>
                <w:kern w:val="0"/>
                <w:sz w:val="22"/>
              </w:rPr>
              <w:t>1.66%</w:t>
            </w:r>
          </w:p>
        </w:tc>
        <w:tc>
          <w:tcPr>
            <w:tcW w:w="0" w:type="auto"/>
            <w:tcBorders>
              <w:top w:val="single" w:color="000000" w:sz="4" w:space="0"/>
              <w:left w:val="nil"/>
              <w:bottom w:val="single" w:color="000000" w:sz="4" w:space="0"/>
              <w:right w:val="single" w:color="000000" w:sz="4" w:space="0"/>
            </w:tcBorders>
            <w:noWrap/>
            <w:vAlign w:val="center"/>
          </w:tcPr>
          <w:p w14:paraId="709EEC6B">
            <w:pPr>
              <w:widowControl/>
              <w:ind w:firstLine="0" w:firstLineChars="0"/>
              <w:jc w:val="center"/>
              <w:textAlignment w:val="center"/>
              <w:rPr>
                <w:color w:val="000000"/>
                <w:sz w:val="22"/>
              </w:rPr>
            </w:pPr>
            <w:r>
              <w:rPr>
                <w:color w:val="000000"/>
                <w:kern w:val="0"/>
                <w:sz w:val="22"/>
              </w:rPr>
              <w:t>-3.70%</w:t>
            </w:r>
          </w:p>
        </w:tc>
        <w:tc>
          <w:tcPr>
            <w:tcW w:w="0" w:type="auto"/>
            <w:tcBorders>
              <w:top w:val="single" w:color="000000" w:sz="4" w:space="0"/>
              <w:left w:val="nil"/>
              <w:bottom w:val="single" w:color="000000" w:sz="4" w:space="0"/>
              <w:right w:val="single" w:color="000000" w:sz="4" w:space="0"/>
            </w:tcBorders>
            <w:noWrap/>
            <w:vAlign w:val="center"/>
          </w:tcPr>
          <w:p w14:paraId="1BE0AC20">
            <w:pPr>
              <w:widowControl/>
              <w:ind w:firstLine="0" w:firstLineChars="0"/>
              <w:jc w:val="center"/>
              <w:textAlignment w:val="center"/>
              <w:rPr>
                <w:color w:val="000000"/>
                <w:sz w:val="22"/>
              </w:rPr>
            </w:pPr>
            <w:r>
              <w:rPr>
                <w:color w:val="000000"/>
                <w:kern w:val="0"/>
                <w:sz w:val="22"/>
              </w:rPr>
              <w:t>-0.58%</w:t>
            </w:r>
          </w:p>
        </w:tc>
        <w:tc>
          <w:tcPr>
            <w:tcW w:w="0" w:type="auto"/>
            <w:tcBorders>
              <w:top w:val="single" w:color="000000" w:sz="4" w:space="0"/>
              <w:left w:val="nil"/>
              <w:bottom w:val="single" w:color="000000" w:sz="4" w:space="0"/>
              <w:right w:val="single" w:color="000000" w:sz="4" w:space="0"/>
            </w:tcBorders>
            <w:noWrap/>
            <w:vAlign w:val="center"/>
          </w:tcPr>
          <w:p w14:paraId="153806CB">
            <w:pPr>
              <w:widowControl/>
              <w:ind w:firstLine="0" w:firstLineChars="0"/>
              <w:jc w:val="center"/>
              <w:textAlignment w:val="center"/>
              <w:rPr>
                <w:color w:val="000000"/>
                <w:sz w:val="22"/>
              </w:rPr>
            </w:pPr>
            <w:r>
              <w:rPr>
                <w:color w:val="000000"/>
                <w:kern w:val="0"/>
                <w:sz w:val="22"/>
              </w:rPr>
              <w:t>6.19%</w:t>
            </w:r>
          </w:p>
        </w:tc>
        <w:tc>
          <w:tcPr>
            <w:tcW w:w="0" w:type="auto"/>
            <w:tcBorders>
              <w:top w:val="single" w:color="000000" w:sz="4" w:space="0"/>
              <w:left w:val="nil"/>
              <w:bottom w:val="single" w:color="000000" w:sz="4" w:space="0"/>
              <w:right w:val="single" w:color="000000" w:sz="4" w:space="0"/>
            </w:tcBorders>
            <w:noWrap/>
            <w:vAlign w:val="center"/>
          </w:tcPr>
          <w:p w14:paraId="216951F2">
            <w:pPr>
              <w:widowControl/>
              <w:ind w:firstLine="0" w:firstLineChars="0"/>
              <w:jc w:val="center"/>
              <w:textAlignment w:val="center"/>
              <w:rPr>
                <w:color w:val="000000"/>
                <w:sz w:val="22"/>
              </w:rPr>
            </w:pPr>
            <w:r>
              <w:rPr>
                <w:color w:val="000000"/>
                <w:kern w:val="0"/>
                <w:sz w:val="22"/>
              </w:rPr>
              <w:t>-4.85%</w:t>
            </w:r>
          </w:p>
        </w:tc>
      </w:tr>
      <w:tr w14:paraId="05142272">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6052BE">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部门碳排放量增长率</w:t>
            </w:r>
            <w:r>
              <w:rPr>
                <w:rFonts w:eastAsia="仿宋"/>
                <w:color w:val="000000"/>
                <w:kern w:val="0"/>
                <w:sz w:val="20"/>
                <w:szCs w:val="20"/>
              </w:rPr>
              <w:t xml:space="preserve">    Y3-3</w:t>
            </w:r>
          </w:p>
        </w:tc>
        <w:tc>
          <w:tcPr>
            <w:tcW w:w="0" w:type="auto"/>
            <w:tcBorders>
              <w:top w:val="single" w:color="000000" w:sz="4" w:space="0"/>
              <w:left w:val="nil"/>
              <w:bottom w:val="single" w:color="000000" w:sz="4" w:space="0"/>
              <w:right w:val="single" w:color="000000" w:sz="4" w:space="0"/>
            </w:tcBorders>
            <w:noWrap/>
            <w:vAlign w:val="bottom"/>
          </w:tcPr>
          <w:p w14:paraId="6353027C">
            <w:pPr>
              <w:ind w:firstLine="0" w:firstLineChars="0"/>
              <w:rPr>
                <w:color w:val="000000"/>
                <w:sz w:val="22"/>
              </w:rPr>
            </w:pPr>
          </w:p>
        </w:tc>
        <w:tc>
          <w:tcPr>
            <w:tcW w:w="0" w:type="auto"/>
            <w:tcBorders>
              <w:top w:val="single" w:color="000000" w:sz="4" w:space="0"/>
              <w:left w:val="nil"/>
              <w:bottom w:val="single" w:color="000000" w:sz="4" w:space="0"/>
              <w:right w:val="single" w:color="000000" w:sz="4" w:space="0"/>
            </w:tcBorders>
            <w:noWrap/>
            <w:vAlign w:val="center"/>
          </w:tcPr>
          <w:p w14:paraId="0293497C">
            <w:pPr>
              <w:widowControl/>
              <w:ind w:firstLine="0" w:firstLineChars="0"/>
              <w:jc w:val="center"/>
              <w:textAlignment w:val="center"/>
              <w:rPr>
                <w:color w:val="000000"/>
                <w:sz w:val="22"/>
              </w:rPr>
            </w:pPr>
            <w:r>
              <w:rPr>
                <w:color w:val="000000"/>
                <w:kern w:val="0"/>
                <w:sz w:val="22"/>
              </w:rPr>
              <w:t>17.14%</w:t>
            </w:r>
          </w:p>
        </w:tc>
        <w:tc>
          <w:tcPr>
            <w:tcW w:w="0" w:type="auto"/>
            <w:tcBorders>
              <w:top w:val="single" w:color="000000" w:sz="4" w:space="0"/>
              <w:left w:val="nil"/>
              <w:bottom w:val="single" w:color="000000" w:sz="4" w:space="0"/>
              <w:right w:val="single" w:color="000000" w:sz="4" w:space="0"/>
            </w:tcBorders>
            <w:noWrap/>
            <w:vAlign w:val="center"/>
          </w:tcPr>
          <w:p w14:paraId="6776C5E1">
            <w:pPr>
              <w:widowControl/>
              <w:ind w:firstLine="0" w:firstLineChars="0"/>
              <w:jc w:val="center"/>
              <w:textAlignment w:val="center"/>
              <w:rPr>
                <w:color w:val="000000"/>
                <w:sz w:val="22"/>
              </w:rPr>
            </w:pPr>
            <w:r>
              <w:rPr>
                <w:color w:val="000000"/>
                <w:kern w:val="0"/>
                <w:sz w:val="22"/>
              </w:rPr>
              <w:t>2.02%</w:t>
            </w:r>
          </w:p>
        </w:tc>
        <w:tc>
          <w:tcPr>
            <w:tcW w:w="0" w:type="auto"/>
            <w:tcBorders>
              <w:top w:val="single" w:color="000000" w:sz="4" w:space="0"/>
              <w:left w:val="nil"/>
              <w:bottom w:val="single" w:color="000000" w:sz="4" w:space="0"/>
              <w:right w:val="single" w:color="000000" w:sz="4" w:space="0"/>
            </w:tcBorders>
            <w:noWrap/>
            <w:vAlign w:val="center"/>
          </w:tcPr>
          <w:p w14:paraId="52922C8B">
            <w:pPr>
              <w:widowControl/>
              <w:ind w:firstLine="0" w:firstLineChars="0"/>
              <w:jc w:val="center"/>
              <w:textAlignment w:val="center"/>
              <w:rPr>
                <w:color w:val="000000"/>
                <w:sz w:val="22"/>
              </w:rPr>
            </w:pPr>
            <w:r>
              <w:rPr>
                <w:color w:val="000000"/>
                <w:kern w:val="0"/>
                <w:sz w:val="22"/>
              </w:rPr>
              <w:t>-3.37%</w:t>
            </w:r>
          </w:p>
        </w:tc>
        <w:tc>
          <w:tcPr>
            <w:tcW w:w="0" w:type="auto"/>
            <w:tcBorders>
              <w:top w:val="single" w:color="000000" w:sz="4" w:space="0"/>
              <w:left w:val="nil"/>
              <w:bottom w:val="single" w:color="000000" w:sz="4" w:space="0"/>
              <w:right w:val="single" w:color="000000" w:sz="4" w:space="0"/>
            </w:tcBorders>
            <w:noWrap/>
            <w:vAlign w:val="center"/>
          </w:tcPr>
          <w:p w14:paraId="4CC3BF3D">
            <w:pPr>
              <w:widowControl/>
              <w:ind w:firstLine="0" w:firstLineChars="0"/>
              <w:jc w:val="center"/>
              <w:textAlignment w:val="center"/>
              <w:rPr>
                <w:color w:val="000000"/>
                <w:sz w:val="22"/>
              </w:rPr>
            </w:pPr>
            <w:r>
              <w:rPr>
                <w:color w:val="000000"/>
                <w:kern w:val="0"/>
                <w:sz w:val="22"/>
              </w:rPr>
              <w:t>-1.99%</w:t>
            </w:r>
          </w:p>
        </w:tc>
        <w:tc>
          <w:tcPr>
            <w:tcW w:w="0" w:type="auto"/>
            <w:tcBorders>
              <w:top w:val="single" w:color="000000" w:sz="4" w:space="0"/>
              <w:left w:val="nil"/>
              <w:bottom w:val="single" w:color="000000" w:sz="4" w:space="0"/>
              <w:right w:val="single" w:color="000000" w:sz="4" w:space="0"/>
            </w:tcBorders>
            <w:noWrap/>
            <w:vAlign w:val="center"/>
          </w:tcPr>
          <w:p w14:paraId="0C8C72D6">
            <w:pPr>
              <w:widowControl/>
              <w:ind w:firstLine="0" w:firstLineChars="0"/>
              <w:jc w:val="center"/>
              <w:textAlignment w:val="center"/>
              <w:rPr>
                <w:color w:val="000000"/>
                <w:sz w:val="22"/>
              </w:rPr>
            </w:pPr>
            <w:r>
              <w:rPr>
                <w:color w:val="000000"/>
                <w:kern w:val="0"/>
                <w:sz w:val="22"/>
              </w:rPr>
              <w:t>-0.17%</w:t>
            </w:r>
          </w:p>
        </w:tc>
        <w:tc>
          <w:tcPr>
            <w:tcW w:w="0" w:type="auto"/>
            <w:tcBorders>
              <w:top w:val="single" w:color="000000" w:sz="4" w:space="0"/>
              <w:left w:val="nil"/>
              <w:bottom w:val="single" w:color="000000" w:sz="4" w:space="0"/>
              <w:right w:val="single" w:color="000000" w:sz="4" w:space="0"/>
            </w:tcBorders>
            <w:noWrap/>
            <w:vAlign w:val="center"/>
          </w:tcPr>
          <w:p w14:paraId="031E2FE5">
            <w:pPr>
              <w:widowControl/>
              <w:ind w:firstLine="0" w:firstLineChars="0"/>
              <w:jc w:val="center"/>
              <w:textAlignment w:val="center"/>
              <w:rPr>
                <w:color w:val="000000"/>
                <w:sz w:val="22"/>
              </w:rPr>
            </w:pPr>
            <w:r>
              <w:rPr>
                <w:color w:val="000000"/>
                <w:kern w:val="0"/>
                <w:sz w:val="22"/>
              </w:rPr>
              <w:t>2.51%</w:t>
            </w:r>
          </w:p>
        </w:tc>
        <w:tc>
          <w:tcPr>
            <w:tcW w:w="0" w:type="auto"/>
            <w:tcBorders>
              <w:top w:val="single" w:color="000000" w:sz="4" w:space="0"/>
              <w:left w:val="nil"/>
              <w:bottom w:val="single" w:color="000000" w:sz="4" w:space="0"/>
              <w:right w:val="single" w:color="000000" w:sz="4" w:space="0"/>
            </w:tcBorders>
            <w:noWrap/>
            <w:vAlign w:val="center"/>
          </w:tcPr>
          <w:p w14:paraId="382027DA">
            <w:pPr>
              <w:widowControl/>
              <w:ind w:firstLine="0" w:firstLineChars="0"/>
              <w:jc w:val="center"/>
              <w:textAlignment w:val="center"/>
              <w:rPr>
                <w:color w:val="000000"/>
                <w:sz w:val="22"/>
              </w:rPr>
            </w:pPr>
            <w:r>
              <w:rPr>
                <w:color w:val="000000"/>
                <w:kern w:val="0"/>
                <w:sz w:val="22"/>
              </w:rPr>
              <w:t>1.13%</w:t>
            </w:r>
          </w:p>
        </w:tc>
        <w:tc>
          <w:tcPr>
            <w:tcW w:w="0" w:type="auto"/>
            <w:tcBorders>
              <w:top w:val="single" w:color="000000" w:sz="4" w:space="0"/>
              <w:left w:val="nil"/>
              <w:bottom w:val="single" w:color="000000" w:sz="4" w:space="0"/>
              <w:right w:val="single" w:color="000000" w:sz="4" w:space="0"/>
            </w:tcBorders>
            <w:noWrap/>
            <w:vAlign w:val="center"/>
          </w:tcPr>
          <w:p w14:paraId="44A5B0DC">
            <w:pPr>
              <w:widowControl/>
              <w:ind w:firstLine="0" w:firstLineChars="0"/>
              <w:jc w:val="center"/>
              <w:textAlignment w:val="center"/>
              <w:rPr>
                <w:color w:val="000000"/>
                <w:sz w:val="22"/>
              </w:rPr>
            </w:pPr>
            <w:r>
              <w:rPr>
                <w:color w:val="000000"/>
                <w:kern w:val="0"/>
                <w:sz w:val="22"/>
              </w:rPr>
              <w:t>-0.89%</w:t>
            </w:r>
          </w:p>
        </w:tc>
        <w:tc>
          <w:tcPr>
            <w:tcW w:w="0" w:type="auto"/>
            <w:tcBorders>
              <w:top w:val="single" w:color="000000" w:sz="4" w:space="0"/>
              <w:left w:val="nil"/>
              <w:bottom w:val="single" w:color="000000" w:sz="4" w:space="0"/>
              <w:right w:val="single" w:color="000000" w:sz="4" w:space="0"/>
            </w:tcBorders>
            <w:noWrap/>
            <w:vAlign w:val="center"/>
          </w:tcPr>
          <w:p w14:paraId="237ED086">
            <w:pPr>
              <w:widowControl/>
              <w:ind w:firstLine="0" w:firstLineChars="0"/>
              <w:jc w:val="center"/>
              <w:textAlignment w:val="center"/>
              <w:rPr>
                <w:color w:val="000000"/>
                <w:sz w:val="22"/>
              </w:rPr>
            </w:pPr>
            <w:r>
              <w:rPr>
                <w:color w:val="000000"/>
                <w:kern w:val="0"/>
                <w:sz w:val="22"/>
              </w:rPr>
              <w:t>3.29%</w:t>
            </w:r>
          </w:p>
        </w:tc>
        <w:tc>
          <w:tcPr>
            <w:tcW w:w="0" w:type="auto"/>
            <w:tcBorders>
              <w:top w:val="single" w:color="000000" w:sz="4" w:space="0"/>
              <w:left w:val="nil"/>
              <w:bottom w:val="single" w:color="000000" w:sz="4" w:space="0"/>
              <w:right w:val="single" w:color="000000" w:sz="4" w:space="0"/>
            </w:tcBorders>
            <w:noWrap/>
            <w:vAlign w:val="center"/>
          </w:tcPr>
          <w:p w14:paraId="53126E09">
            <w:pPr>
              <w:widowControl/>
              <w:ind w:firstLine="0" w:firstLineChars="0"/>
              <w:jc w:val="center"/>
              <w:textAlignment w:val="center"/>
              <w:rPr>
                <w:color w:val="000000"/>
                <w:sz w:val="22"/>
              </w:rPr>
            </w:pPr>
            <w:r>
              <w:rPr>
                <w:color w:val="000000"/>
                <w:kern w:val="0"/>
                <w:sz w:val="22"/>
              </w:rPr>
              <w:t>-2.36%</w:t>
            </w:r>
          </w:p>
        </w:tc>
      </w:tr>
      <w:tr w14:paraId="23E2345D">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7A145A">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部门碳排放量增长率</w:t>
            </w:r>
            <w:r>
              <w:rPr>
                <w:rFonts w:eastAsia="仿宋"/>
                <w:color w:val="000000"/>
                <w:kern w:val="0"/>
                <w:sz w:val="20"/>
                <w:szCs w:val="20"/>
              </w:rPr>
              <w:t xml:space="preserve">    Y3-4</w:t>
            </w:r>
          </w:p>
        </w:tc>
        <w:tc>
          <w:tcPr>
            <w:tcW w:w="0" w:type="auto"/>
            <w:tcBorders>
              <w:top w:val="single" w:color="000000" w:sz="4" w:space="0"/>
              <w:left w:val="nil"/>
              <w:bottom w:val="single" w:color="000000" w:sz="4" w:space="0"/>
              <w:right w:val="single" w:color="000000" w:sz="4" w:space="0"/>
            </w:tcBorders>
            <w:noWrap/>
            <w:vAlign w:val="bottom"/>
          </w:tcPr>
          <w:p w14:paraId="166BAF98">
            <w:pPr>
              <w:ind w:firstLine="0" w:firstLineChars="0"/>
              <w:rPr>
                <w:color w:val="000000"/>
                <w:sz w:val="22"/>
              </w:rPr>
            </w:pPr>
          </w:p>
        </w:tc>
        <w:tc>
          <w:tcPr>
            <w:tcW w:w="0" w:type="auto"/>
            <w:tcBorders>
              <w:top w:val="single" w:color="000000" w:sz="4" w:space="0"/>
              <w:left w:val="nil"/>
              <w:bottom w:val="single" w:color="000000" w:sz="4" w:space="0"/>
              <w:right w:val="single" w:color="000000" w:sz="4" w:space="0"/>
            </w:tcBorders>
            <w:noWrap/>
            <w:vAlign w:val="center"/>
          </w:tcPr>
          <w:p w14:paraId="3C3C071A">
            <w:pPr>
              <w:widowControl/>
              <w:ind w:firstLine="0" w:firstLineChars="0"/>
              <w:jc w:val="center"/>
              <w:textAlignment w:val="center"/>
              <w:rPr>
                <w:color w:val="000000"/>
                <w:sz w:val="22"/>
              </w:rPr>
            </w:pPr>
            <w:r>
              <w:rPr>
                <w:color w:val="000000"/>
                <w:kern w:val="0"/>
                <w:sz w:val="22"/>
              </w:rPr>
              <w:t>6.92%</w:t>
            </w:r>
          </w:p>
        </w:tc>
        <w:tc>
          <w:tcPr>
            <w:tcW w:w="0" w:type="auto"/>
            <w:tcBorders>
              <w:top w:val="single" w:color="000000" w:sz="4" w:space="0"/>
              <w:left w:val="nil"/>
              <w:bottom w:val="single" w:color="000000" w:sz="4" w:space="0"/>
              <w:right w:val="single" w:color="000000" w:sz="4" w:space="0"/>
            </w:tcBorders>
            <w:noWrap/>
            <w:vAlign w:val="center"/>
          </w:tcPr>
          <w:p w14:paraId="65E942B7">
            <w:pPr>
              <w:widowControl/>
              <w:ind w:firstLine="0" w:firstLineChars="0"/>
              <w:jc w:val="center"/>
              <w:textAlignment w:val="center"/>
              <w:rPr>
                <w:color w:val="000000"/>
                <w:sz w:val="22"/>
              </w:rPr>
            </w:pPr>
            <w:r>
              <w:rPr>
                <w:color w:val="000000"/>
                <w:kern w:val="0"/>
                <w:sz w:val="22"/>
              </w:rPr>
              <w:t>8.58%</w:t>
            </w:r>
          </w:p>
        </w:tc>
        <w:tc>
          <w:tcPr>
            <w:tcW w:w="0" w:type="auto"/>
            <w:tcBorders>
              <w:top w:val="single" w:color="000000" w:sz="4" w:space="0"/>
              <w:left w:val="nil"/>
              <w:bottom w:val="single" w:color="000000" w:sz="4" w:space="0"/>
              <w:right w:val="single" w:color="000000" w:sz="4" w:space="0"/>
            </w:tcBorders>
            <w:noWrap/>
            <w:vAlign w:val="center"/>
          </w:tcPr>
          <w:p w14:paraId="40B15141">
            <w:pPr>
              <w:widowControl/>
              <w:ind w:firstLine="0" w:firstLineChars="0"/>
              <w:jc w:val="center"/>
              <w:textAlignment w:val="center"/>
              <w:rPr>
                <w:color w:val="000000"/>
                <w:sz w:val="22"/>
              </w:rPr>
            </w:pPr>
            <w:r>
              <w:rPr>
                <w:color w:val="000000"/>
                <w:kern w:val="0"/>
                <w:sz w:val="22"/>
              </w:rPr>
              <w:t>8.01%</w:t>
            </w:r>
          </w:p>
        </w:tc>
        <w:tc>
          <w:tcPr>
            <w:tcW w:w="0" w:type="auto"/>
            <w:tcBorders>
              <w:top w:val="single" w:color="000000" w:sz="4" w:space="0"/>
              <w:left w:val="nil"/>
              <w:bottom w:val="single" w:color="000000" w:sz="4" w:space="0"/>
              <w:right w:val="single" w:color="000000" w:sz="4" w:space="0"/>
            </w:tcBorders>
            <w:noWrap/>
            <w:vAlign w:val="center"/>
          </w:tcPr>
          <w:p w14:paraId="6D86FE3B">
            <w:pPr>
              <w:widowControl/>
              <w:ind w:firstLine="0" w:firstLineChars="0"/>
              <w:jc w:val="center"/>
              <w:textAlignment w:val="center"/>
              <w:rPr>
                <w:color w:val="000000"/>
                <w:sz w:val="22"/>
              </w:rPr>
            </w:pPr>
            <w:r>
              <w:rPr>
                <w:color w:val="000000"/>
                <w:kern w:val="0"/>
                <w:sz w:val="22"/>
              </w:rPr>
              <w:t>8.06%</w:t>
            </w:r>
          </w:p>
        </w:tc>
        <w:tc>
          <w:tcPr>
            <w:tcW w:w="0" w:type="auto"/>
            <w:tcBorders>
              <w:top w:val="single" w:color="000000" w:sz="4" w:space="0"/>
              <w:left w:val="nil"/>
              <w:bottom w:val="single" w:color="000000" w:sz="4" w:space="0"/>
              <w:right w:val="single" w:color="000000" w:sz="4" w:space="0"/>
            </w:tcBorders>
            <w:noWrap/>
            <w:vAlign w:val="center"/>
          </w:tcPr>
          <w:p w14:paraId="6ED4128B">
            <w:pPr>
              <w:widowControl/>
              <w:ind w:firstLine="0" w:firstLineChars="0"/>
              <w:jc w:val="center"/>
              <w:textAlignment w:val="center"/>
              <w:rPr>
                <w:color w:val="000000"/>
                <w:sz w:val="22"/>
              </w:rPr>
            </w:pPr>
            <w:r>
              <w:rPr>
                <w:color w:val="000000"/>
                <w:kern w:val="0"/>
                <w:sz w:val="22"/>
              </w:rPr>
              <w:t>5.79%</w:t>
            </w:r>
          </w:p>
        </w:tc>
        <w:tc>
          <w:tcPr>
            <w:tcW w:w="0" w:type="auto"/>
            <w:tcBorders>
              <w:top w:val="single" w:color="000000" w:sz="4" w:space="0"/>
              <w:left w:val="nil"/>
              <w:bottom w:val="single" w:color="000000" w:sz="4" w:space="0"/>
              <w:right w:val="single" w:color="000000" w:sz="4" w:space="0"/>
            </w:tcBorders>
            <w:noWrap/>
            <w:vAlign w:val="center"/>
          </w:tcPr>
          <w:p w14:paraId="58D85B1A">
            <w:pPr>
              <w:widowControl/>
              <w:ind w:firstLine="0" w:firstLineChars="0"/>
              <w:jc w:val="center"/>
              <w:textAlignment w:val="center"/>
              <w:rPr>
                <w:color w:val="000000"/>
                <w:sz w:val="22"/>
              </w:rPr>
            </w:pPr>
            <w:r>
              <w:rPr>
                <w:color w:val="000000"/>
                <w:kern w:val="0"/>
                <w:sz w:val="22"/>
              </w:rPr>
              <w:t>3.60%</w:t>
            </w:r>
          </w:p>
        </w:tc>
        <w:tc>
          <w:tcPr>
            <w:tcW w:w="0" w:type="auto"/>
            <w:tcBorders>
              <w:top w:val="single" w:color="000000" w:sz="4" w:space="0"/>
              <w:left w:val="nil"/>
              <w:bottom w:val="single" w:color="000000" w:sz="4" w:space="0"/>
              <w:right w:val="single" w:color="000000" w:sz="4" w:space="0"/>
            </w:tcBorders>
            <w:noWrap/>
            <w:vAlign w:val="center"/>
          </w:tcPr>
          <w:p w14:paraId="7F2BD0FA">
            <w:pPr>
              <w:widowControl/>
              <w:ind w:firstLine="0" w:firstLineChars="0"/>
              <w:jc w:val="center"/>
              <w:textAlignment w:val="center"/>
              <w:rPr>
                <w:color w:val="000000"/>
                <w:sz w:val="22"/>
              </w:rPr>
            </w:pPr>
            <w:r>
              <w:rPr>
                <w:color w:val="000000"/>
                <w:kern w:val="0"/>
                <w:sz w:val="22"/>
              </w:rPr>
              <w:t>5.92%</w:t>
            </w:r>
          </w:p>
        </w:tc>
        <w:tc>
          <w:tcPr>
            <w:tcW w:w="0" w:type="auto"/>
            <w:tcBorders>
              <w:top w:val="single" w:color="000000" w:sz="4" w:space="0"/>
              <w:left w:val="nil"/>
              <w:bottom w:val="single" w:color="000000" w:sz="4" w:space="0"/>
              <w:right w:val="single" w:color="000000" w:sz="4" w:space="0"/>
            </w:tcBorders>
            <w:noWrap/>
            <w:vAlign w:val="center"/>
          </w:tcPr>
          <w:p w14:paraId="4EFD1389">
            <w:pPr>
              <w:widowControl/>
              <w:ind w:firstLine="0" w:firstLineChars="0"/>
              <w:jc w:val="center"/>
              <w:textAlignment w:val="center"/>
              <w:rPr>
                <w:color w:val="000000"/>
                <w:sz w:val="22"/>
              </w:rPr>
            </w:pPr>
            <w:r>
              <w:rPr>
                <w:color w:val="000000"/>
                <w:kern w:val="0"/>
                <w:sz w:val="22"/>
              </w:rPr>
              <w:t>6.20%</w:t>
            </w:r>
          </w:p>
        </w:tc>
        <w:tc>
          <w:tcPr>
            <w:tcW w:w="0" w:type="auto"/>
            <w:tcBorders>
              <w:top w:val="single" w:color="000000" w:sz="4" w:space="0"/>
              <w:left w:val="nil"/>
              <w:bottom w:val="single" w:color="000000" w:sz="4" w:space="0"/>
              <w:right w:val="single" w:color="000000" w:sz="4" w:space="0"/>
            </w:tcBorders>
            <w:noWrap/>
            <w:vAlign w:val="center"/>
          </w:tcPr>
          <w:p w14:paraId="5DE34D67">
            <w:pPr>
              <w:widowControl/>
              <w:ind w:firstLine="0" w:firstLineChars="0"/>
              <w:jc w:val="center"/>
              <w:textAlignment w:val="center"/>
              <w:rPr>
                <w:color w:val="000000"/>
                <w:sz w:val="22"/>
              </w:rPr>
            </w:pPr>
            <w:r>
              <w:rPr>
                <w:color w:val="000000"/>
                <w:kern w:val="0"/>
                <w:sz w:val="22"/>
              </w:rPr>
              <w:t>6.33%</w:t>
            </w:r>
          </w:p>
        </w:tc>
        <w:tc>
          <w:tcPr>
            <w:tcW w:w="0" w:type="auto"/>
            <w:tcBorders>
              <w:top w:val="single" w:color="000000" w:sz="4" w:space="0"/>
              <w:left w:val="nil"/>
              <w:bottom w:val="single" w:color="000000" w:sz="4" w:space="0"/>
              <w:right w:val="single" w:color="000000" w:sz="4" w:space="0"/>
            </w:tcBorders>
            <w:noWrap/>
            <w:vAlign w:val="center"/>
          </w:tcPr>
          <w:p w14:paraId="741D5210">
            <w:pPr>
              <w:widowControl/>
              <w:ind w:firstLine="0" w:firstLineChars="0"/>
              <w:jc w:val="center"/>
              <w:textAlignment w:val="center"/>
              <w:rPr>
                <w:color w:val="000000"/>
                <w:sz w:val="22"/>
              </w:rPr>
            </w:pPr>
            <w:r>
              <w:rPr>
                <w:color w:val="000000"/>
                <w:kern w:val="0"/>
                <w:sz w:val="22"/>
              </w:rPr>
              <w:t>0.13%</w:t>
            </w:r>
          </w:p>
        </w:tc>
      </w:tr>
      <w:tr w14:paraId="439AB39B">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FF93B3">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部门碳排放量增长率</w:t>
            </w:r>
            <w:r>
              <w:rPr>
                <w:rFonts w:eastAsia="仿宋"/>
                <w:color w:val="000000"/>
                <w:kern w:val="0"/>
                <w:sz w:val="20"/>
                <w:szCs w:val="20"/>
              </w:rPr>
              <w:t xml:space="preserve">    Y3-5</w:t>
            </w:r>
          </w:p>
        </w:tc>
        <w:tc>
          <w:tcPr>
            <w:tcW w:w="0" w:type="auto"/>
            <w:tcBorders>
              <w:top w:val="single" w:color="000000" w:sz="4" w:space="0"/>
              <w:left w:val="nil"/>
              <w:bottom w:val="single" w:color="000000" w:sz="4" w:space="0"/>
              <w:right w:val="single" w:color="000000" w:sz="4" w:space="0"/>
            </w:tcBorders>
            <w:noWrap/>
            <w:vAlign w:val="bottom"/>
          </w:tcPr>
          <w:p w14:paraId="62D2118B">
            <w:pPr>
              <w:ind w:firstLine="0" w:firstLineChars="0"/>
              <w:rPr>
                <w:color w:val="000000"/>
                <w:sz w:val="22"/>
              </w:rPr>
            </w:pPr>
          </w:p>
        </w:tc>
        <w:tc>
          <w:tcPr>
            <w:tcW w:w="0" w:type="auto"/>
            <w:tcBorders>
              <w:top w:val="single" w:color="000000" w:sz="4" w:space="0"/>
              <w:left w:val="nil"/>
              <w:bottom w:val="single" w:color="000000" w:sz="4" w:space="0"/>
              <w:right w:val="single" w:color="000000" w:sz="4" w:space="0"/>
            </w:tcBorders>
            <w:noWrap/>
            <w:vAlign w:val="center"/>
          </w:tcPr>
          <w:p w14:paraId="2FF7E155">
            <w:pPr>
              <w:widowControl/>
              <w:ind w:firstLine="0" w:firstLineChars="0"/>
              <w:jc w:val="center"/>
              <w:textAlignment w:val="center"/>
              <w:rPr>
                <w:color w:val="000000"/>
                <w:sz w:val="22"/>
              </w:rPr>
            </w:pPr>
            <w:r>
              <w:rPr>
                <w:color w:val="000000"/>
                <w:kern w:val="0"/>
                <w:sz w:val="22"/>
              </w:rPr>
              <w:t>16.75%</w:t>
            </w:r>
          </w:p>
        </w:tc>
        <w:tc>
          <w:tcPr>
            <w:tcW w:w="0" w:type="auto"/>
            <w:tcBorders>
              <w:top w:val="single" w:color="000000" w:sz="4" w:space="0"/>
              <w:left w:val="nil"/>
              <w:bottom w:val="single" w:color="000000" w:sz="4" w:space="0"/>
              <w:right w:val="single" w:color="000000" w:sz="4" w:space="0"/>
            </w:tcBorders>
            <w:noWrap/>
            <w:vAlign w:val="center"/>
          </w:tcPr>
          <w:p w14:paraId="538C3991">
            <w:pPr>
              <w:widowControl/>
              <w:ind w:firstLine="0" w:firstLineChars="0"/>
              <w:jc w:val="center"/>
              <w:textAlignment w:val="center"/>
              <w:rPr>
                <w:color w:val="000000"/>
                <w:sz w:val="22"/>
              </w:rPr>
            </w:pPr>
            <w:r>
              <w:rPr>
                <w:color w:val="000000"/>
                <w:kern w:val="0"/>
                <w:sz w:val="22"/>
              </w:rPr>
              <w:t>8.53%</w:t>
            </w:r>
          </w:p>
        </w:tc>
        <w:tc>
          <w:tcPr>
            <w:tcW w:w="0" w:type="auto"/>
            <w:tcBorders>
              <w:top w:val="single" w:color="000000" w:sz="4" w:space="0"/>
              <w:left w:val="nil"/>
              <w:bottom w:val="single" w:color="000000" w:sz="4" w:space="0"/>
              <w:right w:val="single" w:color="000000" w:sz="4" w:space="0"/>
            </w:tcBorders>
            <w:noWrap/>
            <w:vAlign w:val="center"/>
          </w:tcPr>
          <w:p w14:paraId="458958A6">
            <w:pPr>
              <w:widowControl/>
              <w:ind w:firstLine="0" w:firstLineChars="0"/>
              <w:jc w:val="center"/>
              <w:textAlignment w:val="center"/>
              <w:rPr>
                <w:color w:val="000000"/>
                <w:sz w:val="22"/>
              </w:rPr>
            </w:pPr>
            <w:r>
              <w:rPr>
                <w:color w:val="000000"/>
                <w:kern w:val="0"/>
                <w:sz w:val="22"/>
              </w:rPr>
              <w:t>9.99%</w:t>
            </w:r>
          </w:p>
        </w:tc>
        <w:tc>
          <w:tcPr>
            <w:tcW w:w="0" w:type="auto"/>
            <w:tcBorders>
              <w:top w:val="single" w:color="000000" w:sz="4" w:space="0"/>
              <w:left w:val="nil"/>
              <w:bottom w:val="single" w:color="000000" w:sz="4" w:space="0"/>
              <w:right w:val="single" w:color="000000" w:sz="4" w:space="0"/>
            </w:tcBorders>
            <w:noWrap/>
            <w:vAlign w:val="center"/>
          </w:tcPr>
          <w:p w14:paraId="411AC480">
            <w:pPr>
              <w:widowControl/>
              <w:ind w:firstLine="0" w:firstLineChars="0"/>
              <w:jc w:val="center"/>
              <w:textAlignment w:val="center"/>
              <w:rPr>
                <w:color w:val="000000"/>
                <w:sz w:val="22"/>
              </w:rPr>
            </w:pPr>
            <w:r>
              <w:rPr>
                <w:color w:val="000000"/>
                <w:kern w:val="0"/>
                <w:sz w:val="22"/>
              </w:rPr>
              <w:t>-10.79%</w:t>
            </w:r>
          </w:p>
        </w:tc>
        <w:tc>
          <w:tcPr>
            <w:tcW w:w="0" w:type="auto"/>
            <w:tcBorders>
              <w:top w:val="single" w:color="000000" w:sz="4" w:space="0"/>
              <w:left w:val="nil"/>
              <w:bottom w:val="single" w:color="000000" w:sz="4" w:space="0"/>
              <w:right w:val="single" w:color="000000" w:sz="4" w:space="0"/>
            </w:tcBorders>
            <w:noWrap/>
            <w:vAlign w:val="center"/>
          </w:tcPr>
          <w:p w14:paraId="3AF1476E">
            <w:pPr>
              <w:widowControl/>
              <w:ind w:firstLine="0" w:firstLineChars="0"/>
              <w:jc w:val="center"/>
              <w:textAlignment w:val="center"/>
              <w:rPr>
                <w:color w:val="000000"/>
                <w:sz w:val="22"/>
              </w:rPr>
            </w:pPr>
            <w:r>
              <w:rPr>
                <w:color w:val="000000"/>
                <w:kern w:val="0"/>
                <w:sz w:val="22"/>
              </w:rPr>
              <w:t>11.30%</w:t>
            </w:r>
          </w:p>
        </w:tc>
        <w:tc>
          <w:tcPr>
            <w:tcW w:w="0" w:type="auto"/>
            <w:tcBorders>
              <w:top w:val="single" w:color="000000" w:sz="4" w:space="0"/>
              <w:left w:val="nil"/>
              <w:bottom w:val="single" w:color="000000" w:sz="4" w:space="0"/>
              <w:right w:val="single" w:color="000000" w:sz="4" w:space="0"/>
            </w:tcBorders>
            <w:noWrap/>
            <w:vAlign w:val="center"/>
          </w:tcPr>
          <w:p w14:paraId="554E1423">
            <w:pPr>
              <w:widowControl/>
              <w:ind w:firstLine="0" w:firstLineChars="0"/>
              <w:jc w:val="center"/>
              <w:textAlignment w:val="center"/>
              <w:rPr>
                <w:color w:val="000000"/>
                <w:sz w:val="22"/>
              </w:rPr>
            </w:pPr>
            <w:r>
              <w:rPr>
                <w:color w:val="000000"/>
                <w:kern w:val="0"/>
                <w:sz w:val="22"/>
              </w:rPr>
              <w:t>8.38%</w:t>
            </w:r>
          </w:p>
        </w:tc>
        <w:tc>
          <w:tcPr>
            <w:tcW w:w="0" w:type="auto"/>
            <w:tcBorders>
              <w:top w:val="single" w:color="000000" w:sz="4" w:space="0"/>
              <w:left w:val="nil"/>
              <w:bottom w:val="single" w:color="000000" w:sz="4" w:space="0"/>
              <w:right w:val="single" w:color="000000" w:sz="4" w:space="0"/>
            </w:tcBorders>
            <w:noWrap/>
            <w:vAlign w:val="center"/>
          </w:tcPr>
          <w:p w14:paraId="2F676000">
            <w:pPr>
              <w:widowControl/>
              <w:ind w:firstLine="0" w:firstLineChars="0"/>
              <w:jc w:val="center"/>
              <w:textAlignment w:val="center"/>
              <w:rPr>
                <w:color w:val="000000"/>
                <w:sz w:val="22"/>
              </w:rPr>
            </w:pPr>
            <w:r>
              <w:rPr>
                <w:color w:val="000000"/>
                <w:kern w:val="0"/>
                <w:sz w:val="22"/>
              </w:rPr>
              <w:t>10.68%</w:t>
            </w:r>
          </w:p>
        </w:tc>
        <w:tc>
          <w:tcPr>
            <w:tcW w:w="0" w:type="auto"/>
            <w:tcBorders>
              <w:top w:val="single" w:color="000000" w:sz="4" w:space="0"/>
              <w:left w:val="nil"/>
              <w:bottom w:val="single" w:color="000000" w:sz="4" w:space="0"/>
              <w:right w:val="single" w:color="000000" w:sz="4" w:space="0"/>
            </w:tcBorders>
            <w:noWrap/>
            <w:vAlign w:val="center"/>
          </w:tcPr>
          <w:p w14:paraId="2BDABF4F">
            <w:pPr>
              <w:widowControl/>
              <w:ind w:firstLine="0" w:firstLineChars="0"/>
              <w:jc w:val="center"/>
              <w:textAlignment w:val="center"/>
              <w:rPr>
                <w:color w:val="000000"/>
                <w:sz w:val="22"/>
              </w:rPr>
            </w:pPr>
            <w:r>
              <w:rPr>
                <w:color w:val="000000"/>
                <w:kern w:val="0"/>
                <w:sz w:val="22"/>
              </w:rPr>
              <w:t>12.75%</w:t>
            </w:r>
          </w:p>
        </w:tc>
        <w:tc>
          <w:tcPr>
            <w:tcW w:w="0" w:type="auto"/>
            <w:tcBorders>
              <w:top w:val="single" w:color="000000" w:sz="4" w:space="0"/>
              <w:left w:val="nil"/>
              <w:bottom w:val="single" w:color="000000" w:sz="4" w:space="0"/>
              <w:right w:val="single" w:color="000000" w:sz="4" w:space="0"/>
            </w:tcBorders>
            <w:noWrap/>
            <w:vAlign w:val="center"/>
          </w:tcPr>
          <w:p w14:paraId="01EA1557">
            <w:pPr>
              <w:widowControl/>
              <w:ind w:firstLine="0" w:firstLineChars="0"/>
              <w:jc w:val="center"/>
              <w:textAlignment w:val="center"/>
              <w:rPr>
                <w:color w:val="000000"/>
                <w:sz w:val="22"/>
              </w:rPr>
            </w:pPr>
            <w:r>
              <w:rPr>
                <w:color w:val="000000"/>
                <w:kern w:val="0"/>
                <w:sz w:val="22"/>
              </w:rPr>
              <w:t>7.63%</w:t>
            </w:r>
          </w:p>
        </w:tc>
        <w:tc>
          <w:tcPr>
            <w:tcW w:w="0" w:type="auto"/>
            <w:tcBorders>
              <w:top w:val="single" w:color="000000" w:sz="4" w:space="0"/>
              <w:left w:val="nil"/>
              <w:bottom w:val="single" w:color="000000" w:sz="4" w:space="0"/>
              <w:right w:val="single" w:color="000000" w:sz="4" w:space="0"/>
            </w:tcBorders>
            <w:noWrap/>
            <w:vAlign w:val="center"/>
          </w:tcPr>
          <w:p w14:paraId="0C4163B4">
            <w:pPr>
              <w:widowControl/>
              <w:ind w:firstLine="0" w:firstLineChars="0"/>
              <w:jc w:val="center"/>
              <w:textAlignment w:val="center"/>
              <w:rPr>
                <w:color w:val="000000"/>
                <w:sz w:val="22"/>
              </w:rPr>
            </w:pPr>
            <w:r>
              <w:rPr>
                <w:color w:val="000000"/>
                <w:kern w:val="0"/>
                <w:sz w:val="22"/>
              </w:rPr>
              <w:t>-4.42%</w:t>
            </w:r>
          </w:p>
        </w:tc>
      </w:tr>
      <w:tr w14:paraId="5680AF0B">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0E90928">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部门碳排放量增长率</w:t>
            </w:r>
            <w:r>
              <w:rPr>
                <w:rFonts w:eastAsia="仿宋"/>
                <w:color w:val="000000"/>
                <w:kern w:val="0"/>
                <w:sz w:val="20"/>
                <w:szCs w:val="20"/>
              </w:rPr>
              <w:t xml:space="preserve">    Y3-6</w:t>
            </w:r>
          </w:p>
        </w:tc>
        <w:tc>
          <w:tcPr>
            <w:tcW w:w="0" w:type="auto"/>
            <w:tcBorders>
              <w:top w:val="single" w:color="000000" w:sz="4" w:space="0"/>
              <w:left w:val="nil"/>
              <w:bottom w:val="single" w:color="000000" w:sz="4" w:space="0"/>
              <w:right w:val="single" w:color="000000" w:sz="4" w:space="0"/>
            </w:tcBorders>
            <w:noWrap/>
            <w:vAlign w:val="bottom"/>
          </w:tcPr>
          <w:p w14:paraId="27111581">
            <w:pPr>
              <w:ind w:firstLine="0" w:firstLineChars="0"/>
              <w:rPr>
                <w:color w:val="000000"/>
                <w:sz w:val="22"/>
              </w:rPr>
            </w:pPr>
          </w:p>
        </w:tc>
        <w:tc>
          <w:tcPr>
            <w:tcW w:w="0" w:type="auto"/>
            <w:tcBorders>
              <w:top w:val="single" w:color="000000" w:sz="4" w:space="0"/>
              <w:left w:val="nil"/>
              <w:bottom w:val="single" w:color="000000" w:sz="4" w:space="0"/>
              <w:right w:val="single" w:color="000000" w:sz="4" w:space="0"/>
            </w:tcBorders>
            <w:noWrap/>
            <w:vAlign w:val="center"/>
          </w:tcPr>
          <w:p w14:paraId="5572C4C3">
            <w:pPr>
              <w:widowControl/>
              <w:ind w:firstLine="0" w:firstLineChars="0"/>
              <w:jc w:val="center"/>
              <w:textAlignment w:val="center"/>
              <w:rPr>
                <w:color w:val="000000"/>
                <w:sz w:val="22"/>
              </w:rPr>
            </w:pPr>
            <w:r>
              <w:rPr>
                <w:color w:val="000000"/>
                <w:kern w:val="0"/>
                <w:sz w:val="22"/>
              </w:rPr>
              <w:t>6.03%</w:t>
            </w:r>
          </w:p>
        </w:tc>
        <w:tc>
          <w:tcPr>
            <w:tcW w:w="0" w:type="auto"/>
            <w:tcBorders>
              <w:top w:val="single" w:color="000000" w:sz="4" w:space="0"/>
              <w:left w:val="nil"/>
              <w:bottom w:val="single" w:color="000000" w:sz="4" w:space="0"/>
              <w:right w:val="single" w:color="000000" w:sz="4" w:space="0"/>
            </w:tcBorders>
            <w:noWrap/>
            <w:vAlign w:val="center"/>
          </w:tcPr>
          <w:p w14:paraId="2EF350F2">
            <w:pPr>
              <w:widowControl/>
              <w:ind w:firstLine="0" w:firstLineChars="0"/>
              <w:jc w:val="center"/>
              <w:textAlignment w:val="center"/>
              <w:rPr>
                <w:color w:val="000000"/>
                <w:sz w:val="22"/>
              </w:rPr>
            </w:pPr>
            <w:r>
              <w:rPr>
                <w:color w:val="000000"/>
                <w:kern w:val="0"/>
                <w:sz w:val="22"/>
              </w:rPr>
              <w:t>11.72%</w:t>
            </w:r>
          </w:p>
        </w:tc>
        <w:tc>
          <w:tcPr>
            <w:tcW w:w="0" w:type="auto"/>
            <w:tcBorders>
              <w:top w:val="single" w:color="000000" w:sz="4" w:space="0"/>
              <w:left w:val="nil"/>
              <w:bottom w:val="single" w:color="000000" w:sz="4" w:space="0"/>
              <w:right w:val="single" w:color="000000" w:sz="4" w:space="0"/>
            </w:tcBorders>
            <w:noWrap/>
            <w:vAlign w:val="center"/>
          </w:tcPr>
          <w:p w14:paraId="4775212A">
            <w:pPr>
              <w:widowControl/>
              <w:ind w:firstLine="0" w:firstLineChars="0"/>
              <w:jc w:val="center"/>
              <w:textAlignment w:val="center"/>
              <w:rPr>
                <w:color w:val="000000"/>
                <w:sz w:val="22"/>
              </w:rPr>
            </w:pPr>
            <w:r>
              <w:rPr>
                <w:color w:val="000000"/>
                <w:kern w:val="0"/>
                <w:sz w:val="22"/>
              </w:rPr>
              <w:t>11.28%</w:t>
            </w:r>
          </w:p>
        </w:tc>
        <w:tc>
          <w:tcPr>
            <w:tcW w:w="0" w:type="auto"/>
            <w:tcBorders>
              <w:top w:val="single" w:color="000000" w:sz="4" w:space="0"/>
              <w:left w:val="nil"/>
              <w:bottom w:val="single" w:color="000000" w:sz="4" w:space="0"/>
              <w:right w:val="single" w:color="000000" w:sz="4" w:space="0"/>
            </w:tcBorders>
            <w:noWrap/>
            <w:vAlign w:val="center"/>
          </w:tcPr>
          <w:p w14:paraId="73862C82">
            <w:pPr>
              <w:widowControl/>
              <w:ind w:firstLine="0" w:firstLineChars="0"/>
              <w:jc w:val="center"/>
              <w:textAlignment w:val="center"/>
              <w:rPr>
                <w:color w:val="000000"/>
                <w:sz w:val="22"/>
              </w:rPr>
            </w:pPr>
            <w:r>
              <w:rPr>
                <w:color w:val="000000"/>
                <w:kern w:val="0"/>
                <w:sz w:val="22"/>
              </w:rPr>
              <w:t>-13.16%</w:t>
            </w:r>
          </w:p>
        </w:tc>
        <w:tc>
          <w:tcPr>
            <w:tcW w:w="0" w:type="auto"/>
            <w:tcBorders>
              <w:top w:val="single" w:color="000000" w:sz="4" w:space="0"/>
              <w:left w:val="nil"/>
              <w:bottom w:val="single" w:color="000000" w:sz="4" w:space="0"/>
              <w:right w:val="single" w:color="000000" w:sz="4" w:space="0"/>
            </w:tcBorders>
            <w:noWrap/>
            <w:vAlign w:val="center"/>
          </w:tcPr>
          <w:p w14:paraId="7D6678C6">
            <w:pPr>
              <w:widowControl/>
              <w:ind w:firstLine="0" w:firstLineChars="0"/>
              <w:jc w:val="center"/>
              <w:textAlignment w:val="center"/>
              <w:rPr>
                <w:color w:val="000000"/>
                <w:sz w:val="22"/>
              </w:rPr>
            </w:pPr>
            <w:r>
              <w:rPr>
                <w:color w:val="000000"/>
                <w:kern w:val="0"/>
                <w:sz w:val="22"/>
              </w:rPr>
              <w:t>10.62%</w:t>
            </w:r>
          </w:p>
        </w:tc>
        <w:tc>
          <w:tcPr>
            <w:tcW w:w="0" w:type="auto"/>
            <w:tcBorders>
              <w:top w:val="single" w:color="000000" w:sz="4" w:space="0"/>
              <w:left w:val="nil"/>
              <w:bottom w:val="single" w:color="000000" w:sz="4" w:space="0"/>
              <w:right w:val="single" w:color="000000" w:sz="4" w:space="0"/>
            </w:tcBorders>
            <w:noWrap/>
            <w:vAlign w:val="center"/>
          </w:tcPr>
          <w:p w14:paraId="5F344661">
            <w:pPr>
              <w:widowControl/>
              <w:ind w:firstLine="0" w:firstLineChars="0"/>
              <w:jc w:val="center"/>
              <w:textAlignment w:val="center"/>
              <w:rPr>
                <w:color w:val="000000"/>
                <w:sz w:val="22"/>
              </w:rPr>
            </w:pPr>
            <w:r>
              <w:rPr>
                <w:color w:val="000000"/>
                <w:kern w:val="0"/>
                <w:sz w:val="22"/>
              </w:rPr>
              <w:t>11.57%</w:t>
            </w:r>
          </w:p>
        </w:tc>
        <w:tc>
          <w:tcPr>
            <w:tcW w:w="0" w:type="auto"/>
            <w:tcBorders>
              <w:top w:val="single" w:color="000000" w:sz="4" w:space="0"/>
              <w:left w:val="nil"/>
              <w:bottom w:val="single" w:color="000000" w:sz="4" w:space="0"/>
              <w:right w:val="single" w:color="000000" w:sz="4" w:space="0"/>
            </w:tcBorders>
            <w:noWrap/>
            <w:vAlign w:val="center"/>
          </w:tcPr>
          <w:p w14:paraId="737CDA37">
            <w:pPr>
              <w:widowControl/>
              <w:ind w:firstLine="0" w:firstLineChars="0"/>
              <w:jc w:val="center"/>
              <w:textAlignment w:val="center"/>
              <w:rPr>
                <w:color w:val="000000"/>
                <w:sz w:val="22"/>
              </w:rPr>
            </w:pPr>
            <w:r>
              <w:rPr>
                <w:color w:val="000000"/>
                <w:kern w:val="0"/>
                <w:sz w:val="22"/>
              </w:rPr>
              <w:t>9.37%</w:t>
            </w:r>
          </w:p>
        </w:tc>
        <w:tc>
          <w:tcPr>
            <w:tcW w:w="0" w:type="auto"/>
            <w:tcBorders>
              <w:top w:val="single" w:color="000000" w:sz="4" w:space="0"/>
              <w:left w:val="nil"/>
              <w:bottom w:val="single" w:color="000000" w:sz="4" w:space="0"/>
              <w:right w:val="single" w:color="000000" w:sz="4" w:space="0"/>
            </w:tcBorders>
            <w:noWrap/>
            <w:vAlign w:val="center"/>
          </w:tcPr>
          <w:p w14:paraId="17CC6E2A">
            <w:pPr>
              <w:widowControl/>
              <w:ind w:firstLine="0" w:firstLineChars="0"/>
              <w:jc w:val="center"/>
              <w:textAlignment w:val="center"/>
              <w:rPr>
                <w:color w:val="000000"/>
                <w:sz w:val="22"/>
              </w:rPr>
            </w:pPr>
            <w:r>
              <w:rPr>
                <w:color w:val="000000"/>
                <w:kern w:val="0"/>
                <w:sz w:val="22"/>
              </w:rPr>
              <w:t>8.51%</w:t>
            </w:r>
          </w:p>
        </w:tc>
        <w:tc>
          <w:tcPr>
            <w:tcW w:w="0" w:type="auto"/>
            <w:tcBorders>
              <w:top w:val="single" w:color="000000" w:sz="4" w:space="0"/>
              <w:left w:val="nil"/>
              <w:bottom w:val="single" w:color="000000" w:sz="4" w:space="0"/>
              <w:right w:val="single" w:color="000000" w:sz="4" w:space="0"/>
            </w:tcBorders>
            <w:noWrap/>
            <w:vAlign w:val="center"/>
          </w:tcPr>
          <w:p w14:paraId="18AAF03E">
            <w:pPr>
              <w:widowControl/>
              <w:ind w:firstLine="0" w:firstLineChars="0"/>
              <w:jc w:val="center"/>
              <w:textAlignment w:val="center"/>
              <w:rPr>
                <w:color w:val="000000"/>
                <w:sz w:val="22"/>
              </w:rPr>
            </w:pPr>
            <w:r>
              <w:rPr>
                <w:color w:val="000000"/>
                <w:kern w:val="0"/>
                <w:sz w:val="22"/>
              </w:rPr>
              <w:t>2.12%</w:t>
            </w:r>
          </w:p>
        </w:tc>
        <w:tc>
          <w:tcPr>
            <w:tcW w:w="0" w:type="auto"/>
            <w:tcBorders>
              <w:top w:val="single" w:color="000000" w:sz="4" w:space="0"/>
              <w:left w:val="nil"/>
              <w:bottom w:val="single" w:color="000000" w:sz="4" w:space="0"/>
              <w:right w:val="single" w:color="000000" w:sz="4" w:space="0"/>
            </w:tcBorders>
            <w:noWrap/>
            <w:vAlign w:val="center"/>
          </w:tcPr>
          <w:p w14:paraId="70CF29BA">
            <w:pPr>
              <w:widowControl/>
              <w:ind w:firstLine="0" w:firstLineChars="0"/>
              <w:jc w:val="center"/>
              <w:textAlignment w:val="center"/>
              <w:rPr>
                <w:color w:val="000000"/>
                <w:sz w:val="22"/>
              </w:rPr>
            </w:pPr>
            <w:r>
              <w:rPr>
                <w:color w:val="000000"/>
                <w:kern w:val="0"/>
                <w:sz w:val="22"/>
              </w:rPr>
              <w:t>1.39%</w:t>
            </w:r>
          </w:p>
        </w:tc>
      </w:tr>
      <w:tr w14:paraId="4149D514">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C8172F">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部门间接碳排放量</w:t>
            </w:r>
            <w:r>
              <w:rPr>
                <w:rFonts w:eastAsia="仿宋"/>
                <w:color w:val="000000"/>
                <w:kern w:val="0"/>
                <w:sz w:val="20"/>
                <w:szCs w:val="20"/>
              </w:rPr>
              <w:t xml:space="preserve">      Y4-1</w:t>
            </w:r>
          </w:p>
        </w:tc>
        <w:tc>
          <w:tcPr>
            <w:tcW w:w="0" w:type="auto"/>
            <w:tcBorders>
              <w:top w:val="single" w:color="000000" w:sz="4" w:space="0"/>
              <w:left w:val="nil"/>
              <w:bottom w:val="single" w:color="000000" w:sz="4" w:space="0"/>
              <w:right w:val="single" w:color="000000" w:sz="4" w:space="0"/>
            </w:tcBorders>
            <w:noWrap/>
            <w:vAlign w:val="bottom"/>
          </w:tcPr>
          <w:p w14:paraId="142E25EB">
            <w:pPr>
              <w:widowControl/>
              <w:ind w:firstLine="0" w:firstLineChars="0"/>
              <w:jc w:val="right"/>
              <w:textAlignment w:val="bottom"/>
              <w:rPr>
                <w:color w:val="000000"/>
                <w:sz w:val="22"/>
              </w:rPr>
            </w:pPr>
            <w:r>
              <w:rPr>
                <w:color w:val="000000"/>
                <w:kern w:val="0"/>
                <w:sz w:val="22"/>
              </w:rPr>
              <w:t>219.83</w:t>
            </w:r>
          </w:p>
        </w:tc>
        <w:tc>
          <w:tcPr>
            <w:tcW w:w="0" w:type="auto"/>
            <w:tcBorders>
              <w:top w:val="single" w:color="000000" w:sz="4" w:space="0"/>
              <w:left w:val="nil"/>
              <w:bottom w:val="single" w:color="000000" w:sz="4" w:space="0"/>
              <w:right w:val="single" w:color="000000" w:sz="4" w:space="0"/>
            </w:tcBorders>
            <w:noWrap/>
            <w:vAlign w:val="bottom"/>
          </w:tcPr>
          <w:p w14:paraId="4971528E">
            <w:pPr>
              <w:widowControl/>
              <w:ind w:firstLine="0" w:firstLineChars="0"/>
              <w:jc w:val="right"/>
              <w:textAlignment w:val="bottom"/>
              <w:rPr>
                <w:color w:val="000000"/>
                <w:sz w:val="22"/>
              </w:rPr>
            </w:pPr>
            <w:r>
              <w:rPr>
                <w:color w:val="000000"/>
                <w:kern w:val="0"/>
                <w:sz w:val="22"/>
              </w:rPr>
              <w:t>261.47</w:t>
            </w:r>
          </w:p>
        </w:tc>
        <w:tc>
          <w:tcPr>
            <w:tcW w:w="0" w:type="auto"/>
            <w:tcBorders>
              <w:top w:val="single" w:color="000000" w:sz="4" w:space="0"/>
              <w:left w:val="nil"/>
              <w:bottom w:val="single" w:color="000000" w:sz="4" w:space="0"/>
              <w:right w:val="single" w:color="000000" w:sz="4" w:space="0"/>
            </w:tcBorders>
            <w:noWrap/>
            <w:vAlign w:val="bottom"/>
          </w:tcPr>
          <w:p w14:paraId="1B78F58B">
            <w:pPr>
              <w:widowControl/>
              <w:ind w:firstLine="0" w:firstLineChars="0"/>
              <w:jc w:val="right"/>
              <w:textAlignment w:val="bottom"/>
              <w:rPr>
                <w:color w:val="000000"/>
                <w:sz w:val="22"/>
              </w:rPr>
            </w:pPr>
            <w:r>
              <w:rPr>
                <w:color w:val="000000"/>
                <w:kern w:val="0"/>
                <w:sz w:val="22"/>
              </w:rPr>
              <w:t>291.74</w:t>
            </w:r>
          </w:p>
        </w:tc>
        <w:tc>
          <w:tcPr>
            <w:tcW w:w="0" w:type="auto"/>
            <w:tcBorders>
              <w:top w:val="single" w:color="000000" w:sz="4" w:space="0"/>
              <w:left w:val="nil"/>
              <w:bottom w:val="single" w:color="000000" w:sz="4" w:space="0"/>
              <w:right w:val="single" w:color="000000" w:sz="4" w:space="0"/>
            </w:tcBorders>
            <w:noWrap/>
            <w:vAlign w:val="bottom"/>
          </w:tcPr>
          <w:p w14:paraId="0A7094D0">
            <w:pPr>
              <w:widowControl/>
              <w:ind w:firstLine="0" w:firstLineChars="0"/>
              <w:jc w:val="right"/>
              <w:textAlignment w:val="bottom"/>
              <w:rPr>
                <w:color w:val="000000"/>
                <w:sz w:val="22"/>
              </w:rPr>
            </w:pPr>
            <w:r>
              <w:rPr>
                <w:color w:val="000000"/>
                <w:kern w:val="0"/>
                <w:sz w:val="22"/>
              </w:rPr>
              <w:t>333.52</w:t>
            </w:r>
          </w:p>
        </w:tc>
        <w:tc>
          <w:tcPr>
            <w:tcW w:w="0" w:type="auto"/>
            <w:tcBorders>
              <w:top w:val="single" w:color="000000" w:sz="4" w:space="0"/>
              <w:left w:val="nil"/>
              <w:bottom w:val="single" w:color="000000" w:sz="4" w:space="0"/>
              <w:right w:val="single" w:color="000000" w:sz="4" w:space="0"/>
            </w:tcBorders>
            <w:noWrap/>
            <w:vAlign w:val="bottom"/>
          </w:tcPr>
          <w:p w14:paraId="1C09B5B3">
            <w:pPr>
              <w:widowControl/>
              <w:ind w:firstLine="0" w:firstLineChars="0"/>
              <w:jc w:val="right"/>
              <w:textAlignment w:val="bottom"/>
              <w:rPr>
                <w:color w:val="000000"/>
                <w:sz w:val="22"/>
              </w:rPr>
            </w:pPr>
            <w:r>
              <w:rPr>
                <w:color w:val="000000"/>
                <w:kern w:val="0"/>
                <w:sz w:val="22"/>
              </w:rPr>
              <w:t>312.28</w:t>
            </w:r>
          </w:p>
        </w:tc>
        <w:tc>
          <w:tcPr>
            <w:tcW w:w="0" w:type="auto"/>
            <w:tcBorders>
              <w:top w:val="single" w:color="000000" w:sz="4" w:space="0"/>
              <w:left w:val="nil"/>
              <w:bottom w:val="single" w:color="000000" w:sz="4" w:space="0"/>
              <w:right w:val="single" w:color="000000" w:sz="4" w:space="0"/>
            </w:tcBorders>
            <w:noWrap/>
            <w:vAlign w:val="bottom"/>
          </w:tcPr>
          <w:p w14:paraId="3B8C481A">
            <w:pPr>
              <w:widowControl/>
              <w:ind w:firstLine="0" w:firstLineChars="0"/>
              <w:jc w:val="right"/>
              <w:textAlignment w:val="bottom"/>
              <w:rPr>
                <w:color w:val="000000"/>
                <w:sz w:val="22"/>
              </w:rPr>
            </w:pPr>
            <w:r>
              <w:rPr>
                <w:color w:val="000000"/>
                <w:kern w:val="0"/>
                <w:sz w:val="22"/>
              </w:rPr>
              <w:t>372.85</w:t>
            </w:r>
          </w:p>
        </w:tc>
        <w:tc>
          <w:tcPr>
            <w:tcW w:w="0" w:type="auto"/>
            <w:tcBorders>
              <w:top w:val="single" w:color="000000" w:sz="4" w:space="0"/>
              <w:left w:val="nil"/>
              <w:bottom w:val="single" w:color="000000" w:sz="4" w:space="0"/>
              <w:right w:val="single" w:color="000000" w:sz="4" w:space="0"/>
            </w:tcBorders>
            <w:noWrap/>
            <w:vAlign w:val="bottom"/>
          </w:tcPr>
          <w:p w14:paraId="0FB6F081">
            <w:pPr>
              <w:widowControl/>
              <w:ind w:firstLine="0" w:firstLineChars="0"/>
              <w:jc w:val="right"/>
              <w:textAlignment w:val="bottom"/>
              <w:rPr>
                <w:color w:val="000000"/>
                <w:sz w:val="22"/>
              </w:rPr>
            </w:pPr>
            <w:r>
              <w:rPr>
                <w:color w:val="000000"/>
                <w:kern w:val="0"/>
                <w:sz w:val="22"/>
              </w:rPr>
              <w:t>435.32</w:t>
            </w:r>
          </w:p>
        </w:tc>
        <w:tc>
          <w:tcPr>
            <w:tcW w:w="0" w:type="auto"/>
            <w:tcBorders>
              <w:top w:val="single" w:color="000000" w:sz="4" w:space="0"/>
              <w:left w:val="nil"/>
              <w:bottom w:val="single" w:color="000000" w:sz="4" w:space="0"/>
              <w:right w:val="single" w:color="000000" w:sz="4" w:space="0"/>
            </w:tcBorders>
            <w:noWrap/>
            <w:vAlign w:val="bottom"/>
          </w:tcPr>
          <w:p w14:paraId="78353D48">
            <w:pPr>
              <w:widowControl/>
              <w:ind w:firstLine="0" w:firstLineChars="0"/>
              <w:jc w:val="right"/>
              <w:textAlignment w:val="bottom"/>
              <w:rPr>
                <w:color w:val="000000"/>
                <w:sz w:val="22"/>
              </w:rPr>
            </w:pPr>
            <w:r>
              <w:rPr>
                <w:color w:val="000000"/>
                <w:kern w:val="0"/>
                <w:sz w:val="22"/>
              </w:rPr>
              <w:t>467.48</w:t>
            </w:r>
          </w:p>
        </w:tc>
        <w:tc>
          <w:tcPr>
            <w:tcW w:w="0" w:type="auto"/>
            <w:tcBorders>
              <w:top w:val="single" w:color="000000" w:sz="4" w:space="0"/>
              <w:left w:val="nil"/>
              <w:bottom w:val="single" w:color="000000" w:sz="4" w:space="0"/>
              <w:right w:val="single" w:color="000000" w:sz="4" w:space="0"/>
            </w:tcBorders>
            <w:noWrap/>
            <w:vAlign w:val="bottom"/>
          </w:tcPr>
          <w:p w14:paraId="2D7CEABE">
            <w:pPr>
              <w:widowControl/>
              <w:ind w:firstLine="0" w:firstLineChars="0"/>
              <w:jc w:val="right"/>
              <w:textAlignment w:val="bottom"/>
              <w:rPr>
                <w:color w:val="000000"/>
                <w:sz w:val="22"/>
              </w:rPr>
            </w:pPr>
            <w:r>
              <w:rPr>
                <w:color w:val="000000"/>
                <w:kern w:val="0"/>
                <w:sz w:val="22"/>
              </w:rPr>
              <w:t>495.01</w:t>
            </w:r>
          </w:p>
        </w:tc>
        <w:tc>
          <w:tcPr>
            <w:tcW w:w="0" w:type="auto"/>
            <w:tcBorders>
              <w:top w:val="single" w:color="000000" w:sz="4" w:space="0"/>
              <w:left w:val="nil"/>
              <w:bottom w:val="single" w:color="000000" w:sz="4" w:space="0"/>
              <w:right w:val="single" w:color="000000" w:sz="4" w:space="0"/>
            </w:tcBorders>
            <w:noWrap/>
            <w:vAlign w:val="bottom"/>
          </w:tcPr>
          <w:p w14:paraId="2C4650F8">
            <w:pPr>
              <w:widowControl/>
              <w:ind w:firstLine="0" w:firstLineChars="0"/>
              <w:jc w:val="right"/>
              <w:textAlignment w:val="bottom"/>
              <w:rPr>
                <w:color w:val="000000"/>
                <w:sz w:val="22"/>
              </w:rPr>
            </w:pPr>
            <w:r>
              <w:rPr>
                <w:color w:val="000000"/>
                <w:kern w:val="0"/>
                <w:sz w:val="22"/>
              </w:rPr>
              <w:t>531.90</w:t>
            </w:r>
          </w:p>
        </w:tc>
        <w:tc>
          <w:tcPr>
            <w:tcW w:w="0" w:type="auto"/>
            <w:tcBorders>
              <w:top w:val="single" w:color="000000" w:sz="4" w:space="0"/>
              <w:left w:val="nil"/>
              <w:bottom w:val="single" w:color="000000" w:sz="4" w:space="0"/>
              <w:right w:val="single" w:color="000000" w:sz="4" w:space="0"/>
            </w:tcBorders>
            <w:noWrap/>
            <w:vAlign w:val="bottom"/>
          </w:tcPr>
          <w:p w14:paraId="209CFAAF">
            <w:pPr>
              <w:widowControl/>
              <w:ind w:firstLine="0" w:firstLineChars="0"/>
              <w:jc w:val="right"/>
              <w:textAlignment w:val="bottom"/>
              <w:rPr>
                <w:color w:val="000000"/>
                <w:sz w:val="22"/>
              </w:rPr>
            </w:pPr>
            <w:r>
              <w:rPr>
                <w:color w:val="000000"/>
                <w:kern w:val="0"/>
                <w:sz w:val="22"/>
              </w:rPr>
              <w:t>533.60</w:t>
            </w:r>
          </w:p>
        </w:tc>
      </w:tr>
      <w:tr w14:paraId="17FEE232">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80415F">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部门间接碳排放量</w:t>
            </w:r>
            <w:r>
              <w:rPr>
                <w:rFonts w:eastAsia="仿宋"/>
                <w:color w:val="000000"/>
                <w:kern w:val="0"/>
                <w:sz w:val="20"/>
                <w:szCs w:val="20"/>
              </w:rPr>
              <w:t xml:space="preserve">      Y4-2</w:t>
            </w:r>
          </w:p>
        </w:tc>
        <w:tc>
          <w:tcPr>
            <w:tcW w:w="0" w:type="auto"/>
            <w:tcBorders>
              <w:top w:val="single" w:color="000000" w:sz="4" w:space="0"/>
              <w:left w:val="nil"/>
              <w:bottom w:val="single" w:color="000000" w:sz="4" w:space="0"/>
              <w:right w:val="single" w:color="000000" w:sz="4" w:space="0"/>
            </w:tcBorders>
            <w:noWrap/>
            <w:vAlign w:val="bottom"/>
          </w:tcPr>
          <w:p w14:paraId="7B58C2EF">
            <w:pPr>
              <w:widowControl/>
              <w:ind w:firstLine="0" w:firstLineChars="0"/>
              <w:jc w:val="right"/>
              <w:textAlignment w:val="bottom"/>
              <w:rPr>
                <w:color w:val="000000"/>
                <w:sz w:val="22"/>
              </w:rPr>
            </w:pPr>
            <w:r>
              <w:rPr>
                <w:color w:val="000000"/>
                <w:kern w:val="0"/>
                <w:sz w:val="22"/>
              </w:rPr>
              <w:t>20851.65</w:t>
            </w:r>
          </w:p>
        </w:tc>
        <w:tc>
          <w:tcPr>
            <w:tcW w:w="0" w:type="auto"/>
            <w:tcBorders>
              <w:top w:val="single" w:color="000000" w:sz="4" w:space="0"/>
              <w:left w:val="nil"/>
              <w:bottom w:val="single" w:color="000000" w:sz="4" w:space="0"/>
              <w:right w:val="single" w:color="000000" w:sz="4" w:space="0"/>
            </w:tcBorders>
            <w:noWrap/>
            <w:vAlign w:val="bottom"/>
          </w:tcPr>
          <w:p w14:paraId="173B3A78">
            <w:pPr>
              <w:widowControl/>
              <w:ind w:firstLine="0" w:firstLineChars="0"/>
              <w:jc w:val="right"/>
              <w:textAlignment w:val="bottom"/>
              <w:rPr>
                <w:color w:val="000000"/>
                <w:sz w:val="22"/>
              </w:rPr>
            </w:pPr>
            <w:r>
              <w:rPr>
                <w:color w:val="000000"/>
                <w:kern w:val="0"/>
                <w:sz w:val="22"/>
              </w:rPr>
              <w:t>29701.19</w:t>
            </w:r>
          </w:p>
        </w:tc>
        <w:tc>
          <w:tcPr>
            <w:tcW w:w="0" w:type="auto"/>
            <w:tcBorders>
              <w:top w:val="single" w:color="000000" w:sz="4" w:space="0"/>
              <w:left w:val="nil"/>
              <w:bottom w:val="single" w:color="000000" w:sz="4" w:space="0"/>
              <w:right w:val="single" w:color="000000" w:sz="4" w:space="0"/>
            </w:tcBorders>
            <w:noWrap/>
            <w:vAlign w:val="bottom"/>
          </w:tcPr>
          <w:p w14:paraId="563ED9F2">
            <w:pPr>
              <w:widowControl/>
              <w:ind w:firstLine="0" w:firstLineChars="0"/>
              <w:jc w:val="right"/>
              <w:textAlignment w:val="bottom"/>
              <w:rPr>
                <w:color w:val="000000"/>
                <w:sz w:val="22"/>
              </w:rPr>
            </w:pPr>
            <w:r>
              <w:rPr>
                <w:color w:val="000000"/>
                <w:kern w:val="0"/>
                <w:sz w:val="22"/>
              </w:rPr>
              <w:t>30673.88</w:t>
            </w:r>
          </w:p>
        </w:tc>
        <w:tc>
          <w:tcPr>
            <w:tcW w:w="0" w:type="auto"/>
            <w:tcBorders>
              <w:top w:val="single" w:color="000000" w:sz="4" w:space="0"/>
              <w:left w:val="nil"/>
              <w:bottom w:val="single" w:color="000000" w:sz="4" w:space="0"/>
              <w:right w:val="single" w:color="000000" w:sz="4" w:space="0"/>
            </w:tcBorders>
            <w:noWrap/>
            <w:vAlign w:val="bottom"/>
          </w:tcPr>
          <w:p w14:paraId="443BF646">
            <w:pPr>
              <w:widowControl/>
              <w:ind w:firstLine="0" w:firstLineChars="0"/>
              <w:jc w:val="right"/>
              <w:textAlignment w:val="bottom"/>
              <w:rPr>
                <w:color w:val="000000"/>
                <w:sz w:val="22"/>
              </w:rPr>
            </w:pPr>
            <w:r>
              <w:rPr>
                <w:color w:val="000000"/>
                <w:kern w:val="0"/>
                <w:sz w:val="22"/>
              </w:rPr>
              <w:t>24042.76</w:t>
            </w:r>
          </w:p>
        </w:tc>
        <w:tc>
          <w:tcPr>
            <w:tcW w:w="0" w:type="auto"/>
            <w:tcBorders>
              <w:top w:val="single" w:color="000000" w:sz="4" w:space="0"/>
              <w:left w:val="nil"/>
              <w:bottom w:val="single" w:color="000000" w:sz="4" w:space="0"/>
              <w:right w:val="single" w:color="000000" w:sz="4" w:space="0"/>
            </w:tcBorders>
            <w:noWrap/>
            <w:vAlign w:val="bottom"/>
          </w:tcPr>
          <w:p w14:paraId="4B63C1B5">
            <w:pPr>
              <w:widowControl/>
              <w:ind w:firstLine="0" w:firstLineChars="0"/>
              <w:jc w:val="right"/>
              <w:textAlignment w:val="bottom"/>
              <w:rPr>
                <w:color w:val="000000"/>
                <w:sz w:val="22"/>
              </w:rPr>
            </w:pPr>
            <w:r>
              <w:rPr>
                <w:color w:val="000000"/>
                <w:kern w:val="0"/>
                <w:sz w:val="22"/>
              </w:rPr>
              <w:t>20000.65</w:t>
            </w:r>
          </w:p>
        </w:tc>
        <w:tc>
          <w:tcPr>
            <w:tcW w:w="0" w:type="auto"/>
            <w:tcBorders>
              <w:top w:val="single" w:color="000000" w:sz="4" w:space="0"/>
              <w:left w:val="nil"/>
              <w:bottom w:val="single" w:color="000000" w:sz="4" w:space="0"/>
              <w:right w:val="single" w:color="000000" w:sz="4" w:space="0"/>
            </w:tcBorders>
            <w:noWrap/>
            <w:vAlign w:val="bottom"/>
          </w:tcPr>
          <w:p w14:paraId="4D0B1445">
            <w:pPr>
              <w:widowControl/>
              <w:ind w:firstLine="0" w:firstLineChars="0"/>
              <w:jc w:val="right"/>
              <w:textAlignment w:val="bottom"/>
              <w:rPr>
                <w:color w:val="000000"/>
                <w:sz w:val="22"/>
              </w:rPr>
            </w:pPr>
            <w:r>
              <w:rPr>
                <w:color w:val="000000"/>
                <w:kern w:val="0"/>
                <w:sz w:val="22"/>
              </w:rPr>
              <w:t>21841.74</w:t>
            </w:r>
          </w:p>
        </w:tc>
        <w:tc>
          <w:tcPr>
            <w:tcW w:w="0" w:type="auto"/>
            <w:tcBorders>
              <w:top w:val="single" w:color="000000" w:sz="4" w:space="0"/>
              <w:left w:val="nil"/>
              <w:bottom w:val="single" w:color="000000" w:sz="4" w:space="0"/>
              <w:right w:val="single" w:color="000000" w:sz="4" w:space="0"/>
            </w:tcBorders>
            <w:noWrap/>
            <w:vAlign w:val="bottom"/>
          </w:tcPr>
          <w:p w14:paraId="3D157AE6">
            <w:pPr>
              <w:widowControl/>
              <w:ind w:firstLine="0" w:firstLineChars="0"/>
              <w:jc w:val="right"/>
              <w:textAlignment w:val="bottom"/>
              <w:rPr>
                <w:color w:val="000000"/>
                <w:sz w:val="22"/>
              </w:rPr>
            </w:pPr>
            <w:r>
              <w:rPr>
                <w:color w:val="000000"/>
                <w:kern w:val="0"/>
                <w:sz w:val="22"/>
              </w:rPr>
              <w:t>22900.09</w:t>
            </w:r>
          </w:p>
        </w:tc>
        <w:tc>
          <w:tcPr>
            <w:tcW w:w="0" w:type="auto"/>
            <w:tcBorders>
              <w:top w:val="single" w:color="000000" w:sz="4" w:space="0"/>
              <w:left w:val="nil"/>
              <w:bottom w:val="single" w:color="000000" w:sz="4" w:space="0"/>
              <w:right w:val="single" w:color="000000" w:sz="4" w:space="0"/>
            </w:tcBorders>
            <w:noWrap/>
            <w:vAlign w:val="bottom"/>
          </w:tcPr>
          <w:p w14:paraId="7C18AF9B">
            <w:pPr>
              <w:widowControl/>
              <w:ind w:firstLine="0" w:firstLineChars="0"/>
              <w:jc w:val="right"/>
              <w:textAlignment w:val="bottom"/>
              <w:rPr>
                <w:color w:val="000000"/>
                <w:sz w:val="22"/>
              </w:rPr>
            </w:pPr>
            <w:r>
              <w:rPr>
                <w:color w:val="000000"/>
                <w:kern w:val="0"/>
                <w:sz w:val="22"/>
              </w:rPr>
              <w:t>23339.21</w:t>
            </w:r>
          </w:p>
        </w:tc>
        <w:tc>
          <w:tcPr>
            <w:tcW w:w="0" w:type="auto"/>
            <w:tcBorders>
              <w:top w:val="single" w:color="000000" w:sz="4" w:space="0"/>
              <w:left w:val="nil"/>
              <w:bottom w:val="single" w:color="000000" w:sz="4" w:space="0"/>
              <w:right w:val="single" w:color="000000" w:sz="4" w:space="0"/>
            </w:tcBorders>
            <w:noWrap/>
            <w:vAlign w:val="bottom"/>
          </w:tcPr>
          <w:p w14:paraId="5A15B648">
            <w:pPr>
              <w:widowControl/>
              <w:ind w:firstLine="0" w:firstLineChars="0"/>
              <w:jc w:val="right"/>
              <w:textAlignment w:val="bottom"/>
              <w:rPr>
                <w:color w:val="000000"/>
                <w:sz w:val="22"/>
              </w:rPr>
            </w:pPr>
            <w:r>
              <w:rPr>
                <w:color w:val="000000"/>
                <w:kern w:val="0"/>
                <w:sz w:val="22"/>
              </w:rPr>
              <w:t>22625.23</w:t>
            </w:r>
          </w:p>
        </w:tc>
        <w:tc>
          <w:tcPr>
            <w:tcW w:w="0" w:type="auto"/>
            <w:tcBorders>
              <w:top w:val="single" w:color="000000" w:sz="4" w:space="0"/>
              <w:left w:val="nil"/>
              <w:bottom w:val="single" w:color="000000" w:sz="4" w:space="0"/>
              <w:right w:val="single" w:color="000000" w:sz="4" w:space="0"/>
            </w:tcBorders>
            <w:noWrap/>
            <w:vAlign w:val="bottom"/>
          </w:tcPr>
          <w:p w14:paraId="0DFED46E">
            <w:pPr>
              <w:widowControl/>
              <w:ind w:firstLine="0" w:firstLineChars="0"/>
              <w:jc w:val="right"/>
              <w:textAlignment w:val="bottom"/>
              <w:rPr>
                <w:color w:val="000000"/>
                <w:sz w:val="22"/>
              </w:rPr>
            </w:pPr>
            <w:r>
              <w:rPr>
                <w:color w:val="000000"/>
                <w:kern w:val="0"/>
                <w:sz w:val="22"/>
              </w:rPr>
              <w:t>20454.89</w:t>
            </w:r>
          </w:p>
        </w:tc>
        <w:tc>
          <w:tcPr>
            <w:tcW w:w="0" w:type="auto"/>
            <w:tcBorders>
              <w:top w:val="single" w:color="000000" w:sz="4" w:space="0"/>
              <w:left w:val="nil"/>
              <w:bottom w:val="single" w:color="000000" w:sz="4" w:space="0"/>
              <w:right w:val="single" w:color="000000" w:sz="4" w:space="0"/>
            </w:tcBorders>
            <w:noWrap/>
            <w:vAlign w:val="bottom"/>
          </w:tcPr>
          <w:p w14:paraId="04284580">
            <w:pPr>
              <w:widowControl/>
              <w:ind w:firstLine="0" w:firstLineChars="0"/>
              <w:jc w:val="right"/>
              <w:textAlignment w:val="bottom"/>
              <w:rPr>
                <w:color w:val="000000"/>
                <w:sz w:val="22"/>
              </w:rPr>
            </w:pPr>
            <w:r>
              <w:rPr>
                <w:color w:val="000000"/>
                <w:kern w:val="0"/>
                <w:sz w:val="22"/>
              </w:rPr>
              <w:t>19981.48</w:t>
            </w:r>
          </w:p>
        </w:tc>
      </w:tr>
      <w:tr w14:paraId="41B255C3">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8384F77">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部门间接碳排放量</w:t>
            </w:r>
            <w:r>
              <w:rPr>
                <w:rFonts w:eastAsia="仿宋"/>
                <w:color w:val="000000"/>
                <w:kern w:val="0"/>
                <w:sz w:val="20"/>
                <w:szCs w:val="20"/>
              </w:rPr>
              <w:t xml:space="preserve">      Y4-3</w:t>
            </w:r>
          </w:p>
        </w:tc>
        <w:tc>
          <w:tcPr>
            <w:tcW w:w="0" w:type="auto"/>
            <w:tcBorders>
              <w:top w:val="single" w:color="000000" w:sz="4" w:space="0"/>
              <w:left w:val="nil"/>
              <w:bottom w:val="single" w:color="000000" w:sz="4" w:space="0"/>
              <w:right w:val="single" w:color="000000" w:sz="4" w:space="0"/>
            </w:tcBorders>
            <w:noWrap/>
            <w:vAlign w:val="bottom"/>
          </w:tcPr>
          <w:p w14:paraId="134D3DA8">
            <w:pPr>
              <w:widowControl/>
              <w:ind w:firstLine="0" w:firstLineChars="0"/>
              <w:jc w:val="right"/>
              <w:textAlignment w:val="bottom"/>
              <w:rPr>
                <w:color w:val="000000"/>
                <w:sz w:val="22"/>
              </w:rPr>
            </w:pPr>
            <w:r>
              <w:rPr>
                <w:color w:val="000000"/>
                <w:kern w:val="0"/>
                <w:sz w:val="22"/>
              </w:rPr>
              <w:t>26256.31</w:t>
            </w:r>
          </w:p>
        </w:tc>
        <w:tc>
          <w:tcPr>
            <w:tcW w:w="0" w:type="auto"/>
            <w:tcBorders>
              <w:top w:val="single" w:color="000000" w:sz="4" w:space="0"/>
              <w:left w:val="nil"/>
              <w:bottom w:val="single" w:color="000000" w:sz="4" w:space="0"/>
              <w:right w:val="single" w:color="000000" w:sz="4" w:space="0"/>
            </w:tcBorders>
            <w:noWrap/>
            <w:vAlign w:val="bottom"/>
          </w:tcPr>
          <w:p w14:paraId="15431D11">
            <w:pPr>
              <w:widowControl/>
              <w:ind w:firstLine="0" w:firstLineChars="0"/>
              <w:jc w:val="right"/>
              <w:textAlignment w:val="bottom"/>
              <w:rPr>
                <w:color w:val="000000"/>
                <w:sz w:val="22"/>
              </w:rPr>
            </w:pPr>
            <w:r>
              <w:rPr>
                <w:color w:val="000000"/>
                <w:kern w:val="0"/>
                <w:sz w:val="22"/>
              </w:rPr>
              <w:t>29625.41</w:t>
            </w:r>
          </w:p>
        </w:tc>
        <w:tc>
          <w:tcPr>
            <w:tcW w:w="0" w:type="auto"/>
            <w:tcBorders>
              <w:top w:val="single" w:color="000000" w:sz="4" w:space="0"/>
              <w:left w:val="nil"/>
              <w:bottom w:val="single" w:color="000000" w:sz="4" w:space="0"/>
              <w:right w:val="single" w:color="000000" w:sz="4" w:space="0"/>
            </w:tcBorders>
            <w:noWrap/>
            <w:vAlign w:val="bottom"/>
          </w:tcPr>
          <w:p w14:paraId="4ABED025">
            <w:pPr>
              <w:widowControl/>
              <w:ind w:firstLine="0" w:firstLineChars="0"/>
              <w:jc w:val="right"/>
              <w:textAlignment w:val="bottom"/>
              <w:rPr>
                <w:color w:val="000000"/>
                <w:sz w:val="22"/>
              </w:rPr>
            </w:pPr>
            <w:r>
              <w:rPr>
                <w:color w:val="000000"/>
                <w:kern w:val="0"/>
                <w:sz w:val="22"/>
              </w:rPr>
              <w:t>30732.27</w:t>
            </w:r>
          </w:p>
        </w:tc>
        <w:tc>
          <w:tcPr>
            <w:tcW w:w="0" w:type="auto"/>
            <w:tcBorders>
              <w:top w:val="single" w:color="000000" w:sz="4" w:space="0"/>
              <w:left w:val="nil"/>
              <w:bottom w:val="single" w:color="000000" w:sz="4" w:space="0"/>
              <w:right w:val="single" w:color="000000" w:sz="4" w:space="0"/>
            </w:tcBorders>
            <w:noWrap/>
            <w:vAlign w:val="bottom"/>
          </w:tcPr>
          <w:p w14:paraId="1543F369">
            <w:pPr>
              <w:widowControl/>
              <w:ind w:firstLine="0" w:firstLineChars="0"/>
              <w:jc w:val="right"/>
              <w:textAlignment w:val="bottom"/>
              <w:rPr>
                <w:color w:val="000000"/>
                <w:sz w:val="22"/>
              </w:rPr>
            </w:pPr>
            <w:r>
              <w:rPr>
                <w:color w:val="000000"/>
                <w:kern w:val="0"/>
                <w:sz w:val="22"/>
              </w:rPr>
              <w:t>32379.89</w:t>
            </w:r>
          </w:p>
        </w:tc>
        <w:tc>
          <w:tcPr>
            <w:tcW w:w="0" w:type="auto"/>
            <w:tcBorders>
              <w:top w:val="single" w:color="000000" w:sz="4" w:space="0"/>
              <w:left w:val="nil"/>
              <w:bottom w:val="single" w:color="000000" w:sz="4" w:space="0"/>
              <w:right w:val="single" w:color="000000" w:sz="4" w:space="0"/>
            </w:tcBorders>
            <w:noWrap/>
            <w:vAlign w:val="bottom"/>
          </w:tcPr>
          <w:p w14:paraId="6ADDC00F">
            <w:pPr>
              <w:widowControl/>
              <w:ind w:firstLine="0" w:firstLineChars="0"/>
              <w:jc w:val="right"/>
              <w:textAlignment w:val="bottom"/>
              <w:rPr>
                <w:color w:val="000000"/>
                <w:sz w:val="22"/>
              </w:rPr>
            </w:pPr>
            <w:r>
              <w:rPr>
                <w:color w:val="000000"/>
                <w:kern w:val="0"/>
                <w:sz w:val="22"/>
              </w:rPr>
              <w:t>29650.01</w:t>
            </w:r>
          </w:p>
        </w:tc>
        <w:tc>
          <w:tcPr>
            <w:tcW w:w="0" w:type="auto"/>
            <w:tcBorders>
              <w:top w:val="single" w:color="000000" w:sz="4" w:space="0"/>
              <w:left w:val="nil"/>
              <w:bottom w:val="single" w:color="000000" w:sz="4" w:space="0"/>
              <w:right w:val="single" w:color="000000" w:sz="4" w:space="0"/>
            </w:tcBorders>
            <w:noWrap/>
            <w:vAlign w:val="bottom"/>
          </w:tcPr>
          <w:p w14:paraId="581DF323">
            <w:pPr>
              <w:widowControl/>
              <w:ind w:firstLine="0" w:firstLineChars="0"/>
              <w:jc w:val="right"/>
              <w:textAlignment w:val="bottom"/>
              <w:rPr>
                <w:color w:val="000000"/>
                <w:sz w:val="22"/>
              </w:rPr>
            </w:pPr>
            <w:r>
              <w:rPr>
                <w:color w:val="000000"/>
                <w:kern w:val="0"/>
                <w:sz w:val="22"/>
              </w:rPr>
              <w:t>31714.84</w:t>
            </w:r>
          </w:p>
        </w:tc>
        <w:tc>
          <w:tcPr>
            <w:tcW w:w="0" w:type="auto"/>
            <w:tcBorders>
              <w:top w:val="single" w:color="000000" w:sz="4" w:space="0"/>
              <w:left w:val="nil"/>
              <w:bottom w:val="single" w:color="000000" w:sz="4" w:space="0"/>
              <w:right w:val="single" w:color="000000" w:sz="4" w:space="0"/>
            </w:tcBorders>
            <w:noWrap/>
            <w:vAlign w:val="bottom"/>
          </w:tcPr>
          <w:p w14:paraId="100570F1">
            <w:pPr>
              <w:widowControl/>
              <w:ind w:firstLine="0" w:firstLineChars="0"/>
              <w:jc w:val="right"/>
              <w:textAlignment w:val="bottom"/>
              <w:rPr>
                <w:color w:val="000000"/>
                <w:sz w:val="22"/>
              </w:rPr>
            </w:pPr>
            <w:r>
              <w:rPr>
                <w:color w:val="000000"/>
                <w:kern w:val="0"/>
                <w:sz w:val="22"/>
              </w:rPr>
              <w:t>33211.02</w:t>
            </w:r>
          </w:p>
        </w:tc>
        <w:tc>
          <w:tcPr>
            <w:tcW w:w="0" w:type="auto"/>
            <w:tcBorders>
              <w:top w:val="single" w:color="000000" w:sz="4" w:space="0"/>
              <w:left w:val="nil"/>
              <w:bottom w:val="single" w:color="000000" w:sz="4" w:space="0"/>
              <w:right w:val="single" w:color="000000" w:sz="4" w:space="0"/>
            </w:tcBorders>
            <w:noWrap/>
            <w:vAlign w:val="bottom"/>
          </w:tcPr>
          <w:p w14:paraId="3BCA7E41">
            <w:pPr>
              <w:widowControl/>
              <w:ind w:firstLine="0" w:firstLineChars="0"/>
              <w:jc w:val="right"/>
              <w:textAlignment w:val="bottom"/>
              <w:rPr>
                <w:color w:val="000000"/>
                <w:sz w:val="22"/>
              </w:rPr>
            </w:pPr>
            <w:r>
              <w:rPr>
                <w:color w:val="000000"/>
                <w:kern w:val="0"/>
                <w:sz w:val="22"/>
              </w:rPr>
              <w:t>34957.66</w:t>
            </w:r>
          </w:p>
        </w:tc>
        <w:tc>
          <w:tcPr>
            <w:tcW w:w="0" w:type="auto"/>
            <w:tcBorders>
              <w:top w:val="single" w:color="000000" w:sz="4" w:space="0"/>
              <w:left w:val="nil"/>
              <w:bottom w:val="single" w:color="000000" w:sz="4" w:space="0"/>
              <w:right w:val="single" w:color="000000" w:sz="4" w:space="0"/>
            </w:tcBorders>
            <w:noWrap/>
            <w:vAlign w:val="bottom"/>
          </w:tcPr>
          <w:p w14:paraId="625A6000">
            <w:pPr>
              <w:widowControl/>
              <w:ind w:firstLine="0" w:firstLineChars="0"/>
              <w:jc w:val="right"/>
              <w:textAlignment w:val="bottom"/>
              <w:rPr>
                <w:color w:val="000000"/>
                <w:sz w:val="22"/>
              </w:rPr>
            </w:pPr>
            <w:r>
              <w:rPr>
                <w:color w:val="000000"/>
                <w:kern w:val="0"/>
                <w:sz w:val="22"/>
              </w:rPr>
              <w:t>36541.42</w:t>
            </w:r>
          </w:p>
        </w:tc>
        <w:tc>
          <w:tcPr>
            <w:tcW w:w="0" w:type="auto"/>
            <w:tcBorders>
              <w:top w:val="single" w:color="000000" w:sz="4" w:space="0"/>
              <w:left w:val="nil"/>
              <w:bottom w:val="single" w:color="000000" w:sz="4" w:space="0"/>
              <w:right w:val="single" w:color="000000" w:sz="4" w:space="0"/>
            </w:tcBorders>
            <w:noWrap/>
            <w:vAlign w:val="bottom"/>
          </w:tcPr>
          <w:p w14:paraId="4021B86A">
            <w:pPr>
              <w:widowControl/>
              <w:ind w:firstLine="0" w:firstLineChars="0"/>
              <w:jc w:val="right"/>
              <w:textAlignment w:val="bottom"/>
              <w:rPr>
                <w:color w:val="000000"/>
                <w:sz w:val="22"/>
              </w:rPr>
            </w:pPr>
            <w:r>
              <w:rPr>
                <w:color w:val="000000"/>
                <w:kern w:val="0"/>
                <w:sz w:val="22"/>
              </w:rPr>
              <w:t>36983.90</w:t>
            </w:r>
          </w:p>
        </w:tc>
        <w:tc>
          <w:tcPr>
            <w:tcW w:w="0" w:type="auto"/>
            <w:tcBorders>
              <w:top w:val="single" w:color="000000" w:sz="4" w:space="0"/>
              <w:left w:val="nil"/>
              <w:bottom w:val="single" w:color="000000" w:sz="4" w:space="0"/>
              <w:right w:val="single" w:color="000000" w:sz="4" w:space="0"/>
            </w:tcBorders>
            <w:noWrap/>
            <w:vAlign w:val="bottom"/>
          </w:tcPr>
          <w:p w14:paraId="68ACA13B">
            <w:pPr>
              <w:widowControl/>
              <w:ind w:firstLine="0" w:firstLineChars="0"/>
              <w:jc w:val="right"/>
              <w:textAlignment w:val="bottom"/>
              <w:rPr>
                <w:color w:val="000000"/>
                <w:sz w:val="22"/>
              </w:rPr>
            </w:pPr>
            <w:r>
              <w:rPr>
                <w:color w:val="000000"/>
                <w:kern w:val="0"/>
                <w:sz w:val="22"/>
              </w:rPr>
              <w:t>36178.25</w:t>
            </w:r>
          </w:p>
        </w:tc>
      </w:tr>
      <w:tr w14:paraId="28DCD17B">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90E0F2">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部门间接碳排放量</w:t>
            </w:r>
            <w:r>
              <w:rPr>
                <w:rFonts w:eastAsia="仿宋"/>
                <w:color w:val="000000"/>
                <w:kern w:val="0"/>
                <w:sz w:val="20"/>
                <w:szCs w:val="20"/>
              </w:rPr>
              <w:t xml:space="preserve">      Y4-4</w:t>
            </w:r>
          </w:p>
        </w:tc>
        <w:tc>
          <w:tcPr>
            <w:tcW w:w="0" w:type="auto"/>
            <w:tcBorders>
              <w:top w:val="single" w:color="000000" w:sz="4" w:space="0"/>
              <w:left w:val="nil"/>
              <w:bottom w:val="single" w:color="000000" w:sz="4" w:space="0"/>
              <w:right w:val="single" w:color="000000" w:sz="4" w:space="0"/>
            </w:tcBorders>
            <w:noWrap/>
            <w:vAlign w:val="bottom"/>
          </w:tcPr>
          <w:p w14:paraId="5E128C36">
            <w:pPr>
              <w:widowControl/>
              <w:ind w:firstLine="0" w:firstLineChars="0"/>
              <w:jc w:val="right"/>
              <w:textAlignment w:val="bottom"/>
              <w:rPr>
                <w:color w:val="000000"/>
                <w:sz w:val="22"/>
              </w:rPr>
            </w:pPr>
            <w:r>
              <w:rPr>
                <w:color w:val="000000"/>
                <w:kern w:val="0"/>
                <w:sz w:val="22"/>
              </w:rPr>
              <w:t>252.30</w:t>
            </w:r>
          </w:p>
        </w:tc>
        <w:tc>
          <w:tcPr>
            <w:tcW w:w="0" w:type="auto"/>
            <w:tcBorders>
              <w:top w:val="single" w:color="000000" w:sz="4" w:space="0"/>
              <w:left w:val="nil"/>
              <w:bottom w:val="single" w:color="000000" w:sz="4" w:space="0"/>
              <w:right w:val="single" w:color="000000" w:sz="4" w:space="0"/>
            </w:tcBorders>
            <w:noWrap/>
            <w:vAlign w:val="bottom"/>
          </w:tcPr>
          <w:p w14:paraId="0899EDD4">
            <w:pPr>
              <w:widowControl/>
              <w:ind w:firstLine="0" w:firstLineChars="0"/>
              <w:jc w:val="right"/>
              <w:textAlignment w:val="bottom"/>
              <w:rPr>
                <w:color w:val="000000"/>
                <w:sz w:val="22"/>
              </w:rPr>
            </w:pPr>
            <w:r>
              <w:rPr>
                <w:color w:val="000000"/>
                <w:kern w:val="0"/>
                <w:sz w:val="22"/>
              </w:rPr>
              <w:t>324.65</w:t>
            </w:r>
          </w:p>
        </w:tc>
        <w:tc>
          <w:tcPr>
            <w:tcW w:w="0" w:type="auto"/>
            <w:tcBorders>
              <w:top w:val="single" w:color="000000" w:sz="4" w:space="0"/>
              <w:left w:val="nil"/>
              <w:bottom w:val="single" w:color="000000" w:sz="4" w:space="0"/>
              <w:right w:val="single" w:color="000000" w:sz="4" w:space="0"/>
            </w:tcBorders>
            <w:noWrap/>
            <w:vAlign w:val="bottom"/>
          </w:tcPr>
          <w:p w14:paraId="14459B4F">
            <w:pPr>
              <w:widowControl/>
              <w:ind w:firstLine="0" w:firstLineChars="0"/>
              <w:jc w:val="right"/>
              <w:textAlignment w:val="bottom"/>
              <w:rPr>
                <w:color w:val="000000"/>
                <w:sz w:val="22"/>
              </w:rPr>
            </w:pPr>
            <w:r>
              <w:rPr>
                <w:color w:val="000000"/>
                <w:kern w:val="0"/>
                <w:sz w:val="22"/>
              </w:rPr>
              <w:t>365.48</w:t>
            </w:r>
          </w:p>
        </w:tc>
        <w:tc>
          <w:tcPr>
            <w:tcW w:w="0" w:type="auto"/>
            <w:tcBorders>
              <w:top w:val="single" w:color="000000" w:sz="4" w:space="0"/>
              <w:left w:val="nil"/>
              <w:bottom w:val="single" w:color="000000" w:sz="4" w:space="0"/>
              <w:right w:val="single" w:color="000000" w:sz="4" w:space="0"/>
            </w:tcBorders>
            <w:noWrap/>
            <w:vAlign w:val="bottom"/>
          </w:tcPr>
          <w:p w14:paraId="4D63EF81">
            <w:pPr>
              <w:widowControl/>
              <w:ind w:firstLine="0" w:firstLineChars="0"/>
              <w:jc w:val="right"/>
              <w:textAlignment w:val="bottom"/>
              <w:rPr>
                <w:color w:val="000000"/>
                <w:sz w:val="22"/>
              </w:rPr>
            </w:pPr>
            <w:r>
              <w:rPr>
                <w:color w:val="000000"/>
                <w:kern w:val="0"/>
                <w:sz w:val="22"/>
              </w:rPr>
              <w:t>406.50</w:t>
            </w:r>
          </w:p>
        </w:tc>
        <w:tc>
          <w:tcPr>
            <w:tcW w:w="0" w:type="auto"/>
            <w:tcBorders>
              <w:top w:val="single" w:color="000000" w:sz="4" w:space="0"/>
              <w:left w:val="nil"/>
              <w:bottom w:val="single" w:color="000000" w:sz="4" w:space="0"/>
              <w:right w:val="single" w:color="000000" w:sz="4" w:space="0"/>
            </w:tcBorders>
            <w:noWrap/>
            <w:vAlign w:val="bottom"/>
          </w:tcPr>
          <w:p w14:paraId="0DE7FE7C">
            <w:pPr>
              <w:widowControl/>
              <w:ind w:firstLine="0" w:firstLineChars="0"/>
              <w:jc w:val="right"/>
              <w:textAlignment w:val="bottom"/>
              <w:rPr>
                <w:color w:val="000000"/>
                <w:sz w:val="22"/>
              </w:rPr>
            </w:pPr>
            <w:r>
              <w:rPr>
                <w:color w:val="000000"/>
                <w:kern w:val="0"/>
                <w:sz w:val="22"/>
              </w:rPr>
              <w:t>386.97</w:t>
            </w:r>
          </w:p>
        </w:tc>
        <w:tc>
          <w:tcPr>
            <w:tcW w:w="0" w:type="auto"/>
            <w:tcBorders>
              <w:top w:val="single" w:color="000000" w:sz="4" w:space="0"/>
              <w:left w:val="nil"/>
              <w:bottom w:val="single" w:color="000000" w:sz="4" w:space="0"/>
              <w:right w:val="single" w:color="000000" w:sz="4" w:space="0"/>
            </w:tcBorders>
            <w:noWrap/>
            <w:vAlign w:val="bottom"/>
          </w:tcPr>
          <w:p w14:paraId="181A8DA0">
            <w:pPr>
              <w:widowControl/>
              <w:ind w:firstLine="0" w:firstLineChars="0"/>
              <w:jc w:val="right"/>
              <w:textAlignment w:val="bottom"/>
              <w:rPr>
                <w:color w:val="000000"/>
                <w:sz w:val="22"/>
              </w:rPr>
            </w:pPr>
            <w:r>
              <w:rPr>
                <w:color w:val="000000"/>
                <w:kern w:val="0"/>
                <w:sz w:val="22"/>
              </w:rPr>
              <w:t>447.48</w:t>
            </w:r>
          </w:p>
        </w:tc>
        <w:tc>
          <w:tcPr>
            <w:tcW w:w="0" w:type="auto"/>
            <w:tcBorders>
              <w:top w:val="single" w:color="000000" w:sz="4" w:space="0"/>
              <w:left w:val="nil"/>
              <w:bottom w:val="single" w:color="000000" w:sz="4" w:space="0"/>
              <w:right w:val="single" w:color="000000" w:sz="4" w:space="0"/>
            </w:tcBorders>
            <w:noWrap/>
            <w:vAlign w:val="bottom"/>
          </w:tcPr>
          <w:p w14:paraId="4DB7FDE7">
            <w:pPr>
              <w:widowControl/>
              <w:ind w:firstLine="0" w:firstLineChars="0"/>
              <w:jc w:val="right"/>
              <w:textAlignment w:val="bottom"/>
              <w:rPr>
                <w:color w:val="000000"/>
                <w:sz w:val="22"/>
              </w:rPr>
            </w:pPr>
            <w:r>
              <w:rPr>
                <w:color w:val="000000"/>
                <w:kern w:val="0"/>
                <w:sz w:val="22"/>
              </w:rPr>
              <w:t>494.51</w:t>
            </w:r>
          </w:p>
        </w:tc>
        <w:tc>
          <w:tcPr>
            <w:tcW w:w="0" w:type="auto"/>
            <w:tcBorders>
              <w:top w:val="single" w:color="000000" w:sz="4" w:space="0"/>
              <w:left w:val="nil"/>
              <w:bottom w:val="single" w:color="000000" w:sz="4" w:space="0"/>
              <w:right w:val="single" w:color="000000" w:sz="4" w:space="0"/>
            </w:tcBorders>
            <w:noWrap/>
            <w:vAlign w:val="bottom"/>
          </w:tcPr>
          <w:p w14:paraId="26946B66">
            <w:pPr>
              <w:widowControl/>
              <w:ind w:firstLine="0" w:firstLineChars="0"/>
              <w:jc w:val="right"/>
              <w:textAlignment w:val="bottom"/>
              <w:rPr>
                <w:color w:val="000000"/>
                <w:sz w:val="22"/>
              </w:rPr>
            </w:pPr>
            <w:r>
              <w:rPr>
                <w:color w:val="000000"/>
                <w:kern w:val="0"/>
                <w:sz w:val="22"/>
              </w:rPr>
              <w:t>583.42</w:t>
            </w:r>
          </w:p>
        </w:tc>
        <w:tc>
          <w:tcPr>
            <w:tcW w:w="0" w:type="auto"/>
            <w:tcBorders>
              <w:top w:val="single" w:color="000000" w:sz="4" w:space="0"/>
              <w:left w:val="nil"/>
              <w:bottom w:val="single" w:color="000000" w:sz="4" w:space="0"/>
              <w:right w:val="single" w:color="000000" w:sz="4" w:space="0"/>
            </w:tcBorders>
            <w:noWrap/>
            <w:vAlign w:val="bottom"/>
          </w:tcPr>
          <w:p w14:paraId="26E8F1C9">
            <w:pPr>
              <w:widowControl/>
              <w:ind w:firstLine="0" w:firstLineChars="0"/>
              <w:jc w:val="right"/>
              <w:textAlignment w:val="bottom"/>
              <w:rPr>
                <w:color w:val="000000"/>
                <w:sz w:val="22"/>
              </w:rPr>
            </w:pPr>
            <w:r>
              <w:rPr>
                <w:color w:val="000000"/>
                <w:kern w:val="0"/>
                <w:sz w:val="22"/>
              </w:rPr>
              <w:t>625.38</w:t>
            </w:r>
          </w:p>
        </w:tc>
        <w:tc>
          <w:tcPr>
            <w:tcW w:w="0" w:type="auto"/>
            <w:tcBorders>
              <w:top w:val="single" w:color="000000" w:sz="4" w:space="0"/>
              <w:left w:val="nil"/>
              <w:bottom w:val="single" w:color="000000" w:sz="4" w:space="0"/>
              <w:right w:val="single" w:color="000000" w:sz="4" w:space="0"/>
            </w:tcBorders>
            <w:noWrap/>
            <w:vAlign w:val="bottom"/>
          </w:tcPr>
          <w:p w14:paraId="51907BAB">
            <w:pPr>
              <w:widowControl/>
              <w:ind w:firstLine="0" w:firstLineChars="0"/>
              <w:jc w:val="right"/>
              <w:textAlignment w:val="bottom"/>
              <w:rPr>
                <w:color w:val="000000"/>
                <w:sz w:val="22"/>
              </w:rPr>
            </w:pPr>
            <w:r>
              <w:rPr>
                <w:color w:val="000000"/>
                <w:kern w:val="0"/>
                <w:sz w:val="22"/>
              </w:rPr>
              <w:t>678.46</w:t>
            </w:r>
          </w:p>
        </w:tc>
        <w:tc>
          <w:tcPr>
            <w:tcW w:w="0" w:type="auto"/>
            <w:tcBorders>
              <w:top w:val="single" w:color="000000" w:sz="4" w:space="0"/>
              <w:left w:val="nil"/>
              <w:bottom w:val="single" w:color="000000" w:sz="4" w:space="0"/>
              <w:right w:val="single" w:color="000000" w:sz="4" w:space="0"/>
            </w:tcBorders>
            <w:noWrap/>
            <w:vAlign w:val="bottom"/>
          </w:tcPr>
          <w:p w14:paraId="2EE52C2F">
            <w:pPr>
              <w:widowControl/>
              <w:ind w:firstLine="0" w:firstLineChars="0"/>
              <w:jc w:val="right"/>
              <w:textAlignment w:val="bottom"/>
              <w:rPr>
                <w:color w:val="000000"/>
                <w:sz w:val="22"/>
              </w:rPr>
            </w:pPr>
            <w:r>
              <w:rPr>
                <w:color w:val="000000"/>
                <w:kern w:val="0"/>
                <w:sz w:val="22"/>
              </w:rPr>
              <w:t>659.82</w:t>
            </w:r>
          </w:p>
        </w:tc>
      </w:tr>
      <w:tr w14:paraId="6D3CC903">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A5D1D52">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部门间接碳排放量</w:t>
            </w:r>
            <w:r>
              <w:rPr>
                <w:rFonts w:eastAsia="仿宋"/>
                <w:color w:val="000000"/>
                <w:kern w:val="0"/>
                <w:sz w:val="20"/>
                <w:szCs w:val="20"/>
              </w:rPr>
              <w:t xml:space="preserve">      Y4-5</w:t>
            </w:r>
          </w:p>
        </w:tc>
        <w:tc>
          <w:tcPr>
            <w:tcW w:w="0" w:type="auto"/>
            <w:tcBorders>
              <w:top w:val="single" w:color="000000" w:sz="4" w:space="0"/>
              <w:left w:val="nil"/>
              <w:bottom w:val="single" w:color="000000" w:sz="4" w:space="0"/>
              <w:right w:val="single" w:color="000000" w:sz="4" w:space="0"/>
            </w:tcBorders>
            <w:noWrap/>
            <w:vAlign w:val="bottom"/>
          </w:tcPr>
          <w:p w14:paraId="213AB120">
            <w:pPr>
              <w:widowControl/>
              <w:ind w:firstLine="0" w:firstLineChars="0"/>
              <w:jc w:val="right"/>
              <w:textAlignment w:val="bottom"/>
              <w:rPr>
                <w:color w:val="000000"/>
                <w:sz w:val="22"/>
              </w:rPr>
            </w:pPr>
            <w:r>
              <w:rPr>
                <w:color w:val="000000"/>
                <w:kern w:val="0"/>
                <w:sz w:val="22"/>
              </w:rPr>
              <w:t>2584.19</w:t>
            </w:r>
          </w:p>
        </w:tc>
        <w:tc>
          <w:tcPr>
            <w:tcW w:w="0" w:type="auto"/>
            <w:tcBorders>
              <w:top w:val="single" w:color="000000" w:sz="4" w:space="0"/>
              <w:left w:val="nil"/>
              <w:bottom w:val="single" w:color="000000" w:sz="4" w:space="0"/>
              <w:right w:val="single" w:color="000000" w:sz="4" w:space="0"/>
            </w:tcBorders>
            <w:noWrap/>
            <w:vAlign w:val="bottom"/>
          </w:tcPr>
          <w:p w14:paraId="63A9E666">
            <w:pPr>
              <w:widowControl/>
              <w:ind w:firstLine="0" w:firstLineChars="0"/>
              <w:jc w:val="right"/>
              <w:textAlignment w:val="bottom"/>
              <w:rPr>
                <w:color w:val="000000"/>
                <w:sz w:val="22"/>
              </w:rPr>
            </w:pPr>
            <w:r>
              <w:rPr>
                <w:color w:val="000000"/>
                <w:kern w:val="0"/>
                <w:sz w:val="22"/>
              </w:rPr>
              <w:t>2995.87</w:t>
            </w:r>
          </w:p>
        </w:tc>
        <w:tc>
          <w:tcPr>
            <w:tcW w:w="0" w:type="auto"/>
            <w:tcBorders>
              <w:top w:val="single" w:color="000000" w:sz="4" w:space="0"/>
              <w:left w:val="nil"/>
              <w:bottom w:val="single" w:color="000000" w:sz="4" w:space="0"/>
              <w:right w:val="single" w:color="000000" w:sz="4" w:space="0"/>
            </w:tcBorders>
            <w:noWrap/>
            <w:vAlign w:val="bottom"/>
          </w:tcPr>
          <w:p w14:paraId="07F8C5BA">
            <w:pPr>
              <w:widowControl/>
              <w:ind w:firstLine="0" w:firstLineChars="0"/>
              <w:jc w:val="right"/>
              <w:textAlignment w:val="bottom"/>
              <w:rPr>
                <w:color w:val="000000"/>
                <w:sz w:val="22"/>
              </w:rPr>
            </w:pPr>
            <w:r>
              <w:rPr>
                <w:color w:val="000000"/>
                <w:kern w:val="0"/>
                <w:sz w:val="22"/>
              </w:rPr>
              <w:t>3252.31</w:t>
            </w:r>
          </w:p>
        </w:tc>
        <w:tc>
          <w:tcPr>
            <w:tcW w:w="0" w:type="auto"/>
            <w:tcBorders>
              <w:top w:val="single" w:color="000000" w:sz="4" w:space="0"/>
              <w:left w:val="nil"/>
              <w:bottom w:val="single" w:color="000000" w:sz="4" w:space="0"/>
              <w:right w:val="single" w:color="000000" w:sz="4" w:space="0"/>
            </w:tcBorders>
            <w:noWrap/>
            <w:vAlign w:val="bottom"/>
          </w:tcPr>
          <w:p w14:paraId="6DC62EE8">
            <w:pPr>
              <w:widowControl/>
              <w:ind w:firstLine="0" w:firstLineChars="0"/>
              <w:jc w:val="right"/>
              <w:textAlignment w:val="bottom"/>
              <w:rPr>
                <w:color w:val="000000"/>
                <w:sz w:val="22"/>
              </w:rPr>
            </w:pPr>
            <w:r>
              <w:rPr>
                <w:color w:val="000000"/>
                <w:kern w:val="0"/>
                <w:sz w:val="22"/>
              </w:rPr>
              <w:t>3627.43</w:t>
            </w:r>
          </w:p>
        </w:tc>
        <w:tc>
          <w:tcPr>
            <w:tcW w:w="0" w:type="auto"/>
            <w:tcBorders>
              <w:top w:val="single" w:color="000000" w:sz="4" w:space="0"/>
              <w:left w:val="nil"/>
              <w:bottom w:val="single" w:color="000000" w:sz="4" w:space="0"/>
              <w:right w:val="single" w:color="000000" w:sz="4" w:space="0"/>
            </w:tcBorders>
            <w:noWrap/>
            <w:vAlign w:val="bottom"/>
          </w:tcPr>
          <w:p w14:paraId="67027F47">
            <w:pPr>
              <w:widowControl/>
              <w:ind w:firstLine="0" w:firstLineChars="0"/>
              <w:jc w:val="right"/>
              <w:textAlignment w:val="bottom"/>
              <w:rPr>
                <w:color w:val="000000"/>
                <w:sz w:val="22"/>
              </w:rPr>
            </w:pPr>
            <w:r>
              <w:rPr>
                <w:color w:val="000000"/>
                <w:kern w:val="0"/>
                <w:sz w:val="22"/>
              </w:rPr>
              <w:t>3265.36</w:t>
            </w:r>
          </w:p>
        </w:tc>
        <w:tc>
          <w:tcPr>
            <w:tcW w:w="0" w:type="auto"/>
            <w:tcBorders>
              <w:top w:val="single" w:color="000000" w:sz="4" w:space="0"/>
              <w:left w:val="nil"/>
              <w:bottom w:val="single" w:color="000000" w:sz="4" w:space="0"/>
              <w:right w:val="single" w:color="000000" w:sz="4" w:space="0"/>
            </w:tcBorders>
            <w:noWrap/>
            <w:vAlign w:val="bottom"/>
          </w:tcPr>
          <w:p w14:paraId="65D9B084">
            <w:pPr>
              <w:widowControl/>
              <w:ind w:firstLine="0" w:firstLineChars="0"/>
              <w:jc w:val="right"/>
              <w:textAlignment w:val="bottom"/>
              <w:rPr>
                <w:color w:val="000000"/>
                <w:sz w:val="22"/>
              </w:rPr>
            </w:pPr>
            <w:r>
              <w:rPr>
                <w:color w:val="000000"/>
                <w:kern w:val="0"/>
                <w:sz w:val="22"/>
              </w:rPr>
              <w:t>3687.09</w:t>
            </w:r>
          </w:p>
        </w:tc>
        <w:tc>
          <w:tcPr>
            <w:tcW w:w="0" w:type="auto"/>
            <w:tcBorders>
              <w:top w:val="single" w:color="000000" w:sz="4" w:space="0"/>
              <w:left w:val="nil"/>
              <w:bottom w:val="single" w:color="000000" w:sz="4" w:space="0"/>
              <w:right w:val="single" w:color="000000" w:sz="4" w:space="0"/>
            </w:tcBorders>
            <w:noWrap/>
            <w:vAlign w:val="bottom"/>
          </w:tcPr>
          <w:p w14:paraId="6B559D1B">
            <w:pPr>
              <w:widowControl/>
              <w:ind w:firstLine="0" w:firstLineChars="0"/>
              <w:jc w:val="right"/>
              <w:textAlignment w:val="bottom"/>
              <w:rPr>
                <w:color w:val="000000"/>
                <w:sz w:val="22"/>
              </w:rPr>
            </w:pPr>
            <w:r>
              <w:rPr>
                <w:color w:val="000000"/>
                <w:kern w:val="0"/>
                <w:sz w:val="22"/>
              </w:rPr>
              <w:t>4088.37</w:t>
            </w:r>
          </w:p>
        </w:tc>
        <w:tc>
          <w:tcPr>
            <w:tcW w:w="0" w:type="auto"/>
            <w:tcBorders>
              <w:top w:val="single" w:color="000000" w:sz="4" w:space="0"/>
              <w:left w:val="nil"/>
              <w:bottom w:val="single" w:color="000000" w:sz="4" w:space="0"/>
              <w:right w:val="single" w:color="000000" w:sz="4" w:space="0"/>
            </w:tcBorders>
            <w:noWrap/>
            <w:vAlign w:val="bottom"/>
          </w:tcPr>
          <w:p w14:paraId="4E78F6E4">
            <w:pPr>
              <w:widowControl/>
              <w:ind w:firstLine="0" w:firstLineChars="0"/>
              <w:jc w:val="right"/>
              <w:textAlignment w:val="bottom"/>
              <w:rPr>
                <w:color w:val="000000"/>
                <w:sz w:val="22"/>
              </w:rPr>
            </w:pPr>
            <w:r>
              <w:rPr>
                <w:color w:val="000000"/>
                <w:kern w:val="0"/>
                <w:sz w:val="22"/>
              </w:rPr>
              <w:t>4589.11</w:t>
            </w:r>
          </w:p>
        </w:tc>
        <w:tc>
          <w:tcPr>
            <w:tcW w:w="0" w:type="auto"/>
            <w:tcBorders>
              <w:top w:val="single" w:color="000000" w:sz="4" w:space="0"/>
              <w:left w:val="nil"/>
              <w:bottom w:val="single" w:color="000000" w:sz="4" w:space="0"/>
              <w:right w:val="single" w:color="000000" w:sz="4" w:space="0"/>
            </w:tcBorders>
            <w:noWrap/>
            <w:vAlign w:val="bottom"/>
          </w:tcPr>
          <w:p w14:paraId="11A459D4">
            <w:pPr>
              <w:widowControl/>
              <w:ind w:firstLine="0" w:firstLineChars="0"/>
              <w:jc w:val="right"/>
              <w:textAlignment w:val="bottom"/>
              <w:rPr>
                <w:color w:val="000000"/>
                <w:sz w:val="22"/>
              </w:rPr>
            </w:pPr>
            <w:r>
              <w:rPr>
                <w:color w:val="000000"/>
                <w:kern w:val="0"/>
                <w:sz w:val="22"/>
              </w:rPr>
              <w:t>5206.18</w:t>
            </w:r>
          </w:p>
        </w:tc>
        <w:tc>
          <w:tcPr>
            <w:tcW w:w="0" w:type="auto"/>
            <w:tcBorders>
              <w:top w:val="single" w:color="000000" w:sz="4" w:space="0"/>
              <w:left w:val="nil"/>
              <w:bottom w:val="single" w:color="000000" w:sz="4" w:space="0"/>
              <w:right w:val="single" w:color="000000" w:sz="4" w:space="0"/>
            </w:tcBorders>
            <w:noWrap/>
            <w:vAlign w:val="bottom"/>
          </w:tcPr>
          <w:p w14:paraId="6916DB0D">
            <w:pPr>
              <w:widowControl/>
              <w:ind w:firstLine="0" w:firstLineChars="0"/>
              <w:jc w:val="right"/>
              <w:textAlignment w:val="bottom"/>
              <w:rPr>
                <w:color w:val="000000"/>
                <w:sz w:val="22"/>
              </w:rPr>
            </w:pPr>
            <w:r>
              <w:rPr>
                <w:color w:val="000000"/>
                <w:kern w:val="0"/>
                <w:sz w:val="22"/>
              </w:rPr>
              <w:t>5610.26</w:t>
            </w:r>
          </w:p>
        </w:tc>
        <w:tc>
          <w:tcPr>
            <w:tcW w:w="0" w:type="auto"/>
            <w:tcBorders>
              <w:top w:val="single" w:color="000000" w:sz="4" w:space="0"/>
              <w:left w:val="nil"/>
              <w:bottom w:val="single" w:color="000000" w:sz="4" w:space="0"/>
              <w:right w:val="single" w:color="000000" w:sz="4" w:space="0"/>
            </w:tcBorders>
            <w:noWrap/>
            <w:vAlign w:val="bottom"/>
          </w:tcPr>
          <w:p w14:paraId="2CDE750A">
            <w:pPr>
              <w:widowControl/>
              <w:ind w:firstLine="0" w:firstLineChars="0"/>
              <w:jc w:val="right"/>
              <w:textAlignment w:val="bottom"/>
              <w:rPr>
                <w:color w:val="000000"/>
                <w:sz w:val="22"/>
              </w:rPr>
            </w:pPr>
            <w:r>
              <w:rPr>
                <w:color w:val="000000"/>
                <w:kern w:val="0"/>
                <w:sz w:val="22"/>
              </w:rPr>
              <w:t>5407.63</w:t>
            </w:r>
          </w:p>
        </w:tc>
      </w:tr>
      <w:tr w14:paraId="6BFB5A8F">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F863C3">
            <w:pPr>
              <w:widowControl/>
              <w:ind w:firstLine="0" w:firstLineChars="0"/>
              <w:jc w:val="center"/>
              <w:textAlignment w:val="center"/>
              <w:rPr>
                <w:rFonts w:eastAsia="仿宋"/>
                <w:color w:val="000000"/>
                <w:sz w:val="20"/>
                <w:szCs w:val="20"/>
              </w:rPr>
            </w:pPr>
            <w:r>
              <w:rPr>
                <w:rFonts w:ascii="仿宋" w:hAnsi="仿宋" w:eastAsia="仿宋"/>
                <w:color w:val="000000"/>
                <w:kern w:val="0"/>
                <w:sz w:val="20"/>
                <w:szCs w:val="20"/>
              </w:rPr>
              <w:t>部门间接碳排放量</w:t>
            </w:r>
            <w:r>
              <w:rPr>
                <w:rFonts w:eastAsia="仿宋"/>
                <w:color w:val="000000"/>
                <w:kern w:val="0"/>
                <w:sz w:val="20"/>
                <w:szCs w:val="20"/>
              </w:rPr>
              <w:t xml:space="preserve">      Y4-6</w:t>
            </w:r>
          </w:p>
        </w:tc>
        <w:tc>
          <w:tcPr>
            <w:tcW w:w="0" w:type="auto"/>
            <w:tcBorders>
              <w:top w:val="single" w:color="000000" w:sz="4" w:space="0"/>
              <w:left w:val="nil"/>
              <w:bottom w:val="single" w:color="000000" w:sz="4" w:space="0"/>
              <w:right w:val="single" w:color="000000" w:sz="4" w:space="0"/>
            </w:tcBorders>
            <w:noWrap/>
            <w:vAlign w:val="bottom"/>
          </w:tcPr>
          <w:p w14:paraId="07180A6F">
            <w:pPr>
              <w:widowControl/>
              <w:ind w:firstLine="0" w:firstLineChars="0"/>
              <w:jc w:val="right"/>
              <w:textAlignment w:val="bottom"/>
              <w:rPr>
                <w:color w:val="000000"/>
                <w:sz w:val="22"/>
              </w:rPr>
            </w:pPr>
            <w:r>
              <w:rPr>
                <w:color w:val="000000"/>
                <w:kern w:val="0"/>
                <w:sz w:val="22"/>
              </w:rPr>
              <w:t>3089.40</w:t>
            </w:r>
          </w:p>
        </w:tc>
        <w:tc>
          <w:tcPr>
            <w:tcW w:w="0" w:type="auto"/>
            <w:tcBorders>
              <w:top w:val="single" w:color="000000" w:sz="4" w:space="0"/>
              <w:left w:val="nil"/>
              <w:bottom w:val="single" w:color="000000" w:sz="4" w:space="0"/>
              <w:right w:val="single" w:color="000000" w:sz="4" w:space="0"/>
            </w:tcBorders>
            <w:noWrap/>
            <w:vAlign w:val="bottom"/>
          </w:tcPr>
          <w:p w14:paraId="4054E897">
            <w:pPr>
              <w:widowControl/>
              <w:ind w:firstLine="0" w:firstLineChars="0"/>
              <w:jc w:val="right"/>
              <w:textAlignment w:val="bottom"/>
              <w:rPr>
                <w:color w:val="000000"/>
                <w:sz w:val="22"/>
              </w:rPr>
            </w:pPr>
            <w:r>
              <w:rPr>
                <w:color w:val="000000"/>
                <w:kern w:val="0"/>
                <w:sz w:val="22"/>
              </w:rPr>
              <w:t>3283.90</w:t>
            </w:r>
          </w:p>
        </w:tc>
        <w:tc>
          <w:tcPr>
            <w:tcW w:w="0" w:type="auto"/>
            <w:tcBorders>
              <w:top w:val="single" w:color="000000" w:sz="4" w:space="0"/>
              <w:left w:val="nil"/>
              <w:bottom w:val="single" w:color="000000" w:sz="4" w:space="0"/>
              <w:right w:val="single" w:color="000000" w:sz="4" w:space="0"/>
            </w:tcBorders>
            <w:noWrap/>
            <w:vAlign w:val="bottom"/>
          </w:tcPr>
          <w:p w14:paraId="146BBF67">
            <w:pPr>
              <w:widowControl/>
              <w:ind w:firstLine="0" w:firstLineChars="0"/>
              <w:jc w:val="right"/>
              <w:textAlignment w:val="bottom"/>
              <w:rPr>
                <w:color w:val="000000"/>
                <w:sz w:val="22"/>
              </w:rPr>
            </w:pPr>
            <w:r>
              <w:rPr>
                <w:color w:val="000000"/>
                <w:kern w:val="0"/>
                <w:sz w:val="22"/>
              </w:rPr>
              <w:t>3638.40</w:t>
            </w:r>
          </w:p>
        </w:tc>
        <w:tc>
          <w:tcPr>
            <w:tcW w:w="0" w:type="auto"/>
            <w:tcBorders>
              <w:top w:val="single" w:color="000000" w:sz="4" w:space="0"/>
              <w:left w:val="nil"/>
              <w:bottom w:val="single" w:color="000000" w:sz="4" w:space="0"/>
              <w:right w:val="single" w:color="000000" w:sz="4" w:space="0"/>
            </w:tcBorders>
            <w:noWrap/>
            <w:vAlign w:val="bottom"/>
          </w:tcPr>
          <w:p w14:paraId="049A7E08">
            <w:pPr>
              <w:widowControl/>
              <w:ind w:firstLine="0" w:firstLineChars="0"/>
              <w:jc w:val="right"/>
              <w:textAlignment w:val="bottom"/>
              <w:rPr>
                <w:color w:val="000000"/>
                <w:sz w:val="22"/>
              </w:rPr>
            </w:pPr>
            <w:r>
              <w:rPr>
                <w:color w:val="000000"/>
                <w:kern w:val="0"/>
                <w:sz w:val="22"/>
              </w:rPr>
              <w:t>4256.13</w:t>
            </w:r>
          </w:p>
        </w:tc>
        <w:tc>
          <w:tcPr>
            <w:tcW w:w="0" w:type="auto"/>
            <w:tcBorders>
              <w:top w:val="single" w:color="000000" w:sz="4" w:space="0"/>
              <w:left w:val="nil"/>
              <w:bottom w:val="single" w:color="000000" w:sz="4" w:space="0"/>
              <w:right w:val="single" w:color="000000" w:sz="4" w:space="0"/>
            </w:tcBorders>
            <w:noWrap/>
            <w:vAlign w:val="bottom"/>
          </w:tcPr>
          <w:p w14:paraId="35E1A172">
            <w:pPr>
              <w:widowControl/>
              <w:ind w:firstLine="0" w:firstLineChars="0"/>
              <w:jc w:val="right"/>
              <w:textAlignment w:val="bottom"/>
              <w:rPr>
                <w:color w:val="000000"/>
                <w:sz w:val="22"/>
              </w:rPr>
            </w:pPr>
            <w:r>
              <w:rPr>
                <w:color w:val="000000"/>
                <w:kern w:val="0"/>
                <w:sz w:val="22"/>
              </w:rPr>
              <w:t>3374.77</w:t>
            </w:r>
          </w:p>
        </w:tc>
        <w:tc>
          <w:tcPr>
            <w:tcW w:w="0" w:type="auto"/>
            <w:tcBorders>
              <w:top w:val="single" w:color="000000" w:sz="4" w:space="0"/>
              <w:left w:val="nil"/>
              <w:bottom w:val="single" w:color="000000" w:sz="4" w:space="0"/>
              <w:right w:val="single" w:color="000000" w:sz="4" w:space="0"/>
            </w:tcBorders>
            <w:noWrap/>
            <w:vAlign w:val="bottom"/>
          </w:tcPr>
          <w:p w14:paraId="2BFB5028">
            <w:pPr>
              <w:widowControl/>
              <w:ind w:firstLine="0" w:firstLineChars="0"/>
              <w:jc w:val="right"/>
              <w:textAlignment w:val="bottom"/>
              <w:rPr>
                <w:color w:val="000000"/>
                <w:sz w:val="22"/>
              </w:rPr>
            </w:pPr>
            <w:r>
              <w:rPr>
                <w:color w:val="000000"/>
                <w:kern w:val="0"/>
                <w:sz w:val="22"/>
              </w:rPr>
              <w:t>3805.06</w:t>
            </w:r>
          </w:p>
        </w:tc>
        <w:tc>
          <w:tcPr>
            <w:tcW w:w="0" w:type="auto"/>
            <w:tcBorders>
              <w:top w:val="single" w:color="000000" w:sz="4" w:space="0"/>
              <w:left w:val="nil"/>
              <w:bottom w:val="single" w:color="000000" w:sz="4" w:space="0"/>
              <w:right w:val="single" w:color="000000" w:sz="4" w:space="0"/>
            </w:tcBorders>
            <w:noWrap/>
            <w:vAlign w:val="bottom"/>
          </w:tcPr>
          <w:p w14:paraId="633EDBC8">
            <w:pPr>
              <w:widowControl/>
              <w:ind w:firstLine="0" w:firstLineChars="0"/>
              <w:jc w:val="right"/>
              <w:textAlignment w:val="bottom"/>
              <w:rPr>
                <w:color w:val="000000"/>
                <w:sz w:val="22"/>
              </w:rPr>
            </w:pPr>
            <w:r>
              <w:rPr>
                <w:color w:val="000000"/>
                <w:kern w:val="0"/>
                <w:sz w:val="22"/>
              </w:rPr>
              <w:t>4378.95</w:t>
            </w:r>
          </w:p>
        </w:tc>
        <w:tc>
          <w:tcPr>
            <w:tcW w:w="0" w:type="auto"/>
            <w:tcBorders>
              <w:top w:val="single" w:color="000000" w:sz="4" w:space="0"/>
              <w:left w:val="nil"/>
              <w:bottom w:val="single" w:color="000000" w:sz="4" w:space="0"/>
              <w:right w:val="single" w:color="000000" w:sz="4" w:space="0"/>
            </w:tcBorders>
            <w:noWrap/>
            <w:vAlign w:val="bottom"/>
          </w:tcPr>
          <w:p w14:paraId="7D826BE8">
            <w:pPr>
              <w:widowControl/>
              <w:ind w:firstLine="0" w:firstLineChars="0"/>
              <w:jc w:val="right"/>
              <w:textAlignment w:val="bottom"/>
              <w:rPr>
                <w:color w:val="000000"/>
                <w:sz w:val="22"/>
              </w:rPr>
            </w:pPr>
            <w:r>
              <w:rPr>
                <w:color w:val="000000"/>
                <w:kern w:val="0"/>
                <w:sz w:val="22"/>
              </w:rPr>
              <w:t>4809.45</w:t>
            </w:r>
          </w:p>
        </w:tc>
        <w:tc>
          <w:tcPr>
            <w:tcW w:w="0" w:type="auto"/>
            <w:tcBorders>
              <w:top w:val="single" w:color="000000" w:sz="4" w:space="0"/>
              <w:left w:val="nil"/>
              <w:bottom w:val="single" w:color="000000" w:sz="4" w:space="0"/>
              <w:right w:val="single" w:color="000000" w:sz="4" w:space="0"/>
            </w:tcBorders>
            <w:noWrap/>
            <w:vAlign w:val="bottom"/>
          </w:tcPr>
          <w:p w14:paraId="0F72A4D6">
            <w:pPr>
              <w:widowControl/>
              <w:ind w:firstLine="0" w:firstLineChars="0"/>
              <w:jc w:val="right"/>
              <w:textAlignment w:val="bottom"/>
              <w:rPr>
                <w:color w:val="000000"/>
                <w:sz w:val="22"/>
              </w:rPr>
            </w:pPr>
            <w:r>
              <w:rPr>
                <w:color w:val="000000"/>
                <w:kern w:val="0"/>
                <w:sz w:val="22"/>
              </w:rPr>
              <w:t>5239.07</w:t>
            </w:r>
          </w:p>
        </w:tc>
        <w:tc>
          <w:tcPr>
            <w:tcW w:w="0" w:type="auto"/>
            <w:tcBorders>
              <w:top w:val="single" w:color="000000" w:sz="4" w:space="0"/>
              <w:left w:val="nil"/>
              <w:bottom w:val="single" w:color="000000" w:sz="4" w:space="0"/>
              <w:right w:val="single" w:color="000000" w:sz="4" w:space="0"/>
            </w:tcBorders>
            <w:noWrap/>
            <w:vAlign w:val="bottom"/>
          </w:tcPr>
          <w:p w14:paraId="3C2A5B77">
            <w:pPr>
              <w:widowControl/>
              <w:ind w:firstLine="0" w:firstLineChars="0"/>
              <w:jc w:val="right"/>
              <w:textAlignment w:val="bottom"/>
              <w:rPr>
                <w:color w:val="000000"/>
                <w:sz w:val="22"/>
              </w:rPr>
            </w:pPr>
            <w:r>
              <w:rPr>
                <w:color w:val="000000"/>
                <w:kern w:val="0"/>
                <w:sz w:val="22"/>
              </w:rPr>
              <w:t>5355.14</w:t>
            </w:r>
          </w:p>
        </w:tc>
        <w:tc>
          <w:tcPr>
            <w:tcW w:w="0" w:type="auto"/>
            <w:tcBorders>
              <w:top w:val="single" w:color="000000" w:sz="4" w:space="0"/>
              <w:left w:val="nil"/>
              <w:bottom w:val="single" w:color="000000" w:sz="4" w:space="0"/>
              <w:right w:val="single" w:color="000000" w:sz="4" w:space="0"/>
            </w:tcBorders>
            <w:noWrap/>
            <w:vAlign w:val="bottom"/>
          </w:tcPr>
          <w:p w14:paraId="4003C723">
            <w:pPr>
              <w:widowControl/>
              <w:ind w:firstLine="0" w:firstLineChars="0"/>
              <w:jc w:val="right"/>
              <w:textAlignment w:val="bottom"/>
              <w:rPr>
                <w:color w:val="000000"/>
                <w:sz w:val="22"/>
              </w:rPr>
            </w:pPr>
            <w:r>
              <w:rPr>
                <w:color w:val="000000"/>
                <w:kern w:val="0"/>
                <w:sz w:val="22"/>
              </w:rPr>
              <w:t>5334.59</w:t>
            </w:r>
          </w:p>
        </w:tc>
      </w:tr>
    </w:tbl>
    <w:p w14:paraId="24CE1FC7">
      <w:pPr>
        <w:ind w:firstLine="0" w:firstLineChars="0"/>
        <w:rPr>
          <w:rFonts w:eastAsia="方正书宋_GBK"/>
          <w:color w:val="000000"/>
          <w:kern w:val="0"/>
          <w:sz w:val="20"/>
          <w:szCs w:val="20"/>
        </w:rPr>
      </w:pPr>
      <w:r>
        <w:rPr>
          <w:rFonts w:eastAsia="方正书宋_GBK"/>
          <w:color w:val="000000"/>
          <w:kern w:val="0"/>
          <w:sz w:val="20"/>
          <w:szCs w:val="20"/>
        </w:rPr>
        <w:t xml:space="preserve"> </w:t>
      </w:r>
    </w:p>
    <w:p w14:paraId="12A5EAA4">
      <w:pPr>
        <w:ind w:firstLine="0" w:firstLineChars="0"/>
        <w:rPr>
          <w:rFonts w:eastAsia="等线"/>
          <w:b/>
          <w:bCs/>
          <w:sz w:val="21"/>
          <w:szCs w:val="21"/>
        </w:rPr>
      </w:pPr>
      <w:r>
        <w:rPr>
          <w:rFonts w:ascii="等线" w:hAnsi="等线" w:eastAsia="等线"/>
          <w:b/>
          <w:bCs/>
          <w:sz w:val="21"/>
          <w:szCs w:val="21"/>
        </w:rPr>
        <w:t>问题</w:t>
      </w:r>
      <w:r>
        <w:rPr>
          <w:rFonts w:eastAsia="等线"/>
          <w:b/>
          <w:bCs/>
          <w:sz w:val="21"/>
          <w:szCs w:val="21"/>
        </w:rPr>
        <w:t>2</w:t>
      </w:r>
      <w:r>
        <w:rPr>
          <w:rFonts w:ascii="等线" w:hAnsi="等线" w:eastAsia="等线"/>
          <w:b/>
          <w:bCs/>
          <w:sz w:val="21"/>
          <w:szCs w:val="21"/>
        </w:rPr>
        <w:t>代码</w:t>
      </w:r>
    </w:p>
    <w:p w14:paraId="022744C9">
      <w:pPr>
        <w:ind w:firstLine="0" w:firstLineChars="0"/>
        <w:rPr>
          <w:rFonts w:eastAsia="等线"/>
          <w:b/>
          <w:bCs/>
          <w:sz w:val="21"/>
          <w:szCs w:val="21"/>
        </w:rPr>
      </w:pPr>
      <w:r>
        <w:rPr>
          <w:rFonts w:ascii="等线" w:hAnsi="等线" w:eastAsia="等线"/>
          <w:b/>
          <w:bCs/>
          <w:sz w:val="21"/>
          <w:szCs w:val="21"/>
        </w:rPr>
        <w:t>人口</w:t>
      </w:r>
    </w:p>
    <w:p w14:paraId="37869721">
      <w:pPr>
        <w:ind w:firstLine="0" w:firstLineChars="0"/>
        <w:rPr>
          <w:rFonts w:eastAsia="等线"/>
          <w:sz w:val="21"/>
          <w:szCs w:val="21"/>
        </w:rPr>
      </w:pPr>
      <w:r>
        <w:rPr>
          <w:rFonts w:eastAsia="等线"/>
          <w:sz w:val="21"/>
          <w:szCs w:val="21"/>
        </w:rPr>
        <w:t>from scipy.optimize import curve_fit</w:t>
      </w:r>
    </w:p>
    <w:p w14:paraId="4160AB1A">
      <w:pPr>
        <w:ind w:firstLine="0" w:firstLineChars="0"/>
        <w:rPr>
          <w:rFonts w:eastAsia="等线"/>
          <w:sz w:val="21"/>
          <w:szCs w:val="21"/>
        </w:rPr>
      </w:pPr>
      <w:r>
        <w:rPr>
          <w:rFonts w:eastAsia="等线"/>
          <w:sz w:val="21"/>
          <w:szCs w:val="21"/>
        </w:rPr>
        <w:t>df = pd.read_excel("C:/Users/13746/Desktop/7900.xlsx")</w:t>
      </w:r>
    </w:p>
    <w:p w14:paraId="3490D452">
      <w:pPr>
        <w:ind w:firstLine="0" w:firstLineChars="0"/>
        <w:rPr>
          <w:rFonts w:eastAsia="等线"/>
          <w:sz w:val="21"/>
          <w:szCs w:val="21"/>
        </w:rPr>
      </w:pPr>
      <w:r>
        <w:rPr>
          <w:rFonts w:eastAsia="等线"/>
          <w:sz w:val="21"/>
          <w:szCs w:val="21"/>
        </w:rPr>
        <w:t>p_data = df[['</w:t>
      </w:r>
      <w:r>
        <w:rPr>
          <w:rFonts w:ascii="等线" w:hAnsi="等线" w:eastAsia="等线"/>
          <w:sz w:val="21"/>
          <w:szCs w:val="21"/>
        </w:rPr>
        <w:t>年份</w:t>
      </w:r>
      <w:r>
        <w:rPr>
          <w:rFonts w:eastAsia="等线"/>
          <w:sz w:val="21"/>
          <w:szCs w:val="21"/>
        </w:rPr>
        <w:t>','</w:t>
      </w:r>
      <w:r>
        <w:rPr>
          <w:rFonts w:ascii="等线" w:hAnsi="等线" w:eastAsia="等线"/>
          <w:sz w:val="21"/>
          <w:szCs w:val="21"/>
        </w:rPr>
        <w:t>人口总量</w:t>
      </w:r>
      <w:r>
        <w:rPr>
          <w:rFonts w:eastAsia="等线"/>
          <w:sz w:val="21"/>
          <w:szCs w:val="21"/>
        </w:rPr>
        <w:t>x4']]</w:t>
      </w:r>
    </w:p>
    <w:p w14:paraId="332E1965">
      <w:pPr>
        <w:ind w:firstLine="0" w:firstLineChars="0"/>
        <w:rPr>
          <w:rFonts w:eastAsia="等线"/>
          <w:sz w:val="21"/>
          <w:szCs w:val="21"/>
        </w:rPr>
      </w:pPr>
      <w:r>
        <w:rPr>
          <w:rFonts w:eastAsia="等线"/>
          <w:sz w:val="21"/>
          <w:szCs w:val="21"/>
        </w:rPr>
        <w:t xml:space="preserve"> </w:t>
      </w:r>
    </w:p>
    <w:p w14:paraId="0A90F5BC">
      <w:pPr>
        <w:ind w:firstLine="0" w:firstLineChars="0"/>
        <w:rPr>
          <w:rFonts w:eastAsia="等线"/>
          <w:sz w:val="21"/>
          <w:szCs w:val="21"/>
        </w:rPr>
      </w:pPr>
      <w:r>
        <w:rPr>
          <w:rFonts w:eastAsia="等线"/>
          <w:sz w:val="21"/>
          <w:szCs w:val="21"/>
        </w:rPr>
        <w:t>def linear(x, a, b):</w:t>
      </w:r>
    </w:p>
    <w:p w14:paraId="762FF00E">
      <w:pPr>
        <w:ind w:firstLine="0" w:firstLineChars="0"/>
        <w:rPr>
          <w:rFonts w:eastAsia="等线"/>
          <w:sz w:val="21"/>
          <w:szCs w:val="21"/>
        </w:rPr>
      </w:pPr>
      <w:r>
        <w:rPr>
          <w:rFonts w:eastAsia="等线"/>
          <w:sz w:val="21"/>
          <w:szCs w:val="21"/>
        </w:rPr>
        <w:t xml:space="preserve">    return a + b*x</w:t>
      </w:r>
    </w:p>
    <w:p w14:paraId="28194339">
      <w:pPr>
        <w:ind w:firstLine="0" w:firstLineChars="0"/>
        <w:rPr>
          <w:rFonts w:eastAsia="等线"/>
          <w:sz w:val="21"/>
          <w:szCs w:val="21"/>
        </w:rPr>
      </w:pPr>
      <w:r>
        <w:rPr>
          <w:rFonts w:eastAsia="等线"/>
          <w:sz w:val="21"/>
          <w:szCs w:val="21"/>
        </w:rPr>
        <w:t>pars, cov = curve_fit(linear, p_data['</w:t>
      </w:r>
      <w:r>
        <w:rPr>
          <w:rFonts w:ascii="等线" w:hAnsi="等线" w:eastAsia="等线"/>
          <w:sz w:val="21"/>
          <w:szCs w:val="21"/>
        </w:rPr>
        <w:t>年份</w:t>
      </w:r>
      <w:r>
        <w:rPr>
          <w:rFonts w:eastAsia="等线"/>
          <w:sz w:val="21"/>
          <w:szCs w:val="21"/>
        </w:rPr>
        <w:t>'], p_data['</w:t>
      </w:r>
      <w:r>
        <w:rPr>
          <w:rFonts w:ascii="等线" w:hAnsi="等线" w:eastAsia="等线"/>
          <w:sz w:val="21"/>
          <w:szCs w:val="21"/>
        </w:rPr>
        <w:t>人口总量</w:t>
      </w:r>
      <w:r>
        <w:rPr>
          <w:rFonts w:eastAsia="等线"/>
          <w:sz w:val="21"/>
          <w:szCs w:val="21"/>
        </w:rPr>
        <w:t>x4'])</w:t>
      </w:r>
    </w:p>
    <w:p w14:paraId="6C34982D">
      <w:pPr>
        <w:ind w:firstLine="0" w:firstLineChars="0"/>
        <w:rPr>
          <w:rFonts w:eastAsia="等线"/>
          <w:sz w:val="21"/>
          <w:szCs w:val="21"/>
        </w:rPr>
      </w:pPr>
      <w:r>
        <w:rPr>
          <w:rFonts w:eastAsia="等线"/>
          <w:sz w:val="21"/>
          <w:szCs w:val="21"/>
        </w:rPr>
        <w:t>a, b = pars</w:t>
      </w:r>
    </w:p>
    <w:p w14:paraId="38BEF893">
      <w:pPr>
        <w:ind w:firstLine="0" w:firstLineChars="0"/>
        <w:rPr>
          <w:rFonts w:eastAsia="等线"/>
          <w:sz w:val="21"/>
          <w:szCs w:val="21"/>
        </w:rPr>
      </w:pPr>
      <w:r>
        <w:rPr>
          <w:rFonts w:eastAsia="等线"/>
          <w:sz w:val="21"/>
          <w:szCs w:val="21"/>
        </w:rPr>
        <w:t>predict_p = [linear(x, a, b) for x in range(2025,2061)]</w:t>
      </w:r>
    </w:p>
    <w:p w14:paraId="1152ED8E">
      <w:pPr>
        <w:ind w:firstLine="0" w:firstLineChars="0"/>
        <w:rPr>
          <w:rFonts w:eastAsia="等线"/>
          <w:sz w:val="21"/>
          <w:szCs w:val="21"/>
        </w:rPr>
      </w:pPr>
      <w:r>
        <w:rPr>
          <w:rFonts w:eastAsia="等线"/>
          <w:sz w:val="21"/>
          <w:szCs w:val="21"/>
        </w:rPr>
        <w:t>def logistic(x, p_m, k, t):</w:t>
      </w:r>
    </w:p>
    <w:p w14:paraId="3570255F">
      <w:pPr>
        <w:ind w:firstLine="0" w:firstLineChars="0"/>
        <w:rPr>
          <w:rFonts w:eastAsia="等线"/>
          <w:sz w:val="21"/>
          <w:szCs w:val="21"/>
        </w:rPr>
      </w:pPr>
      <w:r>
        <w:rPr>
          <w:rFonts w:eastAsia="等线"/>
          <w:sz w:val="21"/>
          <w:szCs w:val="21"/>
        </w:rPr>
        <w:t xml:space="preserve">    return p_m / (1 + np.exp(-k*(x-t)))</w:t>
      </w:r>
    </w:p>
    <w:p w14:paraId="2A567D9D">
      <w:pPr>
        <w:ind w:firstLine="0" w:firstLineChars="0"/>
        <w:rPr>
          <w:rFonts w:eastAsia="等线"/>
          <w:sz w:val="21"/>
          <w:szCs w:val="21"/>
        </w:rPr>
      </w:pPr>
      <w:r>
        <w:rPr>
          <w:rFonts w:eastAsia="等线"/>
          <w:sz w:val="21"/>
          <w:szCs w:val="21"/>
        </w:rPr>
        <w:t>pars, cov = curve_fit(logistic, p_data['</w:t>
      </w:r>
      <w:r>
        <w:rPr>
          <w:rFonts w:ascii="等线" w:hAnsi="等线" w:eastAsia="等线"/>
          <w:sz w:val="21"/>
          <w:szCs w:val="21"/>
        </w:rPr>
        <w:t>年份</w:t>
      </w:r>
      <w:r>
        <w:rPr>
          <w:rFonts w:eastAsia="等线"/>
          <w:sz w:val="21"/>
          <w:szCs w:val="21"/>
        </w:rPr>
        <w:t>'], p_data['</w:t>
      </w:r>
      <w:r>
        <w:rPr>
          <w:rFonts w:ascii="等线" w:hAnsi="等线" w:eastAsia="等线"/>
          <w:sz w:val="21"/>
          <w:szCs w:val="21"/>
        </w:rPr>
        <w:t>人口总量</w:t>
      </w:r>
      <w:r>
        <w:rPr>
          <w:rFonts w:eastAsia="等线"/>
          <w:sz w:val="21"/>
          <w:szCs w:val="21"/>
        </w:rPr>
        <w:t xml:space="preserve">x4']) </w:t>
      </w:r>
    </w:p>
    <w:p w14:paraId="531DAA2E">
      <w:pPr>
        <w:ind w:firstLine="0" w:firstLineChars="0"/>
        <w:rPr>
          <w:rFonts w:eastAsia="等线"/>
          <w:sz w:val="21"/>
          <w:szCs w:val="21"/>
        </w:rPr>
      </w:pPr>
      <w:r>
        <w:rPr>
          <w:rFonts w:eastAsia="等线"/>
          <w:sz w:val="21"/>
          <w:szCs w:val="21"/>
        </w:rPr>
        <w:t>p_m, k, t = pars</w:t>
      </w:r>
    </w:p>
    <w:p w14:paraId="34167EC1">
      <w:pPr>
        <w:ind w:firstLine="0" w:firstLineChars="0"/>
        <w:rPr>
          <w:rFonts w:eastAsia="等线"/>
          <w:sz w:val="21"/>
          <w:szCs w:val="21"/>
        </w:rPr>
      </w:pPr>
      <w:r>
        <w:rPr>
          <w:rFonts w:eastAsia="等线"/>
          <w:sz w:val="21"/>
          <w:szCs w:val="21"/>
        </w:rPr>
        <w:t>predict_p_2 = [logistic(x, p_m, k, t) for x in range(2025,2061)]</w:t>
      </w:r>
    </w:p>
    <w:p w14:paraId="5E0975FF">
      <w:pPr>
        <w:ind w:firstLine="0" w:firstLineChars="0"/>
        <w:rPr>
          <w:rFonts w:eastAsia="等线"/>
          <w:sz w:val="21"/>
          <w:szCs w:val="21"/>
        </w:rPr>
      </w:pPr>
      <w:r>
        <w:rPr>
          <w:rFonts w:eastAsia="等线"/>
          <w:sz w:val="21"/>
          <w:szCs w:val="21"/>
        </w:rPr>
        <w:t xml:space="preserve"> </w:t>
      </w:r>
    </w:p>
    <w:p w14:paraId="2C00A735">
      <w:pPr>
        <w:ind w:firstLine="0" w:firstLineChars="0"/>
        <w:rPr>
          <w:rFonts w:eastAsia="等线"/>
          <w:sz w:val="21"/>
          <w:szCs w:val="21"/>
        </w:rPr>
      </w:pPr>
      <w:r>
        <w:rPr>
          <w:rFonts w:eastAsia="等线"/>
          <w:sz w:val="21"/>
          <w:szCs w:val="21"/>
        </w:rPr>
        <w:t>p_m / (1 + np.exp(-k*(x-t)))</w:t>
      </w:r>
    </w:p>
    <w:p w14:paraId="301B617D">
      <w:pPr>
        <w:ind w:firstLine="0" w:firstLineChars="0"/>
        <w:rPr>
          <w:rFonts w:eastAsia="等线"/>
          <w:sz w:val="21"/>
          <w:szCs w:val="21"/>
        </w:rPr>
      </w:pPr>
      <w:r>
        <w:rPr>
          <w:rFonts w:eastAsia="等线"/>
          <w:sz w:val="21"/>
          <w:szCs w:val="21"/>
        </w:rPr>
        <w:t xml:space="preserve"> </w:t>
      </w:r>
    </w:p>
    <w:p w14:paraId="2577CBF5">
      <w:pPr>
        <w:ind w:firstLine="0" w:firstLineChars="0"/>
        <w:rPr>
          <w:rFonts w:eastAsia="等线"/>
          <w:b/>
          <w:bCs/>
          <w:sz w:val="21"/>
          <w:szCs w:val="21"/>
        </w:rPr>
      </w:pPr>
      <w:r>
        <w:rPr>
          <w:rFonts w:ascii="等线" w:hAnsi="等线" w:eastAsia="等线"/>
          <w:b/>
          <w:bCs/>
          <w:sz w:val="21"/>
          <w:szCs w:val="21"/>
        </w:rPr>
        <w:t>经济</w:t>
      </w:r>
    </w:p>
    <w:p w14:paraId="7FD83DC8">
      <w:pPr>
        <w:ind w:firstLine="0" w:firstLineChars="0"/>
        <w:rPr>
          <w:rFonts w:eastAsia="等线"/>
          <w:sz w:val="21"/>
          <w:szCs w:val="21"/>
        </w:rPr>
      </w:pPr>
      <w:r>
        <w:rPr>
          <w:rFonts w:eastAsia="等线"/>
          <w:sz w:val="21"/>
          <w:szCs w:val="21"/>
        </w:rPr>
        <w:t>import pandas as pd</w:t>
      </w:r>
    </w:p>
    <w:p w14:paraId="25C7224F">
      <w:pPr>
        <w:ind w:firstLine="0" w:firstLineChars="0"/>
        <w:rPr>
          <w:rFonts w:eastAsia="等线"/>
          <w:sz w:val="21"/>
          <w:szCs w:val="21"/>
        </w:rPr>
      </w:pPr>
      <w:r>
        <w:rPr>
          <w:rFonts w:eastAsia="等线"/>
          <w:sz w:val="21"/>
          <w:szCs w:val="21"/>
        </w:rPr>
        <w:t>import matplotlib.pyplot as plt</w:t>
      </w:r>
    </w:p>
    <w:p w14:paraId="637C05E4">
      <w:pPr>
        <w:ind w:firstLine="0" w:firstLineChars="0"/>
        <w:rPr>
          <w:rFonts w:eastAsia="等线"/>
          <w:sz w:val="21"/>
          <w:szCs w:val="21"/>
        </w:rPr>
      </w:pPr>
      <w:r>
        <w:rPr>
          <w:rFonts w:eastAsia="等线"/>
          <w:sz w:val="21"/>
          <w:szCs w:val="21"/>
        </w:rPr>
        <w:t>from statsmodels.graphics.tsaplots import plot_acf</w:t>
      </w:r>
    </w:p>
    <w:p w14:paraId="27FAE9D3">
      <w:pPr>
        <w:ind w:firstLine="0" w:firstLineChars="0"/>
        <w:rPr>
          <w:rFonts w:eastAsia="等线"/>
          <w:sz w:val="21"/>
          <w:szCs w:val="21"/>
        </w:rPr>
      </w:pPr>
      <w:r>
        <w:rPr>
          <w:rFonts w:eastAsia="等线"/>
          <w:sz w:val="21"/>
          <w:szCs w:val="21"/>
        </w:rPr>
        <w:t>discfile = "C:/Users/13746/Desktop/5555.xlsx"</w:t>
      </w:r>
    </w:p>
    <w:p w14:paraId="5FE91001">
      <w:pPr>
        <w:ind w:firstLine="0" w:firstLineChars="0"/>
        <w:rPr>
          <w:rFonts w:eastAsia="等线"/>
          <w:sz w:val="21"/>
          <w:szCs w:val="21"/>
        </w:rPr>
      </w:pPr>
      <w:r>
        <w:rPr>
          <w:rFonts w:eastAsia="等线"/>
          <w:sz w:val="21"/>
          <w:szCs w:val="21"/>
        </w:rPr>
        <w:t>data = pd.read_excel(discfile, index_col = u'</w:t>
      </w:r>
      <w:r>
        <w:rPr>
          <w:rFonts w:ascii="等线" w:hAnsi="等线" w:eastAsia="等线"/>
          <w:sz w:val="21"/>
          <w:szCs w:val="21"/>
        </w:rPr>
        <w:t>日期</w:t>
      </w:r>
      <w:r>
        <w:rPr>
          <w:rFonts w:eastAsia="等线"/>
          <w:sz w:val="21"/>
          <w:szCs w:val="21"/>
        </w:rPr>
        <w:t>')</w:t>
      </w:r>
    </w:p>
    <w:p w14:paraId="0B17D3BA">
      <w:pPr>
        <w:ind w:firstLine="0" w:firstLineChars="0"/>
        <w:rPr>
          <w:rFonts w:eastAsia="等线"/>
          <w:sz w:val="21"/>
          <w:szCs w:val="21"/>
        </w:rPr>
      </w:pPr>
      <w:r>
        <w:rPr>
          <w:rFonts w:eastAsia="等线"/>
          <w:sz w:val="21"/>
          <w:szCs w:val="21"/>
        </w:rPr>
        <w:t xml:space="preserve">plt.rcParams['font.sans-serif'] = ['SimHei']  </w:t>
      </w:r>
    </w:p>
    <w:p w14:paraId="2C22467C">
      <w:pPr>
        <w:ind w:firstLine="0" w:firstLineChars="0"/>
        <w:rPr>
          <w:rFonts w:eastAsia="等线"/>
          <w:sz w:val="21"/>
          <w:szCs w:val="21"/>
        </w:rPr>
      </w:pPr>
      <w:r>
        <w:rPr>
          <w:rFonts w:eastAsia="等线"/>
          <w:sz w:val="21"/>
          <w:szCs w:val="21"/>
        </w:rPr>
        <w:t xml:space="preserve">plt.rcParams['axes.unicode_minus'] = False  </w:t>
      </w:r>
    </w:p>
    <w:p w14:paraId="39F6DA90">
      <w:pPr>
        <w:ind w:firstLine="0" w:firstLineChars="0"/>
        <w:rPr>
          <w:rFonts w:eastAsia="等线"/>
          <w:sz w:val="21"/>
          <w:szCs w:val="21"/>
        </w:rPr>
      </w:pPr>
      <w:r>
        <w:rPr>
          <w:rFonts w:eastAsia="等线"/>
          <w:sz w:val="21"/>
          <w:szCs w:val="21"/>
        </w:rPr>
        <w:t>data.plot()</w:t>
      </w:r>
    </w:p>
    <w:p w14:paraId="4E2BA625">
      <w:pPr>
        <w:ind w:firstLine="0" w:firstLineChars="0"/>
        <w:rPr>
          <w:rFonts w:eastAsia="等线"/>
          <w:sz w:val="21"/>
          <w:szCs w:val="21"/>
        </w:rPr>
      </w:pPr>
      <w:r>
        <w:rPr>
          <w:rFonts w:eastAsia="等线"/>
          <w:sz w:val="21"/>
          <w:szCs w:val="21"/>
        </w:rPr>
        <w:t>plt.show()</w:t>
      </w:r>
    </w:p>
    <w:p w14:paraId="7B91BF7E">
      <w:pPr>
        <w:ind w:firstLine="0" w:firstLineChars="0"/>
        <w:rPr>
          <w:rFonts w:eastAsia="等线"/>
          <w:sz w:val="21"/>
          <w:szCs w:val="21"/>
        </w:rPr>
      </w:pPr>
      <w:r>
        <w:rPr>
          <w:rFonts w:eastAsia="等线"/>
          <w:sz w:val="21"/>
          <w:szCs w:val="21"/>
        </w:rPr>
        <w:t>from statsmodels.graphics.tsaplots import plot_acf</w:t>
      </w:r>
    </w:p>
    <w:p w14:paraId="216C2DC0">
      <w:pPr>
        <w:ind w:firstLine="0" w:firstLineChars="0"/>
        <w:rPr>
          <w:rFonts w:eastAsia="等线"/>
          <w:sz w:val="21"/>
          <w:szCs w:val="21"/>
        </w:rPr>
      </w:pPr>
      <w:r>
        <w:rPr>
          <w:rFonts w:eastAsia="等线"/>
          <w:sz w:val="21"/>
          <w:szCs w:val="21"/>
        </w:rPr>
        <w:t>plot_acf(data).show()</w:t>
      </w:r>
    </w:p>
    <w:p w14:paraId="4E23E4A8">
      <w:pPr>
        <w:ind w:firstLine="0" w:firstLineChars="0"/>
        <w:rPr>
          <w:rFonts w:eastAsia="等线"/>
          <w:sz w:val="21"/>
          <w:szCs w:val="21"/>
        </w:rPr>
      </w:pPr>
      <w:r>
        <w:rPr>
          <w:rFonts w:eastAsia="等线"/>
          <w:sz w:val="21"/>
          <w:szCs w:val="21"/>
        </w:rPr>
        <w:t>from statsmodels.tsa.stattools import adfuller as ADF</w:t>
      </w:r>
    </w:p>
    <w:p w14:paraId="5207ECED">
      <w:pPr>
        <w:ind w:firstLine="0" w:firstLineChars="0"/>
        <w:rPr>
          <w:rFonts w:eastAsia="等线"/>
          <w:sz w:val="21"/>
          <w:szCs w:val="21"/>
        </w:rPr>
      </w:pPr>
      <w:r>
        <w:rPr>
          <w:rFonts w:eastAsia="等线"/>
          <w:sz w:val="21"/>
          <w:szCs w:val="21"/>
        </w:rPr>
        <w:t>print(u'', ADF(data[u'GDP</w:t>
      </w:r>
      <w:r>
        <w:rPr>
          <w:rFonts w:ascii="等线" w:hAnsi="等线" w:eastAsia="等线"/>
          <w:sz w:val="21"/>
          <w:szCs w:val="21"/>
        </w:rPr>
        <w:t>总量</w:t>
      </w:r>
      <w:r>
        <w:rPr>
          <w:rFonts w:eastAsia="等线"/>
          <w:sz w:val="21"/>
          <w:szCs w:val="21"/>
        </w:rPr>
        <w:t>x2']))</w:t>
      </w:r>
    </w:p>
    <w:p w14:paraId="15192F85">
      <w:pPr>
        <w:ind w:firstLine="0" w:firstLineChars="0"/>
        <w:rPr>
          <w:rFonts w:eastAsia="等线"/>
          <w:sz w:val="21"/>
          <w:szCs w:val="21"/>
        </w:rPr>
      </w:pPr>
      <w:r>
        <w:rPr>
          <w:rFonts w:eastAsia="等线"/>
          <w:sz w:val="21"/>
          <w:szCs w:val="21"/>
        </w:rPr>
        <w:t>D_data = data.diff().dropna()</w:t>
      </w:r>
    </w:p>
    <w:p w14:paraId="0240B89E">
      <w:pPr>
        <w:ind w:firstLine="0" w:firstLineChars="0"/>
        <w:rPr>
          <w:rFonts w:eastAsia="等线"/>
          <w:sz w:val="21"/>
          <w:szCs w:val="21"/>
        </w:rPr>
      </w:pPr>
      <w:r>
        <w:rPr>
          <w:rFonts w:eastAsia="等线"/>
          <w:sz w:val="21"/>
          <w:szCs w:val="21"/>
        </w:rPr>
        <w:t>D_data.columns = [u'GDP</w:t>
      </w:r>
      <w:r>
        <w:rPr>
          <w:rFonts w:ascii="等线" w:hAnsi="等线" w:eastAsia="等线"/>
          <w:sz w:val="21"/>
          <w:szCs w:val="21"/>
        </w:rPr>
        <w:t>总量</w:t>
      </w:r>
      <w:r>
        <w:rPr>
          <w:rFonts w:eastAsia="等线"/>
          <w:sz w:val="21"/>
          <w:szCs w:val="21"/>
        </w:rPr>
        <w:t>x2</w:t>
      </w:r>
      <w:r>
        <w:rPr>
          <w:rFonts w:ascii="等线" w:hAnsi="等线" w:eastAsia="等线"/>
          <w:sz w:val="21"/>
          <w:szCs w:val="21"/>
        </w:rPr>
        <w:t>差分</w:t>
      </w:r>
      <w:r>
        <w:rPr>
          <w:rFonts w:eastAsia="等线"/>
          <w:sz w:val="21"/>
          <w:szCs w:val="21"/>
        </w:rPr>
        <w:t>']</w:t>
      </w:r>
    </w:p>
    <w:p w14:paraId="07F73AD3">
      <w:pPr>
        <w:ind w:firstLine="0" w:firstLineChars="0"/>
        <w:rPr>
          <w:rFonts w:eastAsia="等线"/>
          <w:sz w:val="21"/>
          <w:szCs w:val="21"/>
        </w:rPr>
      </w:pPr>
      <w:r>
        <w:rPr>
          <w:rFonts w:eastAsia="等线"/>
          <w:sz w:val="21"/>
          <w:szCs w:val="21"/>
        </w:rPr>
        <w:t xml:space="preserve">D_data.plot()  </w:t>
      </w:r>
    </w:p>
    <w:p w14:paraId="329877B0">
      <w:pPr>
        <w:ind w:firstLine="0" w:firstLineChars="0"/>
        <w:rPr>
          <w:rFonts w:eastAsia="等线"/>
          <w:sz w:val="21"/>
          <w:szCs w:val="21"/>
        </w:rPr>
      </w:pPr>
      <w:r>
        <w:rPr>
          <w:rFonts w:eastAsia="等线"/>
          <w:sz w:val="21"/>
          <w:szCs w:val="21"/>
        </w:rPr>
        <w:t>plt.show()</w:t>
      </w:r>
    </w:p>
    <w:p w14:paraId="1E346CE7">
      <w:pPr>
        <w:ind w:firstLine="0" w:firstLineChars="0"/>
        <w:rPr>
          <w:rFonts w:eastAsia="等线"/>
          <w:sz w:val="21"/>
          <w:szCs w:val="21"/>
        </w:rPr>
      </w:pPr>
      <w:r>
        <w:rPr>
          <w:rFonts w:eastAsia="等线"/>
          <w:sz w:val="21"/>
          <w:szCs w:val="21"/>
        </w:rPr>
        <w:t xml:space="preserve">plot_acf(D_data).show()  </w:t>
      </w:r>
    </w:p>
    <w:p w14:paraId="5C429991">
      <w:pPr>
        <w:ind w:firstLine="0" w:firstLineChars="0"/>
        <w:rPr>
          <w:rFonts w:eastAsia="等线"/>
          <w:sz w:val="21"/>
          <w:szCs w:val="21"/>
        </w:rPr>
      </w:pPr>
      <w:r>
        <w:rPr>
          <w:rFonts w:eastAsia="等线"/>
          <w:sz w:val="21"/>
          <w:szCs w:val="21"/>
        </w:rPr>
        <w:t>from statsmodels.graphics.tsaplots import plot_pacf</w:t>
      </w:r>
    </w:p>
    <w:p w14:paraId="020A485A">
      <w:pPr>
        <w:ind w:firstLine="0" w:firstLineChars="0"/>
        <w:rPr>
          <w:rFonts w:eastAsia="等线"/>
          <w:sz w:val="21"/>
          <w:szCs w:val="21"/>
        </w:rPr>
      </w:pPr>
      <w:r>
        <w:rPr>
          <w:rFonts w:eastAsia="等线"/>
          <w:sz w:val="21"/>
          <w:szCs w:val="21"/>
        </w:rPr>
        <w:t xml:space="preserve">plot_pacf(D_data,logs=4).show()  </w:t>
      </w:r>
    </w:p>
    <w:p w14:paraId="5F865971">
      <w:pPr>
        <w:ind w:firstLine="0" w:firstLineChars="0"/>
        <w:rPr>
          <w:rFonts w:eastAsia="等线"/>
          <w:sz w:val="21"/>
          <w:szCs w:val="21"/>
        </w:rPr>
      </w:pPr>
      <w:r>
        <w:rPr>
          <w:rFonts w:eastAsia="等线"/>
          <w:sz w:val="21"/>
          <w:szCs w:val="21"/>
        </w:rPr>
        <w:t>print(u'', ADF(D_data[u'</w:t>
      </w:r>
      <w:r>
        <w:rPr>
          <w:rFonts w:ascii="等线" w:hAnsi="等线" w:eastAsia="等线"/>
          <w:sz w:val="21"/>
          <w:szCs w:val="21"/>
        </w:rPr>
        <w:t>销量差分</w:t>
      </w:r>
      <w:r>
        <w:rPr>
          <w:rFonts w:eastAsia="等线"/>
          <w:sz w:val="21"/>
          <w:szCs w:val="21"/>
        </w:rPr>
        <w:t xml:space="preserve">']))  </w:t>
      </w:r>
    </w:p>
    <w:p w14:paraId="40223F76">
      <w:pPr>
        <w:ind w:firstLine="0" w:firstLineChars="0"/>
        <w:rPr>
          <w:rFonts w:eastAsia="等线"/>
          <w:sz w:val="21"/>
          <w:szCs w:val="21"/>
        </w:rPr>
      </w:pPr>
      <w:r>
        <w:rPr>
          <w:rFonts w:eastAsia="等线"/>
          <w:sz w:val="21"/>
          <w:szCs w:val="21"/>
        </w:rPr>
        <w:t>from statsmodels.stats.diagnostic import acorr_ljungbox</w:t>
      </w:r>
    </w:p>
    <w:p w14:paraId="7CE96290">
      <w:pPr>
        <w:ind w:firstLine="0" w:firstLineChars="0"/>
        <w:rPr>
          <w:rFonts w:eastAsia="等线"/>
          <w:sz w:val="21"/>
          <w:szCs w:val="21"/>
        </w:rPr>
      </w:pPr>
      <w:r>
        <w:rPr>
          <w:rFonts w:eastAsia="等线"/>
          <w:sz w:val="21"/>
          <w:szCs w:val="21"/>
        </w:rPr>
        <w:t>print(u'', acorr_ljungbox(D_data, lags=1))</w:t>
      </w:r>
    </w:p>
    <w:p w14:paraId="20772035">
      <w:pPr>
        <w:ind w:firstLine="0" w:firstLineChars="0"/>
        <w:rPr>
          <w:rFonts w:eastAsia="等线"/>
          <w:sz w:val="21"/>
          <w:szCs w:val="21"/>
        </w:rPr>
      </w:pPr>
      <w:r>
        <w:rPr>
          <w:rFonts w:eastAsia="等线"/>
          <w:sz w:val="21"/>
          <w:szCs w:val="21"/>
        </w:rPr>
        <w:t>data[u'GDP</w:t>
      </w:r>
      <w:r>
        <w:rPr>
          <w:rFonts w:ascii="等线" w:hAnsi="等线" w:eastAsia="等线"/>
          <w:sz w:val="21"/>
          <w:szCs w:val="21"/>
        </w:rPr>
        <w:t>总量</w:t>
      </w:r>
      <w:r>
        <w:rPr>
          <w:rFonts w:eastAsia="等线"/>
          <w:sz w:val="21"/>
          <w:szCs w:val="21"/>
        </w:rPr>
        <w:t>x2'] = data[u'GDP</w:t>
      </w:r>
      <w:r>
        <w:rPr>
          <w:rFonts w:ascii="等线" w:hAnsi="等线" w:eastAsia="等线"/>
          <w:sz w:val="21"/>
          <w:szCs w:val="21"/>
        </w:rPr>
        <w:t>总量</w:t>
      </w:r>
      <w:r>
        <w:rPr>
          <w:rFonts w:eastAsia="等线"/>
          <w:sz w:val="21"/>
          <w:szCs w:val="21"/>
        </w:rPr>
        <w:t xml:space="preserve">x2'].astype(float) </w:t>
      </w:r>
    </w:p>
    <w:p w14:paraId="151B4854">
      <w:pPr>
        <w:ind w:firstLine="0" w:firstLineChars="0"/>
        <w:rPr>
          <w:rFonts w:eastAsia="等线"/>
          <w:sz w:val="21"/>
          <w:szCs w:val="21"/>
        </w:rPr>
      </w:pPr>
      <w:r>
        <w:rPr>
          <w:rFonts w:eastAsia="等线"/>
          <w:sz w:val="21"/>
          <w:szCs w:val="21"/>
        </w:rPr>
        <w:t xml:space="preserve">pmax = int(len(D_data)/10)  </w:t>
      </w:r>
    </w:p>
    <w:p w14:paraId="52B28566">
      <w:pPr>
        <w:ind w:firstLine="0" w:firstLineChars="0"/>
        <w:rPr>
          <w:rFonts w:eastAsia="等线"/>
          <w:sz w:val="21"/>
          <w:szCs w:val="21"/>
        </w:rPr>
      </w:pPr>
      <w:r>
        <w:rPr>
          <w:rFonts w:eastAsia="等线"/>
          <w:sz w:val="21"/>
          <w:szCs w:val="21"/>
        </w:rPr>
        <w:t xml:space="preserve">qmax = int(len(D_data)/10)  </w:t>
      </w:r>
    </w:p>
    <w:p w14:paraId="25B46D74">
      <w:pPr>
        <w:ind w:firstLine="0" w:firstLineChars="0"/>
        <w:rPr>
          <w:rFonts w:eastAsia="等线"/>
          <w:sz w:val="21"/>
          <w:szCs w:val="21"/>
        </w:rPr>
      </w:pPr>
      <w:r>
        <w:rPr>
          <w:rFonts w:eastAsia="等线"/>
          <w:sz w:val="21"/>
          <w:szCs w:val="21"/>
        </w:rPr>
        <w:t xml:space="preserve">bic_matrix = []  </w:t>
      </w:r>
    </w:p>
    <w:p w14:paraId="15D7B4FD">
      <w:pPr>
        <w:ind w:firstLine="0" w:firstLineChars="0"/>
        <w:rPr>
          <w:rFonts w:eastAsia="等线"/>
          <w:sz w:val="21"/>
          <w:szCs w:val="21"/>
        </w:rPr>
      </w:pPr>
      <w:r>
        <w:rPr>
          <w:rFonts w:eastAsia="等线"/>
          <w:sz w:val="21"/>
          <w:szCs w:val="21"/>
        </w:rPr>
        <w:t>for p in range(pmax+1):</w:t>
      </w:r>
    </w:p>
    <w:p w14:paraId="0F470A15">
      <w:pPr>
        <w:ind w:firstLine="0" w:firstLineChars="0"/>
        <w:rPr>
          <w:rFonts w:eastAsia="等线"/>
          <w:sz w:val="21"/>
          <w:szCs w:val="21"/>
        </w:rPr>
      </w:pPr>
      <w:r>
        <w:rPr>
          <w:rFonts w:eastAsia="等线"/>
          <w:sz w:val="21"/>
          <w:szCs w:val="21"/>
        </w:rPr>
        <w:t xml:space="preserve">  tmp = []</w:t>
      </w:r>
    </w:p>
    <w:p w14:paraId="335A75A3">
      <w:pPr>
        <w:ind w:firstLine="0" w:firstLineChars="0"/>
        <w:rPr>
          <w:rFonts w:eastAsia="等线"/>
          <w:sz w:val="21"/>
          <w:szCs w:val="21"/>
        </w:rPr>
      </w:pPr>
      <w:r>
        <w:rPr>
          <w:rFonts w:eastAsia="等线"/>
          <w:sz w:val="21"/>
          <w:szCs w:val="21"/>
        </w:rPr>
        <w:t xml:space="preserve">  for q in range(qmax+1):</w:t>
      </w:r>
    </w:p>
    <w:p w14:paraId="305FB5EC">
      <w:pPr>
        <w:ind w:firstLine="0" w:firstLineChars="0"/>
        <w:rPr>
          <w:rFonts w:eastAsia="等线"/>
          <w:sz w:val="21"/>
          <w:szCs w:val="21"/>
        </w:rPr>
      </w:pPr>
      <w:r>
        <w:rPr>
          <w:rFonts w:eastAsia="等线"/>
          <w:sz w:val="21"/>
          <w:szCs w:val="21"/>
        </w:rPr>
        <w:t xml:space="preserve">    try:  </w:t>
      </w:r>
    </w:p>
    <w:p w14:paraId="62D2F20E">
      <w:pPr>
        <w:ind w:firstLine="0" w:firstLineChars="0"/>
        <w:rPr>
          <w:rFonts w:eastAsia="等线"/>
          <w:sz w:val="21"/>
          <w:szCs w:val="21"/>
        </w:rPr>
      </w:pPr>
      <w:r>
        <w:rPr>
          <w:rFonts w:eastAsia="等线"/>
          <w:sz w:val="21"/>
          <w:szCs w:val="21"/>
        </w:rPr>
        <w:t xml:space="preserve">      tmp.append(ARIMA(data, (p,1,q)).fit().bic)</w:t>
      </w:r>
    </w:p>
    <w:p w14:paraId="519CDC53">
      <w:pPr>
        <w:ind w:firstLine="0" w:firstLineChars="0"/>
        <w:rPr>
          <w:rFonts w:eastAsia="等线"/>
          <w:sz w:val="21"/>
          <w:szCs w:val="21"/>
        </w:rPr>
      </w:pPr>
      <w:r>
        <w:rPr>
          <w:rFonts w:eastAsia="等线"/>
          <w:sz w:val="21"/>
          <w:szCs w:val="21"/>
        </w:rPr>
        <w:t xml:space="preserve">    except:</w:t>
      </w:r>
    </w:p>
    <w:p w14:paraId="09BD42CF">
      <w:pPr>
        <w:ind w:firstLine="0" w:firstLineChars="0"/>
        <w:rPr>
          <w:rFonts w:eastAsia="等线"/>
          <w:sz w:val="21"/>
          <w:szCs w:val="21"/>
        </w:rPr>
      </w:pPr>
      <w:r>
        <w:rPr>
          <w:rFonts w:eastAsia="等线"/>
          <w:sz w:val="21"/>
          <w:szCs w:val="21"/>
        </w:rPr>
        <w:t xml:space="preserve">      tmp.append(None)</w:t>
      </w:r>
    </w:p>
    <w:p w14:paraId="3CB8ACD5">
      <w:pPr>
        <w:ind w:firstLine="0" w:firstLineChars="0"/>
        <w:rPr>
          <w:rFonts w:eastAsia="等线"/>
          <w:sz w:val="21"/>
          <w:szCs w:val="21"/>
        </w:rPr>
      </w:pPr>
      <w:r>
        <w:rPr>
          <w:rFonts w:eastAsia="等线"/>
          <w:sz w:val="21"/>
          <w:szCs w:val="21"/>
        </w:rPr>
        <w:t xml:space="preserve">  bic_matrix.append(tmp)</w:t>
      </w:r>
    </w:p>
    <w:p w14:paraId="13CB329C">
      <w:pPr>
        <w:ind w:firstLine="0" w:firstLineChars="0"/>
        <w:rPr>
          <w:rFonts w:eastAsia="等线"/>
          <w:sz w:val="21"/>
          <w:szCs w:val="21"/>
        </w:rPr>
      </w:pPr>
      <w:r>
        <w:rPr>
          <w:rFonts w:eastAsia="等线"/>
          <w:sz w:val="21"/>
          <w:szCs w:val="21"/>
        </w:rPr>
        <w:t xml:space="preserve">bic_matrix = pd.DataFrame(bic_matrix) </w:t>
      </w:r>
    </w:p>
    <w:p w14:paraId="75614C3B">
      <w:pPr>
        <w:ind w:firstLine="0" w:firstLineChars="0"/>
        <w:rPr>
          <w:rFonts w:eastAsia="等线"/>
          <w:sz w:val="21"/>
          <w:szCs w:val="21"/>
        </w:rPr>
      </w:pPr>
      <w:r>
        <w:rPr>
          <w:rFonts w:eastAsia="等线"/>
          <w:sz w:val="21"/>
          <w:szCs w:val="21"/>
        </w:rPr>
        <w:t xml:space="preserve">p,q = bic_matrix.stack().idxmin()  </w:t>
      </w:r>
    </w:p>
    <w:p w14:paraId="30B6712A">
      <w:pPr>
        <w:ind w:firstLine="0" w:firstLineChars="0"/>
        <w:rPr>
          <w:rFonts w:eastAsia="等线"/>
          <w:sz w:val="21"/>
          <w:szCs w:val="21"/>
        </w:rPr>
      </w:pPr>
      <w:r>
        <w:rPr>
          <w:rFonts w:eastAsia="等线"/>
          <w:sz w:val="21"/>
          <w:szCs w:val="21"/>
        </w:rPr>
        <w:t>print(u'' %(p,q))</w:t>
      </w:r>
    </w:p>
    <w:p w14:paraId="62202A4D">
      <w:pPr>
        <w:ind w:firstLine="0" w:firstLineChars="0"/>
        <w:rPr>
          <w:rFonts w:eastAsia="等线"/>
          <w:sz w:val="21"/>
          <w:szCs w:val="21"/>
        </w:rPr>
      </w:pPr>
      <w:r>
        <w:rPr>
          <w:rFonts w:eastAsia="等线"/>
          <w:sz w:val="21"/>
          <w:szCs w:val="21"/>
        </w:rPr>
        <w:t xml:space="preserve">model = ARIMA(data, (p,1,q)).fit()  </w:t>
      </w:r>
    </w:p>
    <w:p w14:paraId="0703C835">
      <w:pPr>
        <w:ind w:firstLine="0" w:firstLineChars="0"/>
        <w:rPr>
          <w:rFonts w:eastAsia="等线"/>
          <w:sz w:val="21"/>
          <w:szCs w:val="21"/>
        </w:rPr>
      </w:pPr>
      <w:r>
        <w:rPr>
          <w:rFonts w:eastAsia="等线"/>
          <w:sz w:val="21"/>
          <w:szCs w:val="21"/>
        </w:rPr>
        <w:t>print('\n', model.summary2())</w:t>
      </w:r>
    </w:p>
    <w:p w14:paraId="372452E0">
      <w:pPr>
        <w:ind w:firstLine="0" w:firstLineChars="0"/>
        <w:rPr>
          <w:rFonts w:eastAsia="等线"/>
          <w:sz w:val="21"/>
          <w:szCs w:val="21"/>
        </w:rPr>
      </w:pPr>
      <w:r>
        <w:rPr>
          <w:rFonts w:eastAsia="等线"/>
          <w:sz w:val="21"/>
          <w:szCs w:val="21"/>
        </w:rPr>
        <w:t>print('\n', model.forecast(5))</w:t>
      </w:r>
    </w:p>
    <w:p w14:paraId="078C2901">
      <w:pPr>
        <w:ind w:firstLine="0" w:firstLineChars="0"/>
        <w:rPr>
          <w:rFonts w:eastAsia="等线"/>
          <w:sz w:val="21"/>
          <w:szCs w:val="21"/>
        </w:rPr>
      </w:pPr>
      <w:r>
        <w:rPr>
          <w:rFonts w:eastAsia="等线"/>
          <w:sz w:val="21"/>
          <w:szCs w:val="21"/>
        </w:rPr>
        <w:t xml:space="preserve"> </w:t>
      </w:r>
    </w:p>
    <w:p w14:paraId="270DC5BC">
      <w:pPr>
        <w:ind w:firstLine="0" w:firstLineChars="0"/>
        <w:rPr>
          <w:rFonts w:eastAsia="等线"/>
          <w:b/>
          <w:bCs/>
          <w:sz w:val="21"/>
          <w:szCs w:val="21"/>
        </w:rPr>
      </w:pPr>
      <w:r>
        <w:rPr>
          <w:rFonts w:ascii="等线" w:hAnsi="等线" w:eastAsia="等线"/>
          <w:b/>
          <w:bCs/>
          <w:sz w:val="21"/>
          <w:szCs w:val="21"/>
        </w:rPr>
        <w:t>问题二第二小问</w:t>
      </w:r>
    </w:p>
    <w:p w14:paraId="566783E1">
      <w:pPr>
        <w:ind w:firstLine="0" w:firstLineChars="0"/>
        <w:rPr>
          <w:rFonts w:eastAsia="等线"/>
          <w:sz w:val="21"/>
          <w:szCs w:val="21"/>
        </w:rPr>
      </w:pPr>
      <w:r>
        <w:rPr>
          <w:rFonts w:eastAsia="等线"/>
          <w:sz w:val="21"/>
          <w:szCs w:val="21"/>
        </w:rPr>
        <w:t>import numpy as np</w:t>
      </w:r>
    </w:p>
    <w:p w14:paraId="5C3B2C9F">
      <w:pPr>
        <w:ind w:firstLine="0" w:firstLineChars="0"/>
        <w:rPr>
          <w:rFonts w:eastAsia="等线"/>
          <w:sz w:val="21"/>
          <w:szCs w:val="21"/>
        </w:rPr>
      </w:pPr>
      <w:r>
        <w:rPr>
          <w:rFonts w:eastAsia="等线"/>
          <w:sz w:val="21"/>
          <w:szCs w:val="21"/>
        </w:rPr>
        <w:t>import pandas as pd</w:t>
      </w:r>
    </w:p>
    <w:p w14:paraId="652BC074">
      <w:pPr>
        <w:ind w:firstLine="0" w:firstLineChars="0"/>
        <w:rPr>
          <w:rFonts w:eastAsia="等线"/>
          <w:sz w:val="21"/>
          <w:szCs w:val="21"/>
        </w:rPr>
      </w:pPr>
      <w:r>
        <w:rPr>
          <w:rFonts w:eastAsia="等线"/>
          <w:sz w:val="21"/>
          <w:szCs w:val="21"/>
        </w:rPr>
        <w:t>import statsmodels.api as sm</w:t>
      </w:r>
    </w:p>
    <w:p w14:paraId="5A83032C">
      <w:pPr>
        <w:ind w:firstLine="0" w:firstLineChars="0"/>
        <w:rPr>
          <w:rFonts w:eastAsia="等线"/>
          <w:sz w:val="21"/>
          <w:szCs w:val="21"/>
        </w:rPr>
      </w:pPr>
      <w:r>
        <w:rPr>
          <w:rFonts w:eastAsia="等线"/>
          <w:sz w:val="21"/>
          <w:szCs w:val="21"/>
        </w:rPr>
        <w:t>file = r'C:/Users/13746/Desktop/1589.xlsx'</w:t>
      </w:r>
    </w:p>
    <w:p w14:paraId="6F1D9170">
      <w:pPr>
        <w:ind w:firstLine="0" w:firstLineChars="0"/>
        <w:rPr>
          <w:rFonts w:eastAsia="等线"/>
          <w:sz w:val="21"/>
          <w:szCs w:val="21"/>
        </w:rPr>
      </w:pPr>
      <w:r>
        <w:rPr>
          <w:rFonts w:eastAsia="等线"/>
          <w:sz w:val="21"/>
          <w:szCs w:val="21"/>
        </w:rPr>
        <w:t>data = pd.read_excel(file)</w:t>
      </w:r>
    </w:p>
    <w:p w14:paraId="5C616973">
      <w:pPr>
        <w:ind w:firstLine="0" w:firstLineChars="0"/>
        <w:rPr>
          <w:rFonts w:eastAsia="等线"/>
          <w:sz w:val="21"/>
          <w:szCs w:val="21"/>
        </w:rPr>
      </w:pPr>
      <w:r>
        <w:rPr>
          <w:rFonts w:eastAsia="等线"/>
          <w:sz w:val="21"/>
          <w:szCs w:val="21"/>
        </w:rPr>
        <w:t>data.columns = ['y1', 'x1', 'x2','x3']</w:t>
      </w:r>
    </w:p>
    <w:p w14:paraId="2017530C">
      <w:pPr>
        <w:ind w:firstLine="0" w:firstLineChars="0"/>
        <w:rPr>
          <w:rFonts w:eastAsia="等线"/>
          <w:sz w:val="21"/>
          <w:szCs w:val="21"/>
        </w:rPr>
      </w:pPr>
      <w:r>
        <w:rPr>
          <w:rFonts w:eastAsia="等线"/>
          <w:sz w:val="21"/>
          <w:szCs w:val="21"/>
        </w:rPr>
        <w:t>def looper(limit):</w:t>
      </w:r>
    </w:p>
    <w:p w14:paraId="39D9A6E9">
      <w:pPr>
        <w:ind w:firstLine="0" w:firstLineChars="0"/>
        <w:rPr>
          <w:rFonts w:eastAsia="等线"/>
          <w:sz w:val="21"/>
          <w:szCs w:val="21"/>
        </w:rPr>
      </w:pPr>
      <w:r>
        <w:rPr>
          <w:rFonts w:eastAsia="等线"/>
          <w:sz w:val="21"/>
          <w:szCs w:val="21"/>
        </w:rPr>
        <w:t xml:space="preserve">    cols = [ 'x1', 'x2','x3']</w:t>
      </w:r>
    </w:p>
    <w:p w14:paraId="6DE51148">
      <w:pPr>
        <w:ind w:firstLine="0" w:firstLineChars="0"/>
        <w:rPr>
          <w:rFonts w:eastAsia="等线"/>
          <w:sz w:val="21"/>
          <w:szCs w:val="21"/>
        </w:rPr>
      </w:pPr>
      <w:r>
        <w:rPr>
          <w:rFonts w:eastAsia="等线"/>
          <w:sz w:val="21"/>
          <w:szCs w:val="21"/>
        </w:rPr>
        <w:t xml:space="preserve">    for i in range(len(cols)):</w:t>
      </w:r>
    </w:p>
    <w:p w14:paraId="07D4F2CB">
      <w:pPr>
        <w:ind w:firstLine="0" w:firstLineChars="0"/>
        <w:rPr>
          <w:rFonts w:eastAsia="等线"/>
          <w:sz w:val="21"/>
          <w:szCs w:val="21"/>
        </w:rPr>
      </w:pPr>
      <w:r>
        <w:rPr>
          <w:rFonts w:eastAsia="等线"/>
          <w:sz w:val="21"/>
          <w:szCs w:val="21"/>
        </w:rPr>
        <w:t xml:space="preserve">        data1 = data[cols]</w:t>
      </w:r>
    </w:p>
    <w:p w14:paraId="0F72FE23">
      <w:pPr>
        <w:ind w:firstLine="0" w:firstLineChars="0"/>
        <w:rPr>
          <w:rFonts w:eastAsia="等线"/>
          <w:sz w:val="21"/>
          <w:szCs w:val="21"/>
        </w:rPr>
      </w:pPr>
      <w:r>
        <w:rPr>
          <w:rFonts w:eastAsia="等线"/>
          <w:sz w:val="21"/>
          <w:szCs w:val="21"/>
        </w:rPr>
        <w:t xml:space="preserve">        x = sm.add_constant(data1) </w:t>
      </w:r>
    </w:p>
    <w:p w14:paraId="498C3485">
      <w:pPr>
        <w:ind w:firstLine="0" w:firstLineChars="0"/>
        <w:rPr>
          <w:rFonts w:eastAsia="等线"/>
          <w:sz w:val="21"/>
          <w:szCs w:val="21"/>
        </w:rPr>
      </w:pPr>
      <w:r>
        <w:rPr>
          <w:rFonts w:eastAsia="等线"/>
          <w:sz w:val="21"/>
          <w:szCs w:val="21"/>
        </w:rPr>
        <w:t xml:space="preserve">        y = data['y1'] </w:t>
      </w:r>
    </w:p>
    <w:p w14:paraId="22C7A7D0">
      <w:pPr>
        <w:ind w:firstLine="0" w:firstLineChars="0"/>
        <w:rPr>
          <w:rFonts w:eastAsia="等线"/>
          <w:sz w:val="21"/>
          <w:szCs w:val="21"/>
        </w:rPr>
      </w:pPr>
      <w:r>
        <w:rPr>
          <w:rFonts w:eastAsia="等线"/>
          <w:sz w:val="21"/>
          <w:szCs w:val="21"/>
        </w:rPr>
        <w:t xml:space="preserve">        model = sm.OLS(y, x) </w:t>
      </w:r>
    </w:p>
    <w:p w14:paraId="607D93B4">
      <w:pPr>
        <w:ind w:firstLine="0" w:firstLineChars="0"/>
        <w:rPr>
          <w:rFonts w:eastAsia="等线"/>
          <w:sz w:val="21"/>
          <w:szCs w:val="21"/>
        </w:rPr>
      </w:pPr>
      <w:r>
        <w:rPr>
          <w:rFonts w:eastAsia="等线"/>
          <w:sz w:val="21"/>
          <w:szCs w:val="21"/>
        </w:rPr>
        <w:t xml:space="preserve">        result = model.fit() </w:t>
      </w:r>
    </w:p>
    <w:p w14:paraId="4C98429F">
      <w:pPr>
        <w:ind w:firstLine="0" w:firstLineChars="0"/>
        <w:rPr>
          <w:rFonts w:eastAsia="等线"/>
          <w:sz w:val="21"/>
          <w:szCs w:val="21"/>
        </w:rPr>
      </w:pPr>
      <w:r>
        <w:rPr>
          <w:rFonts w:eastAsia="等线"/>
          <w:sz w:val="21"/>
          <w:szCs w:val="21"/>
        </w:rPr>
        <w:t xml:space="preserve">        pvalues = result.pvalues </w:t>
      </w:r>
    </w:p>
    <w:p w14:paraId="0840ACA0">
      <w:pPr>
        <w:ind w:firstLine="0" w:firstLineChars="0"/>
        <w:rPr>
          <w:rFonts w:eastAsia="等线"/>
          <w:sz w:val="21"/>
          <w:szCs w:val="21"/>
        </w:rPr>
      </w:pPr>
      <w:r>
        <w:rPr>
          <w:rFonts w:eastAsia="等线"/>
          <w:sz w:val="21"/>
          <w:szCs w:val="21"/>
        </w:rPr>
        <w:t xml:space="preserve">        pvalues.drop('const',inplace=True) </w:t>
      </w:r>
    </w:p>
    <w:p w14:paraId="342B27F4">
      <w:pPr>
        <w:ind w:firstLine="0" w:firstLineChars="0"/>
        <w:rPr>
          <w:rFonts w:eastAsia="等线"/>
          <w:sz w:val="21"/>
          <w:szCs w:val="21"/>
        </w:rPr>
      </w:pPr>
      <w:r>
        <w:rPr>
          <w:rFonts w:eastAsia="等线"/>
          <w:sz w:val="21"/>
          <w:szCs w:val="21"/>
        </w:rPr>
        <w:t xml:space="preserve">        pmax = max(pvalues)</w:t>
      </w:r>
    </w:p>
    <w:p w14:paraId="76A88D76">
      <w:pPr>
        <w:ind w:firstLine="0" w:firstLineChars="0"/>
        <w:rPr>
          <w:rFonts w:eastAsia="等线"/>
          <w:sz w:val="21"/>
          <w:szCs w:val="21"/>
        </w:rPr>
      </w:pPr>
      <w:r>
        <w:rPr>
          <w:rFonts w:eastAsia="等线"/>
          <w:sz w:val="21"/>
          <w:szCs w:val="21"/>
        </w:rPr>
        <w:t xml:space="preserve">        if pmax&gt;limit:</w:t>
      </w:r>
    </w:p>
    <w:p w14:paraId="3B47CF32">
      <w:pPr>
        <w:ind w:firstLine="0" w:firstLineChars="0"/>
        <w:rPr>
          <w:rFonts w:eastAsia="等线"/>
          <w:sz w:val="21"/>
          <w:szCs w:val="21"/>
        </w:rPr>
      </w:pPr>
      <w:r>
        <w:rPr>
          <w:rFonts w:eastAsia="等线"/>
          <w:sz w:val="21"/>
          <w:szCs w:val="21"/>
        </w:rPr>
        <w:t xml:space="preserve">            ind = pvalues.idxmax() </w:t>
      </w:r>
    </w:p>
    <w:p w14:paraId="4CE47739">
      <w:pPr>
        <w:ind w:firstLine="0" w:firstLineChars="0"/>
        <w:rPr>
          <w:rFonts w:eastAsia="等线"/>
          <w:sz w:val="21"/>
          <w:szCs w:val="21"/>
        </w:rPr>
      </w:pPr>
      <w:r>
        <w:rPr>
          <w:rFonts w:eastAsia="等线"/>
          <w:sz w:val="21"/>
          <w:szCs w:val="21"/>
        </w:rPr>
        <w:t xml:space="preserve">            cols.remove(ind) </w:t>
      </w:r>
    </w:p>
    <w:p w14:paraId="73BE992D">
      <w:pPr>
        <w:ind w:firstLine="0" w:firstLineChars="0"/>
        <w:rPr>
          <w:rFonts w:eastAsia="等线"/>
          <w:sz w:val="21"/>
          <w:szCs w:val="21"/>
        </w:rPr>
      </w:pPr>
      <w:r>
        <w:rPr>
          <w:rFonts w:eastAsia="等线"/>
          <w:sz w:val="21"/>
          <w:szCs w:val="21"/>
        </w:rPr>
        <w:t xml:space="preserve">        else:</w:t>
      </w:r>
    </w:p>
    <w:p w14:paraId="72073A85">
      <w:pPr>
        <w:ind w:firstLine="0" w:firstLineChars="0"/>
        <w:rPr>
          <w:rFonts w:eastAsia="等线"/>
          <w:sz w:val="21"/>
          <w:szCs w:val="21"/>
        </w:rPr>
      </w:pPr>
      <w:r>
        <w:rPr>
          <w:rFonts w:eastAsia="等线"/>
          <w:sz w:val="21"/>
          <w:szCs w:val="21"/>
        </w:rPr>
        <w:t xml:space="preserve">            return result</w:t>
      </w:r>
    </w:p>
    <w:p w14:paraId="1A5D052B">
      <w:pPr>
        <w:ind w:firstLine="0" w:firstLineChars="0"/>
        <w:rPr>
          <w:rFonts w:eastAsia="等线"/>
          <w:sz w:val="21"/>
          <w:szCs w:val="21"/>
        </w:rPr>
      </w:pPr>
      <w:r>
        <w:rPr>
          <w:rFonts w:eastAsia="等线"/>
          <w:sz w:val="21"/>
          <w:szCs w:val="21"/>
        </w:rPr>
        <w:t>result = looper(0.05)</w:t>
      </w:r>
    </w:p>
    <w:p w14:paraId="7D9BF80B">
      <w:pPr>
        <w:ind w:firstLine="0" w:firstLineChars="0"/>
        <w:rPr>
          <w:rFonts w:eastAsia="等线"/>
          <w:sz w:val="21"/>
          <w:szCs w:val="21"/>
        </w:rPr>
      </w:pPr>
      <w:r>
        <w:rPr>
          <w:rFonts w:eastAsia="等线"/>
          <w:sz w:val="21"/>
          <w:szCs w:val="21"/>
        </w:rPr>
        <w:t>result.summary()</w:t>
      </w:r>
    </w:p>
    <w:p w14:paraId="6387AB64">
      <w:pPr>
        <w:ind w:firstLine="0" w:firstLineChars="0"/>
        <w:rPr>
          <w:rFonts w:eastAsia="方正书宋_GBK"/>
          <w:b/>
          <w:bCs/>
          <w:color w:val="000000"/>
          <w:kern w:val="0"/>
          <w:sz w:val="20"/>
          <w:szCs w:val="20"/>
        </w:rPr>
      </w:pPr>
      <w:r>
        <w:rPr>
          <w:rFonts w:eastAsia="方正书宋_GBK"/>
          <w:b/>
          <w:bCs/>
          <w:color w:val="000000"/>
          <w:kern w:val="0"/>
          <w:sz w:val="20"/>
          <w:szCs w:val="20"/>
        </w:rPr>
        <w:t xml:space="preserve"> </w:t>
      </w:r>
    </w:p>
    <w:p w14:paraId="66C6FCA8">
      <w:pPr>
        <w:ind w:firstLine="0" w:firstLineChars="0"/>
        <w:rPr>
          <w:rFonts w:eastAsia="方正书宋_GBK"/>
          <w:b/>
          <w:bCs/>
          <w:color w:val="000000"/>
          <w:kern w:val="0"/>
          <w:sz w:val="20"/>
          <w:szCs w:val="20"/>
        </w:rPr>
      </w:pPr>
      <w:r>
        <w:rPr>
          <w:rFonts w:ascii="方正书宋_GBK" w:hAnsi="方正书宋_GBK" w:eastAsia="方正书宋_GBK"/>
          <w:b/>
          <w:bCs/>
          <w:color w:val="000000"/>
          <w:kern w:val="0"/>
          <w:sz w:val="20"/>
          <w:szCs w:val="20"/>
        </w:rPr>
        <w:t>问题三预测数据：</w:t>
      </w:r>
    </w:p>
    <w:tbl>
      <w:tblPr>
        <w:tblStyle w:val="19"/>
        <w:tblW w:w="8130" w:type="dxa"/>
        <w:tblInd w:w="98" w:type="dxa"/>
        <w:tblLayout w:type="autofit"/>
        <w:tblCellMar>
          <w:top w:w="0" w:type="dxa"/>
          <w:left w:w="108" w:type="dxa"/>
          <w:bottom w:w="0" w:type="dxa"/>
          <w:right w:w="108" w:type="dxa"/>
        </w:tblCellMar>
      </w:tblPr>
      <w:tblGrid>
        <w:gridCol w:w="960"/>
        <w:gridCol w:w="2430"/>
        <w:gridCol w:w="2820"/>
        <w:gridCol w:w="1920"/>
      </w:tblGrid>
      <w:tr w14:paraId="640B0E59">
        <w:tblPrEx>
          <w:tblCellMar>
            <w:top w:w="0" w:type="dxa"/>
            <w:left w:w="108" w:type="dxa"/>
            <w:bottom w:w="0" w:type="dxa"/>
            <w:right w:w="108" w:type="dxa"/>
          </w:tblCellMar>
        </w:tblPrEx>
        <w:trPr>
          <w:trHeight w:val="330" w:hRule="atLeast"/>
        </w:trPr>
        <w:tc>
          <w:tcPr>
            <w:tcW w:w="960" w:type="dxa"/>
            <w:tcBorders>
              <w:top w:val="nil"/>
              <w:left w:val="nil"/>
              <w:bottom w:val="nil"/>
              <w:right w:val="nil"/>
            </w:tcBorders>
            <w:vAlign w:val="center"/>
          </w:tcPr>
          <w:p w14:paraId="7AD7B75B">
            <w:pPr>
              <w:widowControl/>
              <w:ind w:firstLine="0" w:firstLineChars="0"/>
              <w:jc w:val="center"/>
              <w:textAlignment w:val="center"/>
              <w:rPr>
                <w:color w:val="000000"/>
                <w:sz w:val="21"/>
                <w:szCs w:val="21"/>
              </w:rPr>
            </w:pPr>
            <w:r>
              <w:rPr>
                <w:rFonts w:ascii="宋体" w:hAnsi="宋体"/>
                <w:color w:val="000000"/>
                <w:kern w:val="0"/>
                <w:sz w:val="21"/>
                <w:szCs w:val="21"/>
              </w:rPr>
              <w:t>年份</w:t>
            </w:r>
          </w:p>
        </w:tc>
        <w:tc>
          <w:tcPr>
            <w:tcW w:w="2430" w:type="dxa"/>
            <w:tcBorders>
              <w:top w:val="nil"/>
              <w:left w:val="nil"/>
              <w:bottom w:val="nil"/>
              <w:right w:val="nil"/>
            </w:tcBorders>
            <w:vAlign w:val="center"/>
          </w:tcPr>
          <w:p w14:paraId="40A227B4">
            <w:pPr>
              <w:widowControl/>
              <w:ind w:firstLine="0" w:firstLineChars="0"/>
              <w:jc w:val="center"/>
              <w:textAlignment w:val="center"/>
              <w:rPr>
                <w:color w:val="000000"/>
                <w:sz w:val="21"/>
                <w:szCs w:val="21"/>
              </w:rPr>
            </w:pPr>
            <w:r>
              <w:rPr>
                <w:rFonts w:ascii="宋体" w:hAnsi="宋体"/>
                <w:color w:val="000000"/>
                <w:kern w:val="0"/>
                <w:sz w:val="21"/>
                <w:szCs w:val="21"/>
              </w:rPr>
              <w:t>微观模型碳排放情景三</w:t>
            </w:r>
          </w:p>
        </w:tc>
        <w:tc>
          <w:tcPr>
            <w:tcW w:w="2820" w:type="dxa"/>
            <w:tcBorders>
              <w:top w:val="nil"/>
              <w:left w:val="nil"/>
              <w:bottom w:val="nil"/>
              <w:right w:val="nil"/>
            </w:tcBorders>
            <w:vAlign w:val="center"/>
          </w:tcPr>
          <w:p w14:paraId="27D9F1CB">
            <w:pPr>
              <w:widowControl/>
              <w:ind w:firstLine="0" w:firstLineChars="0"/>
              <w:jc w:val="center"/>
              <w:textAlignment w:val="center"/>
              <w:rPr>
                <w:color w:val="000000"/>
                <w:sz w:val="21"/>
                <w:szCs w:val="21"/>
              </w:rPr>
            </w:pPr>
            <w:r>
              <w:rPr>
                <w:rFonts w:ascii="宋体" w:hAnsi="宋体"/>
                <w:color w:val="000000"/>
                <w:kern w:val="0"/>
                <w:sz w:val="21"/>
                <w:szCs w:val="21"/>
              </w:rPr>
              <w:t>宏观模型碳排放情景二</w:t>
            </w:r>
          </w:p>
        </w:tc>
        <w:tc>
          <w:tcPr>
            <w:tcW w:w="1920" w:type="dxa"/>
            <w:tcBorders>
              <w:top w:val="nil"/>
              <w:left w:val="nil"/>
              <w:bottom w:val="nil"/>
              <w:right w:val="nil"/>
            </w:tcBorders>
            <w:noWrap/>
            <w:vAlign w:val="center"/>
          </w:tcPr>
          <w:p w14:paraId="6F1DC492">
            <w:pPr>
              <w:widowControl/>
              <w:ind w:firstLine="0" w:firstLineChars="0"/>
              <w:jc w:val="center"/>
              <w:textAlignment w:val="center"/>
              <w:rPr>
                <w:color w:val="000000"/>
                <w:sz w:val="21"/>
                <w:szCs w:val="21"/>
              </w:rPr>
            </w:pPr>
            <w:r>
              <w:rPr>
                <w:color w:val="000000"/>
                <w:kern w:val="0"/>
                <w:sz w:val="21"/>
                <w:szCs w:val="21"/>
              </w:rPr>
              <w:t>BAU</w:t>
            </w:r>
            <w:r>
              <w:rPr>
                <w:rFonts w:ascii="宋体" w:hAnsi="宋体"/>
                <w:color w:val="000000"/>
                <w:kern w:val="0"/>
                <w:sz w:val="21"/>
                <w:szCs w:val="21"/>
              </w:rPr>
              <w:t>碳排放量</w:t>
            </w:r>
          </w:p>
        </w:tc>
      </w:tr>
      <w:tr w14:paraId="4F3FD340">
        <w:tblPrEx>
          <w:tblCellMar>
            <w:top w:w="0" w:type="dxa"/>
            <w:left w:w="108" w:type="dxa"/>
            <w:bottom w:w="0" w:type="dxa"/>
            <w:right w:w="108" w:type="dxa"/>
          </w:tblCellMar>
        </w:tblPrEx>
        <w:trPr>
          <w:trHeight w:val="290" w:hRule="atLeast"/>
        </w:trPr>
        <w:tc>
          <w:tcPr>
            <w:tcW w:w="960" w:type="dxa"/>
            <w:tcBorders>
              <w:top w:val="nil"/>
              <w:left w:val="nil"/>
              <w:bottom w:val="nil"/>
              <w:right w:val="nil"/>
            </w:tcBorders>
            <w:vAlign w:val="center"/>
          </w:tcPr>
          <w:p w14:paraId="1732492C">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2021</w:t>
            </w:r>
          </w:p>
        </w:tc>
        <w:tc>
          <w:tcPr>
            <w:tcW w:w="2430" w:type="dxa"/>
            <w:tcBorders>
              <w:top w:val="nil"/>
              <w:left w:val="nil"/>
              <w:bottom w:val="nil"/>
              <w:right w:val="nil"/>
            </w:tcBorders>
            <w:vAlign w:val="center"/>
          </w:tcPr>
          <w:p w14:paraId="7F2DD27B">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189764.6147</w:t>
            </w:r>
          </w:p>
        </w:tc>
        <w:tc>
          <w:tcPr>
            <w:tcW w:w="0" w:type="auto"/>
            <w:tcBorders>
              <w:top w:val="nil"/>
              <w:left w:val="nil"/>
              <w:bottom w:val="nil"/>
              <w:right w:val="nil"/>
            </w:tcBorders>
            <w:noWrap/>
            <w:vAlign w:val="center"/>
          </w:tcPr>
          <w:p w14:paraId="1BF0AD0D">
            <w:pPr>
              <w:widowControl/>
              <w:ind w:firstLine="0" w:firstLineChars="0"/>
              <w:jc w:val="center"/>
              <w:textAlignment w:val="center"/>
              <w:rPr>
                <w:color w:val="000000"/>
                <w:sz w:val="22"/>
              </w:rPr>
            </w:pPr>
            <w:r>
              <w:rPr>
                <w:color w:val="000000"/>
                <w:kern w:val="0"/>
                <w:sz w:val="22"/>
              </w:rPr>
              <w:t>179147.756</w:t>
            </w:r>
          </w:p>
        </w:tc>
        <w:tc>
          <w:tcPr>
            <w:tcW w:w="0" w:type="auto"/>
            <w:tcBorders>
              <w:top w:val="nil"/>
              <w:left w:val="nil"/>
              <w:bottom w:val="nil"/>
              <w:right w:val="nil"/>
            </w:tcBorders>
            <w:noWrap/>
            <w:vAlign w:val="bottom"/>
          </w:tcPr>
          <w:p w14:paraId="7B2B82A4">
            <w:pPr>
              <w:widowControl/>
              <w:ind w:firstLine="0" w:firstLineChars="0"/>
              <w:jc w:val="center"/>
              <w:textAlignment w:val="bottom"/>
              <w:rPr>
                <w:color w:val="000000"/>
                <w:sz w:val="22"/>
              </w:rPr>
            </w:pPr>
            <w:r>
              <w:rPr>
                <w:color w:val="000000"/>
                <w:kern w:val="0"/>
                <w:sz w:val="22"/>
              </w:rPr>
              <w:t>183980.1417</w:t>
            </w:r>
          </w:p>
        </w:tc>
      </w:tr>
      <w:tr w14:paraId="61A56B54">
        <w:tblPrEx>
          <w:tblCellMar>
            <w:top w:w="0" w:type="dxa"/>
            <w:left w:w="108" w:type="dxa"/>
            <w:bottom w:w="0" w:type="dxa"/>
            <w:right w:w="108" w:type="dxa"/>
          </w:tblCellMar>
        </w:tblPrEx>
        <w:trPr>
          <w:trHeight w:val="290" w:hRule="atLeast"/>
        </w:trPr>
        <w:tc>
          <w:tcPr>
            <w:tcW w:w="960" w:type="dxa"/>
            <w:tcBorders>
              <w:top w:val="nil"/>
              <w:left w:val="nil"/>
              <w:bottom w:val="nil"/>
              <w:right w:val="nil"/>
            </w:tcBorders>
            <w:vAlign w:val="center"/>
          </w:tcPr>
          <w:p w14:paraId="5E9819E3">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2022</w:t>
            </w:r>
          </w:p>
        </w:tc>
        <w:tc>
          <w:tcPr>
            <w:tcW w:w="2430" w:type="dxa"/>
            <w:tcBorders>
              <w:top w:val="nil"/>
              <w:left w:val="nil"/>
              <w:bottom w:val="nil"/>
              <w:right w:val="nil"/>
            </w:tcBorders>
            <w:vAlign w:val="center"/>
          </w:tcPr>
          <w:p w14:paraId="0C25F8ED">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190246.9553</w:t>
            </w:r>
          </w:p>
        </w:tc>
        <w:tc>
          <w:tcPr>
            <w:tcW w:w="0" w:type="auto"/>
            <w:tcBorders>
              <w:top w:val="nil"/>
              <w:left w:val="nil"/>
              <w:bottom w:val="nil"/>
              <w:right w:val="nil"/>
            </w:tcBorders>
            <w:noWrap/>
            <w:vAlign w:val="center"/>
          </w:tcPr>
          <w:p w14:paraId="27CB5F4F">
            <w:pPr>
              <w:widowControl/>
              <w:ind w:firstLine="0" w:firstLineChars="0"/>
              <w:jc w:val="center"/>
              <w:textAlignment w:val="center"/>
              <w:rPr>
                <w:color w:val="000000"/>
                <w:sz w:val="22"/>
              </w:rPr>
            </w:pPr>
            <w:r>
              <w:rPr>
                <w:color w:val="000000"/>
                <w:kern w:val="0"/>
                <w:sz w:val="22"/>
              </w:rPr>
              <w:t>181075.12</w:t>
            </w:r>
          </w:p>
        </w:tc>
        <w:tc>
          <w:tcPr>
            <w:tcW w:w="0" w:type="auto"/>
            <w:tcBorders>
              <w:top w:val="nil"/>
              <w:left w:val="nil"/>
              <w:bottom w:val="nil"/>
              <w:right w:val="nil"/>
            </w:tcBorders>
            <w:noWrap/>
            <w:vAlign w:val="bottom"/>
          </w:tcPr>
          <w:p w14:paraId="401430EB">
            <w:pPr>
              <w:widowControl/>
              <w:ind w:firstLine="0" w:firstLineChars="0"/>
              <w:jc w:val="center"/>
              <w:textAlignment w:val="bottom"/>
              <w:rPr>
                <w:color w:val="000000"/>
                <w:sz w:val="22"/>
              </w:rPr>
            </w:pPr>
            <w:r>
              <w:rPr>
                <w:color w:val="000000"/>
                <w:kern w:val="0"/>
                <w:sz w:val="22"/>
              </w:rPr>
              <w:t>189901.3084</w:t>
            </w:r>
          </w:p>
        </w:tc>
      </w:tr>
      <w:tr w14:paraId="4287EB51">
        <w:tblPrEx>
          <w:tblCellMar>
            <w:top w:w="0" w:type="dxa"/>
            <w:left w:w="108" w:type="dxa"/>
            <w:bottom w:w="0" w:type="dxa"/>
            <w:right w:w="108" w:type="dxa"/>
          </w:tblCellMar>
        </w:tblPrEx>
        <w:trPr>
          <w:trHeight w:val="290" w:hRule="atLeast"/>
        </w:trPr>
        <w:tc>
          <w:tcPr>
            <w:tcW w:w="960" w:type="dxa"/>
            <w:tcBorders>
              <w:top w:val="nil"/>
              <w:left w:val="nil"/>
              <w:bottom w:val="nil"/>
              <w:right w:val="nil"/>
            </w:tcBorders>
            <w:vAlign w:val="center"/>
          </w:tcPr>
          <w:p w14:paraId="22136C0E">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2023</w:t>
            </w:r>
          </w:p>
        </w:tc>
        <w:tc>
          <w:tcPr>
            <w:tcW w:w="2430" w:type="dxa"/>
            <w:tcBorders>
              <w:top w:val="nil"/>
              <w:left w:val="nil"/>
              <w:bottom w:val="nil"/>
              <w:right w:val="nil"/>
            </w:tcBorders>
            <w:vAlign w:val="center"/>
          </w:tcPr>
          <w:p w14:paraId="5E251632">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187862.7359</w:t>
            </w:r>
          </w:p>
        </w:tc>
        <w:tc>
          <w:tcPr>
            <w:tcW w:w="0" w:type="auto"/>
            <w:tcBorders>
              <w:top w:val="nil"/>
              <w:left w:val="nil"/>
              <w:bottom w:val="nil"/>
              <w:right w:val="nil"/>
            </w:tcBorders>
            <w:noWrap/>
            <w:vAlign w:val="center"/>
          </w:tcPr>
          <w:p w14:paraId="4FD17672">
            <w:pPr>
              <w:widowControl/>
              <w:ind w:firstLine="0" w:firstLineChars="0"/>
              <w:jc w:val="center"/>
              <w:textAlignment w:val="center"/>
              <w:rPr>
                <w:color w:val="000000"/>
                <w:sz w:val="22"/>
              </w:rPr>
            </w:pPr>
            <w:r>
              <w:rPr>
                <w:color w:val="000000"/>
                <w:kern w:val="0"/>
                <w:sz w:val="22"/>
              </w:rPr>
              <w:t>188255.613</w:t>
            </w:r>
          </w:p>
        </w:tc>
        <w:tc>
          <w:tcPr>
            <w:tcW w:w="0" w:type="auto"/>
            <w:tcBorders>
              <w:top w:val="nil"/>
              <w:left w:val="nil"/>
              <w:bottom w:val="nil"/>
              <w:right w:val="nil"/>
            </w:tcBorders>
            <w:noWrap/>
            <w:vAlign w:val="bottom"/>
          </w:tcPr>
          <w:p w14:paraId="31B9DE0A">
            <w:pPr>
              <w:widowControl/>
              <w:ind w:firstLine="0" w:firstLineChars="0"/>
              <w:jc w:val="center"/>
              <w:textAlignment w:val="bottom"/>
              <w:rPr>
                <w:color w:val="000000"/>
                <w:sz w:val="22"/>
              </w:rPr>
            </w:pPr>
            <w:r>
              <w:rPr>
                <w:color w:val="000000"/>
                <w:kern w:val="0"/>
                <w:sz w:val="22"/>
              </w:rPr>
              <w:t>190220.475</w:t>
            </w:r>
          </w:p>
        </w:tc>
      </w:tr>
      <w:tr w14:paraId="1EAA0632">
        <w:tblPrEx>
          <w:tblCellMar>
            <w:top w:w="0" w:type="dxa"/>
            <w:left w:w="108" w:type="dxa"/>
            <w:bottom w:w="0" w:type="dxa"/>
            <w:right w:w="108" w:type="dxa"/>
          </w:tblCellMar>
        </w:tblPrEx>
        <w:trPr>
          <w:trHeight w:val="290" w:hRule="atLeast"/>
        </w:trPr>
        <w:tc>
          <w:tcPr>
            <w:tcW w:w="960" w:type="dxa"/>
            <w:tcBorders>
              <w:top w:val="nil"/>
              <w:left w:val="nil"/>
              <w:bottom w:val="nil"/>
              <w:right w:val="nil"/>
            </w:tcBorders>
            <w:vAlign w:val="center"/>
          </w:tcPr>
          <w:p w14:paraId="735B596A">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2024</w:t>
            </w:r>
          </w:p>
        </w:tc>
        <w:tc>
          <w:tcPr>
            <w:tcW w:w="2430" w:type="dxa"/>
            <w:tcBorders>
              <w:top w:val="nil"/>
              <w:left w:val="nil"/>
              <w:bottom w:val="nil"/>
              <w:right w:val="nil"/>
            </w:tcBorders>
            <w:vAlign w:val="center"/>
          </w:tcPr>
          <w:p w14:paraId="1282334B">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192737.4526</w:t>
            </w:r>
          </w:p>
        </w:tc>
        <w:tc>
          <w:tcPr>
            <w:tcW w:w="0" w:type="auto"/>
            <w:tcBorders>
              <w:top w:val="nil"/>
              <w:left w:val="nil"/>
              <w:bottom w:val="nil"/>
              <w:right w:val="nil"/>
            </w:tcBorders>
            <w:noWrap/>
            <w:vAlign w:val="center"/>
          </w:tcPr>
          <w:p w14:paraId="27F67A6C">
            <w:pPr>
              <w:widowControl/>
              <w:ind w:firstLine="0" w:firstLineChars="0"/>
              <w:jc w:val="center"/>
              <w:textAlignment w:val="center"/>
              <w:rPr>
                <w:color w:val="000000"/>
                <w:sz w:val="22"/>
              </w:rPr>
            </w:pPr>
            <w:r>
              <w:rPr>
                <w:color w:val="000000"/>
                <w:kern w:val="0"/>
                <w:sz w:val="22"/>
              </w:rPr>
              <w:t>179245.457</w:t>
            </w:r>
          </w:p>
        </w:tc>
        <w:tc>
          <w:tcPr>
            <w:tcW w:w="0" w:type="auto"/>
            <w:tcBorders>
              <w:top w:val="nil"/>
              <w:left w:val="nil"/>
              <w:bottom w:val="nil"/>
              <w:right w:val="nil"/>
            </w:tcBorders>
            <w:noWrap/>
            <w:vAlign w:val="bottom"/>
          </w:tcPr>
          <w:p w14:paraId="35C34139">
            <w:pPr>
              <w:widowControl/>
              <w:ind w:firstLine="0" w:firstLineChars="0"/>
              <w:jc w:val="center"/>
              <w:textAlignment w:val="bottom"/>
              <w:rPr>
                <w:color w:val="000000"/>
                <w:sz w:val="22"/>
              </w:rPr>
            </w:pPr>
            <w:r>
              <w:rPr>
                <w:color w:val="000000"/>
                <w:kern w:val="0"/>
                <w:sz w:val="22"/>
              </w:rPr>
              <w:t>193740.975</w:t>
            </w:r>
          </w:p>
        </w:tc>
      </w:tr>
      <w:tr w14:paraId="2A14D1B5">
        <w:tblPrEx>
          <w:tblCellMar>
            <w:top w:w="0" w:type="dxa"/>
            <w:left w:w="108" w:type="dxa"/>
            <w:bottom w:w="0" w:type="dxa"/>
            <w:right w:w="108" w:type="dxa"/>
          </w:tblCellMar>
        </w:tblPrEx>
        <w:trPr>
          <w:trHeight w:val="290" w:hRule="atLeast"/>
        </w:trPr>
        <w:tc>
          <w:tcPr>
            <w:tcW w:w="960" w:type="dxa"/>
            <w:tcBorders>
              <w:top w:val="nil"/>
              <w:left w:val="nil"/>
              <w:bottom w:val="nil"/>
              <w:right w:val="nil"/>
            </w:tcBorders>
            <w:vAlign w:val="center"/>
          </w:tcPr>
          <w:p w14:paraId="7BBC6182">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2025</w:t>
            </w:r>
          </w:p>
        </w:tc>
        <w:tc>
          <w:tcPr>
            <w:tcW w:w="2430" w:type="dxa"/>
            <w:tcBorders>
              <w:top w:val="nil"/>
              <w:left w:val="nil"/>
              <w:bottom w:val="nil"/>
              <w:right w:val="nil"/>
            </w:tcBorders>
            <w:vAlign w:val="center"/>
          </w:tcPr>
          <w:p w14:paraId="04F5C505">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208265.9699</w:t>
            </w:r>
          </w:p>
        </w:tc>
        <w:tc>
          <w:tcPr>
            <w:tcW w:w="0" w:type="auto"/>
            <w:tcBorders>
              <w:top w:val="nil"/>
              <w:left w:val="nil"/>
              <w:bottom w:val="nil"/>
              <w:right w:val="nil"/>
            </w:tcBorders>
            <w:noWrap/>
            <w:vAlign w:val="center"/>
          </w:tcPr>
          <w:p w14:paraId="63940FFB">
            <w:pPr>
              <w:widowControl/>
              <w:ind w:firstLine="0" w:firstLineChars="0"/>
              <w:jc w:val="center"/>
              <w:textAlignment w:val="center"/>
              <w:rPr>
                <w:color w:val="000000"/>
                <w:sz w:val="22"/>
              </w:rPr>
            </w:pPr>
            <w:r>
              <w:rPr>
                <w:color w:val="000000"/>
                <w:kern w:val="0"/>
                <w:sz w:val="22"/>
              </w:rPr>
              <w:t>187520.35</w:t>
            </w:r>
          </w:p>
        </w:tc>
        <w:tc>
          <w:tcPr>
            <w:tcW w:w="0" w:type="auto"/>
            <w:tcBorders>
              <w:top w:val="nil"/>
              <w:left w:val="nil"/>
              <w:bottom w:val="nil"/>
              <w:right w:val="nil"/>
            </w:tcBorders>
            <w:noWrap/>
            <w:vAlign w:val="bottom"/>
          </w:tcPr>
          <w:p w14:paraId="4235EEBE">
            <w:pPr>
              <w:widowControl/>
              <w:ind w:firstLine="0" w:firstLineChars="0"/>
              <w:jc w:val="center"/>
              <w:textAlignment w:val="bottom"/>
              <w:rPr>
                <w:color w:val="000000"/>
                <w:sz w:val="22"/>
              </w:rPr>
            </w:pPr>
            <w:r>
              <w:rPr>
                <w:color w:val="000000"/>
                <w:kern w:val="0"/>
                <w:sz w:val="22"/>
              </w:rPr>
              <w:t>196861.1417</w:t>
            </w:r>
          </w:p>
        </w:tc>
      </w:tr>
      <w:tr w14:paraId="06BB7675">
        <w:tblPrEx>
          <w:tblCellMar>
            <w:top w:w="0" w:type="dxa"/>
            <w:left w:w="108" w:type="dxa"/>
            <w:bottom w:w="0" w:type="dxa"/>
            <w:right w:w="108" w:type="dxa"/>
          </w:tblCellMar>
        </w:tblPrEx>
        <w:trPr>
          <w:trHeight w:val="290" w:hRule="atLeast"/>
        </w:trPr>
        <w:tc>
          <w:tcPr>
            <w:tcW w:w="960" w:type="dxa"/>
            <w:tcBorders>
              <w:top w:val="nil"/>
              <w:left w:val="nil"/>
              <w:bottom w:val="nil"/>
              <w:right w:val="nil"/>
            </w:tcBorders>
            <w:vAlign w:val="center"/>
          </w:tcPr>
          <w:p w14:paraId="7BBDC8B1">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2026</w:t>
            </w:r>
          </w:p>
        </w:tc>
        <w:tc>
          <w:tcPr>
            <w:tcW w:w="2430" w:type="dxa"/>
            <w:tcBorders>
              <w:top w:val="nil"/>
              <w:left w:val="nil"/>
              <w:bottom w:val="nil"/>
              <w:right w:val="nil"/>
            </w:tcBorders>
            <w:vAlign w:val="center"/>
          </w:tcPr>
          <w:p w14:paraId="3AC93A7E">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214094.7147</w:t>
            </w:r>
          </w:p>
        </w:tc>
        <w:tc>
          <w:tcPr>
            <w:tcW w:w="0" w:type="auto"/>
            <w:tcBorders>
              <w:top w:val="nil"/>
              <w:left w:val="nil"/>
              <w:bottom w:val="nil"/>
              <w:right w:val="nil"/>
            </w:tcBorders>
            <w:noWrap/>
            <w:vAlign w:val="center"/>
          </w:tcPr>
          <w:p w14:paraId="54D5C7EB">
            <w:pPr>
              <w:widowControl/>
              <w:ind w:firstLine="0" w:firstLineChars="0"/>
              <w:jc w:val="center"/>
              <w:textAlignment w:val="center"/>
              <w:rPr>
                <w:color w:val="000000"/>
                <w:sz w:val="22"/>
              </w:rPr>
            </w:pPr>
            <w:r>
              <w:rPr>
                <w:color w:val="000000"/>
                <w:kern w:val="0"/>
                <w:sz w:val="22"/>
              </w:rPr>
              <w:t>198005.35</w:t>
            </w:r>
          </w:p>
        </w:tc>
        <w:tc>
          <w:tcPr>
            <w:tcW w:w="0" w:type="auto"/>
            <w:tcBorders>
              <w:top w:val="nil"/>
              <w:left w:val="nil"/>
              <w:bottom w:val="nil"/>
              <w:right w:val="nil"/>
            </w:tcBorders>
            <w:noWrap/>
            <w:vAlign w:val="bottom"/>
          </w:tcPr>
          <w:p w14:paraId="28635B8A">
            <w:pPr>
              <w:widowControl/>
              <w:ind w:firstLine="0" w:firstLineChars="0"/>
              <w:jc w:val="center"/>
              <w:textAlignment w:val="bottom"/>
              <w:rPr>
                <w:color w:val="000000"/>
                <w:sz w:val="22"/>
              </w:rPr>
            </w:pPr>
            <w:r>
              <w:rPr>
                <w:color w:val="000000"/>
                <w:kern w:val="0"/>
                <w:sz w:val="22"/>
              </w:rPr>
              <w:t>199821.3084</w:t>
            </w:r>
          </w:p>
        </w:tc>
      </w:tr>
      <w:tr w14:paraId="74C62820">
        <w:tblPrEx>
          <w:tblCellMar>
            <w:top w:w="0" w:type="dxa"/>
            <w:left w:w="108" w:type="dxa"/>
            <w:bottom w:w="0" w:type="dxa"/>
            <w:right w:w="108" w:type="dxa"/>
          </w:tblCellMar>
        </w:tblPrEx>
        <w:trPr>
          <w:trHeight w:val="290" w:hRule="atLeast"/>
        </w:trPr>
        <w:tc>
          <w:tcPr>
            <w:tcW w:w="960" w:type="dxa"/>
            <w:tcBorders>
              <w:top w:val="nil"/>
              <w:left w:val="nil"/>
              <w:bottom w:val="nil"/>
              <w:right w:val="nil"/>
            </w:tcBorders>
            <w:vAlign w:val="center"/>
          </w:tcPr>
          <w:p w14:paraId="60BC1841">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2027</w:t>
            </w:r>
          </w:p>
        </w:tc>
        <w:tc>
          <w:tcPr>
            <w:tcW w:w="2430" w:type="dxa"/>
            <w:tcBorders>
              <w:top w:val="nil"/>
              <w:left w:val="nil"/>
              <w:bottom w:val="nil"/>
              <w:right w:val="nil"/>
            </w:tcBorders>
            <w:vAlign w:val="center"/>
          </w:tcPr>
          <w:p w14:paraId="2AFB66D5">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223794.3594</w:t>
            </w:r>
          </w:p>
        </w:tc>
        <w:tc>
          <w:tcPr>
            <w:tcW w:w="0" w:type="auto"/>
            <w:tcBorders>
              <w:top w:val="nil"/>
              <w:left w:val="nil"/>
              <w:bottom w:val="nil"/>
              <w:right w:val="nil"/>
            </w:tcBorders>
            <w:noWrap/>
            <w:vAlign w:val="center"/>
          </w:tcPr>
          <w:p w14:paraId="09A4BE77">
            <w:pPr>
              <w:widowControl/>
              <w:ind w:firstLine="0" w:firstLineChars="0"/>
              <w:jc w:val="center"/>
              <w:textAlignment w:val="center"/>
              <w:rPr>
                <w:color w:val="000000"/>
                <w:sz w:val="22"/>
              </w:rPr>
            </w:pPr>
            <w:r>
              <w:rPr>
                <w:color w:val="000000"/>
                <w:kern w:val="0"/>
                <w:sz w:val="22"/>
              </w:rPr>
              <w:t>200800.25</w:t>
            </w:r>
          </w:p>
        </w:tc>
        <w:tc>
          <w:tcPr>
            <w:tcW w:w="0" w:type="auto"/>
            <w:tcBorders>
              <w:top w:val="nil"/>
              <w:left w:val="nil"/>
              <w:bottom w:val="nil"/>
              <w:right w:val="nil"/>
            </w:tcBorders>
            <w:noWrap/>
            <w:vAlign w:val="bottom"/>
          </w:tcPr>
          <w:p w14:paraId="102BA0D8">
            <w:pPr>
              <w:widowControl/>
              <w:ind w:firstLine="0" w:firstLineChars="0"/>
              <w:jc w:val="center"/>
              <w:textAlignment w:val="bottom"/>
              <w:rPr>
                <w:color w:val="000000"/>
                <w:sz w:val="22"/>
              </w:rPr>
            </w:pPr>
            <w:r>
              <w:rPr>
                <w:color w:val="000000"/>
                <w:kern w:val="0"/>
                <w:sz w:val="22"/>
              </w:rPr>
              <w:t>222781.475</w:t>
            </w:r>
          </w:p>
        </w:tc>
      </w:tr>
      <w:tr w14:paraId="4F406765">
        <w:tblPrEx>
          <w:tblCellMar>
            <w:top w:w="0" w:type="dxa"/>
            <w:left w:w="108" w:type="dxa"/>
            <w:bottom w:w="0" w:type="dxa"/>
            <w:right w:w="108" w:type="dxa"/>
          </w:tblCellMar>
        </w:tblPrEx>
        <w:trPr>
          <w:trHeight w:val="290" w:hRule="atLeast"/>
        </w:trPr>
        <w:tc>
          <w:tcPr>
            <w:tcW w:w="960" w:type="dxa"/>
            <w:tcBorders>
              <w:top w:val="nil"/>
              <w:left w:val="nil"/>
              <w:bottom w:val="nil"/>
              <w:right w:val="nil"/>
            </w:tcBorders>
            <w:vAlign w:val="center"/>
          </w:tcPr>
          <w:p w14:paraId="70FE5386">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2028</w:t>
            </w:r>
          </w:p>
        </w:tc>
        <w:tc>
          <w:tcPr>
            <w:tcW w:w="2430" w:type="dxa"/>
            <w:tcBorders>
              <w:top w:val="nil"/>
              <w:left w:val="nil"/>
              <w:bottom w:val="nil"/>
              <w:right w:val="nil"/>
            </w:tcBorders>
            <w:vAlign w:val="center"/>
          </w:tcPr>
          <w:p w14:paraId="67D73E47">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251235.6292</w:t>
            </w:r>
          </w:p>
        </w:tc>
        <w:tc>
          <w:tcPr>
            <w:tcW w:w="0" w:type="auto"/>
            <w:tcBorders>
              <w:top w:val="nil"/>
              <w:left w:val="nil"/>
              <w:bottom w:val="nil"/>
              <w:right w:val="nil"/>
            </w:tcBorders>
            <w:noWrap/>
            <w:vAlign w:val="center"/>
          </w:tcPr>
          <w:p w14:paraId="477D1AB6">
            <w:pPr>
              <w:widowControl/>
              <w:ind w:firstLine="0" w:firstLineChars="0"/>
              <w:jc w:val="center"/>
              <w:textAlignment w:val="center"/>
              <w:rPr>
                <w:color w:val="000000"/>
                <w:sz w:val="22"/>
              </w:rPr>
            </w:pPr>
            <w:r>
              <w:rPr>
                <w:color w:val="000000"/>
                <w:kern w:val="0"/>
                <w:sz w:val="22"/>
              </w:rPr>
              <w:t>215000.35</w:t>
            </w:r>
          </w:p>
        </w:tc>
        <w:tc>
          <w:tcPr>
            <w:tcW w:w="0" w:type="auto"/>
            <w:tcBorders>
              <w:top w:val="nil"/>
              <w:left w:val="nil"/>
              <w:bottom w:val="nil"/>
              <w:right w:val="nil"/>
            </w:tcBorders>
            <w:noWrap/>
            <w:vAlign w:val="bottom"/>
          </w:tcPr>
          <w:p w14:paraId="257687B1">
            <w:pPr>
              <w:widowControl/>
              <w:ind w:firstLine="0" w:firstLineChars="0"/>
              <w:jc w:val="center"/>
              <w:textAlignment w:val="bottom"/>
              <w:rPr>
                <w:color w:val="000000"/>
                <w:sz w:val="22"/>
              </w:rPr>
            </w:pPr>
            <w:r>
              <w:rPr>
                <w:color w:val="000000"/>
                <w:kern w:val="0"/>
                <w:sz w:val="22"/>
              </w:rPr>
              <w:t>222902.6417</w:t>
            </w:r>
          </w:p>
        </w:tc>
      </w:tr>
      <w:tr w14:paraId="4B72EDE7">
        <w:tblPrEx>
          <w:tblCellMar>
            <w:top w:w="0" w:type="dxa"/>
            <w:left w:w="108" w:type="dxa"/>
            <w:bottom w:w="0" w:type="dxa"/>
            <w:right w:w="108" w:type="dxa"/>
          </w:tblCellMar>
        </w:tblPrEx>
        <w:trPr>
          <w:trHeight w:val="290" w:hRule="atLeast"/>
        </w:trPr>
        <w:tc>
          <w:tcPr>
            <w:tcW w:w="960" w:type="dxa"/>
            <w:tcBorders>
              <w:top w:val="nil"/>
              <w:left w:val="nil"/>
              <w:bottom w:val="nil"/>
              <w:right w:val="nil"/>
            </w:tcBorders>
            <w:vAlign w:val="center"/>
          </w:tcPr>
          <w:p w14:paraId="74CB5C37">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2029</w:t>
            </w:r>
          </w:p>
        </w:tc>
        <w:tc>
          <w:tcPr>
            <w:tcW w:w="2430" w:type="dxa"/>
            <w:tcBorders>
              <w:top w:val="nil"/>
              <w:left w:val="nil"/>
              <w:bottom w:val="nil"/>
              <w:right w:val="nil"/>
            </w:tcBorders>
            <w:vAlign w:val="center"/>
          </w:tcPr>
          <w:p w14:paraId="389D919B">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261021.0071</w:t>
            </w:r>
          </w:p>
        </w:tc>
        <w:tc>
          <w:tcPr>
            <w:tcW w:w="0" w:type="auto"/>
            <w:tcBorders>
              <w:top w:val="nil"/>
              <w:left w:val="nil"/>
              <w:bottom w:val="nil"/>
              <w:right w:val="nil"/>
            </w:tcBorders>
            <w:noWrap/>
            <w:vAlign w:val="center"/>
          </w:tcPr>
          <w:p w14:paraId="0FE7C93E">
            <w:pPr>
              <w:widowControl/>
              <w:ind w:firstLine="0" w:firstLineChars="0"/>
              <w:jc w:val="center"/>
              <w:textAlignment w:val="center"/>
              <w:rPr>
                <w:color w:val="000000"/>
                <w:sz w:val="22"/>
              </w:rPr>
            </w:pPr>
            <w:r>
              <w:rPr>
                <w:color w:val="000000"/>
                <w:kern w:val="0"/>
                <w:sz w:val="22"/>
              </w:rPr>
              <w:t>220052.35</w:t>
            </w:r>
          </w:p>
        </w:tc>
        <w:tc>
          <w:tcPr>
            <w:tcW w:w="0" w:type="auto"/>
            <w:tcBorders>
              <w:top w:val="nil"/>
              <w:left w:val="nil"/>
              <w:bottom w:val="nil"/>
              <w:right w:val="nil"/>
            </w:tcBorders>
            <w:noWrap/>
            <w:vAlign w:val="bottom"/>
          </w:tcPr>
          <w:p w14:paraId="4A201282">
            <w:pPr>
              <w:widowControl/>
              <w:ind w:firstLine="0" w:firstLineChars="0"/>
              <w:jc w:val="center"/>
              <w:textAlignment w:val="bottom"/>
              <w:rPr>
                <w:color w:val="000000"/>
                <w:sz w:val="22"/>
              </w:rPr>
            </w:pPr>
            <w:r>
              <w:rPr>
                <w:color w:val="000000"/>
                <w:kern w:val="0"/>
                <w:sz w:val="22"/>
              </w:rPr>
              <w:t>231558.9512</w:t>
            </w:r>
          </w:p>
        </w:tc>
      </w:tr>
      <w:tr w14:paraId="003072F7">
        <w:tblPrEx>
          <w:tblCellMar>
            <w:top w:w="0" w:type="dxa"/>
            <w:left w:w="108" w:type="dxa"/>
            <w:bottom w:w="0" w:type="dxa"/>
            <w:right w:w="108" w:type="dxa"/>
          </w:tblCellMar>
        </w:tblPrEx>
        <w:trPr>
          <w:trHeight w:val="290" w:hRule="atLeast"/>
        </w:trPr>
        <w:tc>
          <w:tcPr>
            <w:tcW w:w="960" w:type="dxa"/>
            <w:tcBorders>
              <w:top w:val="nil"/>
              <w:left w:val="nil"/>
              <w:bottom w:val="nil"/>
              <w:right w:val="nil"/>
            </w:tcBorders>
            <w:vAlign w:val="center"/>
          </w:tcPr>
          <w:p w14:paraId="131D873F">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2030</w:t>
            </w:r>
          </w:p>
        </w:tc>
        <w:tc>
          <w:tcPr>
            <w:tcW w:w="2430" w:type="dxa"/>
            <w:tcBorders>
              <w:top w:val="nil"/>
              <w:left w:val="nil"/>
              <w:bottom w:val="nil"/>
              <w:right w:val="nil"/>
            </w:tcBorders>
            <w:vAlign w:val="center"/>
          </w:tcPr>
          <w:p w14:paraId="6EDA2492">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272803.8216</w:t>
            </w:r>
          </w:p>
        </w:tc>
        <w:tc>
          <w:tcPr>
            <w:tcW w:w="0" w:type="auto"/>
            <w:tcBorders>
              <w:top w:val="nil"/>
              <w:left w:val="nil"/>
              <w:bottom w:val="nil"/>
              <w:right w:val="nil"/>
            </w:tcBorders>
            <w:noWrap/>
            <w:vAlign w:val="center"/>
          </w:tcPr>
          <w:p w14:paraId="41B9E715">
            <w:pPr>
              <w:widowControl/>
              <w:ind w:firstLine="0" w:firstLineChars="0"/>
              <w:jc w:val="center"/>
              <w:textAlignment w:val="center"/>
              <w:rPr>
                <w:color w:val="000000"/>
                <w:sz w:val="22"/>
              </w:rPr>
            </w:pPr>
            <w:r>
              <w:rPr>
                <w:color w:val="000000"/>
                <w:kern w:val="0"/>
                <w:sz w:val="22"/>
              </w:rPr>
              <w:t>235200.28</w:t>
            </w:r>
          </w:p>
        </w:tc>
        <w:tc>
          <w:tcPr>
            <w:tcW w:w="0" w:type="auto"/>
            <w:tcBorders>
              <w:top w:val="nil"/>
              <w:left w:val="nil"/>
              <w:bottom w:val="nil"/>
              <w:right w:val="nil"/>
            </w:tcBorders>
            <w:noWrap/>
            <w:vAlign w:val="bottom"/>
          </w:tcPr>
          <w:p w14:paraId="13E2D5CA">
            <w:pPr>
              <w:widowControl/>
              <w:ind w:firstLine="0" w:firstLineChars="0"/>
              <w:jc w:val="center"/>
              <w:textAlignment w:val="bottom"/>
              <w:rPr>
                <w:color w:val="000000"/>
                <w:sz w:val="22"/>
              </w:rPr>
            </w:pPr>
            <w:r>
              <w:rPr>
                <w:color w:val="000000"/>
                <w:kern w:val="0"/>
                <w:sz w:val="22"/>
              </w:rPr>
              <w:t>233573.2885</w:t>
            </w:r>
          </w:p>
        </w:tc>
      </w:tr>
      <w:tr w14:paraId="6E45AE57">
        <w:tblPrEx>
          <w:tblCellMar>
            <w:top w:w="0" w:type="dxa"/>
            <w:left w:w="108" w:type="dxa"/>
            <w:bottom w:w="0" w:type="dxa"/>
            <w:right w:w="108" w:type="dxa"/>
          </w:tblCellMar>
        </w:tblPrEx>
        <w:trPr>
          <w:trHeight w:val="290" w:hRule="atLeast"/>
        </w:trPr>
        <w:tc>
          <w:tcPr>
            <w:tcW w:w="960" w:type="dxa"/>
            <w:tcBorders>
              <w:top w:val="nil"/>
              <w:left w:val="nil"/>
              <w:bottom w:val="nil"/>
              <w:right w:val="nil"/>
            </w:tcBorders>
            <w:vAlign w:val="center"/>
          </w:tcPr>
          <w:p w14:paraId="5DB71345">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2031</w:t>
            </w:r>
          </w:p>
        </w:tc>
        <w:tc>
          <w:tcPr>
            <w:tcW w:w="2430" w:type="dxa"/>
            <w:tcBorders>
              <w:top w:val="nil"/>
              <w:left w:val="nil"/>
              <w:bottom w:val="nil"/>
              <w:right w:val="nil"/>
            </w:tcBorders>
            <w:vAlign w:val="center"/>
          </w:tcPr>
          <w:p w14:paraId="536B17FB">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284947.9202</w:t>
            </w:r>
          </w:p>
        </w:tc>
        <w:tc>
          <w:tcPr>
            <w:tcW w:w="0" w:type="auto"/>
            <w:tcBorders>
              <w:top w:val="nil"/>
              <w:left w:val="nil"/>
              <w:bottom w:val="nil"/>
              <w:right w:val="nil"/>
            </w:tcBorders>
            <w:noWrap/>
            <w:vAlign w:val="center"/>
          </w:tcPr>
          <w:p w14:paraId="4E83DF36">
            <w:pPr>
              <w:widowControl/>
              <w:ind w:firstLine="0" w:firstLineChars="0"/>
              <w:jc w:val="center"/>
              <w:textAlignment w:val="center"/>
              <w:rPr>
                <w:color w:val="000000"/>
                <w:sz w:val="22"/>
              </w:rPr>
            </w:pPr>
            <w:r>
              <w:rPr>
                <w:color w:val="000000"/>
                <w:kern w:val="0"/>
                <w:sz w:val="22"/>
              </w:rPr>
              <w:t>240052.26</w:t>
            </w:r>
          </w:p>
        </w:tc>
        <w:tc>
          <w:tcPr>
            <w:tcW w:w="0" w:type="auto"/>
            <w:tcBorders>
              <w:top w:val="nil"/>
              <w:left w:val="nil"/>
              <w:bottom w:val="nil"/>
              <w:right w:val="nil"/>
            </w:tcBorders>
            <w:noWrap/>
            <w:vAlign w:val="bottom"/>
          </w:tcPr>
          <w:p w14:paraId="3416EB17">
            <w:pPr>
              <w:widowControl/>
              <w:ind w:firstLine="0" w:firstLineChars="0"/>
              <w:jc w:val="center"/>
              <w:textAlignment w:val="bottom"/>
              <w:rPr>
                <w:color w:val="000000"/>
                <w:sz w:val="22"/>
              </w:rPr>
            </w:pPr>
            <w:r>
              <w:rPr>
                <w:color w:val="000000"/>
                <w:kern w:val="0"/>
                <w:sz w:val="22"/>
              </w:rPr>
              <w:t>239581.9813</w:t>
            </w:r>
          </w:p>
        </w:tc>
      </w:tr>
      <w:tr w14:paraId="0FC99CAA">
        <w:tblPrEx>
          <w:tblCellMar>
            <w:top w:w="0" w:type="dxa"/>
            <w:left w:w="108" w:type="dxa"/>
            <w:bottom w:w="0" w:type="dxa"/>
            <w:right w:w="108" w:type="dxa"/>
          </w:tblCellMar>
        </w:tblPrEx>
        <w:trPr>
          <w:trHeight w:val="290" w:hRule="atLeast"/>
        </w:trPr>
        <w:tc>
          <w:tcPr>
            <w:tcW w:w="960" w:type="dxa"/>
            <w:tcBorders>
              <w:top w:val="nil"/>
              <w:left w:val="nil"/>
              <w:bottom w:val="nil"/>
              <w:right w:val="nil"/>
            </w:tcBorders>
            <w:vAlign w:val="center"/>
          </w:tcPr>
          <w:p w14:paraId="023E2969">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2032</w:t>
            </w:r>
          </w:p>
        </w:tc>
        <w:tc>
          <w:tcPr>
            <w:tcW w:w="2430" w:type="dxa"/>
            <w:tcBorders>
              <w:top w:val="nil"/>
              <w:left w:val="nil"/>
              <w:bottom w:val="nil"/>
              <w:right w:val="nil"/>
            </w:tcBorders>
            <w:vAlign w:val="center"/>
          </w:tcPr>
          <w:p w14:paraId="25C7408B">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288095.2685</w:t>
            </w:r>
          </w:p>
        </w:tc>
        <w:tc>
          <w:tcPr>
            <w:tcW w:w="0" w:type="auto"/>
            <w:tcBorders>
              <w:top w:val="nil"/>
              <w:left w:val="nil"/>
              <w:bottom w:val="nil"/>
              <w:right w:val="nil"/>
            </w:tcBorders>
            <w:noWrap/>
            <w:vAlign w:val="center"/>
          </w:tcPr>
          <w:p w14:paraId="6803CC18">
            <w:pPr>
              <w:widowControl/>
              <w:ind w:firstLine="0" w:firstLineChars="0"/>
              <w:jc w:val="center"/>
              <w:textAlignment w:val="center"/>
              <w:rPr>
                <w:color w:val="000000"/>
                <w:sz w:val="22"/>
              </w:rPr>
            </w:pPr>
            <w:r>
              <w:rPr>
                <w:color w:val="000000"/>
                <w:kern w:val="0"/>
                <w:sz w:val="22"/>
              </w:rPr>
              <w:t>235800.5</w:t>
            </w:r>
          </w:p>
        </w:tc>
        <w:tc>
          <w:tcPr>
            <w:tcW w:w="0" w:type="auto"/>
            <w:tcBorders>
              <w:top w:val="nil"/>
              <w:left w:val="nil"/>
              <w:bottom w:val="nil"/>
              <w:right w:val="nil"/>
            </w:tcBorders>
            <w:noWrap/>
            <w:vAlign w:val="bottom"/>
          </w:tcPr>
          <w:p w14:paraId="74B99D04">
            <w:pPr>
              <w:widowControl/>
              <w:ind w:firstLine="0" w:firstLineChars="0"/>
              <w:jc w:val="center"/>
              <w:textAlignment w:val="bottom"/>
              <w:rPr>
                <w:color w:val="000000"/>
                <w:sz w:val="22"/>
              </w:rPr>
            </w:pPr>
            <w:r>
              <w:rPr>
                <w:color w:val="000000"/>
                <w:kern w:val="0"/>
                <w:sz w:val="22"/>
              </w:rPr>
              <w:t>245590.6742</w:t>
            </w:r>
          </w:p>
        </w:tc>
      </w:tr>
      <w:tr w14:paraId="2B56D965">
        <w:tblPrEx>
          <w:tblCellMar>
            <w:top w:w="0" w:type="dxa"/>
            <w:left w:w="108" w:type="dxa"/>
            <w:bottom w:w="0" w:type="dxa"/>
            <w:right w:w="108" w:type="dxa"/>
          </w:tblCellMar>
        </w:tblPrEx>
        <w:trPr>
          <w:trHeight w:val="290" w:hRule="atLeast"/>
        </w:trPr>
        <w:tc>
          <w:tcPr>
            <w:tcW w:w="960" w:type="dxa"/>
            <w:tcBorders>
              <w:top w:val="nil"/>
              <w:left w:val="nil"/>
              <w:bottom w:val="nil"/>
              <w:right w:val="nil"/>
            </w:tcBorders>
            <w:vAlign w:val="center"/>
          </w:tcPr>
          <w:p w14:paraId="448BE320">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2033</w:t>
            </w:r>
          </w:p>
        </w:tc>
        <w:tc>
          <w:tcPr>
            <w:tcW w:w="2430" w:type="dxa"/>
            <w:tcBorders>
              <w:top w:val="nil"/>
              <w:left w:val="nil"/>
              <w:bottom w:val="nil"/>
              <w:right w:val="nil"/>
            </w:tcBorders>
            <w:vAlign w:val="center"/>
          </w:tcPr>
          <w:p w14:paraId="45951366">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262677.0521</w:t>
            </w:r>
          </w:p>
        </w:tc>
        <w:tc>
          <w:tcPr>
            <w:tcW w:w="0" w:type="auto"/>
            <w:tcBorders>
              <w:top w:val="nil"/>
              <w:left w:val="nil"/>
              <w:bottom w:val="nil"/>
              <w:right w:val="nil"/>
            </w:tcBorders>
            <w:noWrap/>
            <w:vAlign w:val="center"/>
          </w:tcPr>
          <w:p w14:paraId="0316028E">
            <w:pPr>
              <w:widowControl/>
              <w:ind w:firstLine="0" w:firstLineChars="0"/>
              <w:jc w:val="center"/>
              <w:textAlignment w:val="center"/>
              <w:rPr>
                <w:color w:val="000000"/>
                <w:sz w:val="22"/>
              </w:rPr>
            </w:pPr>
            <w:r>
              <w:rPr>
                <w:color w:val="000000"/>
                <w:kern w:val="0"/>
                <w:sz w:val="22"/>
              </w:rPr>
              <w:t>250035.5</w:t>
            </w:r>
          </w:p>
        </w:tc>
        <w:tc>
          <w:tcPr>
            <w:tcW w:w="0" w:type="auto"/>
            <w:tcBorders>
              <w:top w:val="nil"/>
              <w:left w:val="nil"/>
              <w:bottom w:val="nil"/>
              <w:right w:val="nil"/>
            </w:tcBorders>
            <w:noWrap/>
            <w:vAlign w:val="bottom"/>
          </w:tcPr>
          <w:p w14:paraId="7E6CB489">
            <w:pPr>
              <w:widowControl/>
              <w:ind w:firstLine="0" w:firstLineChars="0"/>
              <w:jc w:val="center"/>
              <w:textAlignment w:val="bottom"/>
              <w:rPr>
                <w:color w:val="000000"/>
                <w:sz w:val="22"/>
              </w:rPr>
            </w:pPr>
            <w:r>
              <w:rPr>
                <w:color w:val="000000"/>
                <w:kern w:val="0"/>
                <w:sz w:val="22"/>
              </w:rPr>
              <w:t>251599.3671</w:t>
            </w:r>
          </w:p>
        </w:tc>
      </w:tr>
      <w:tr w14:paraId="3E2EBC02">
        <w:tblPrEx>
          <w:tblCellMar>
            <w:top w:w="0" w:type="dxa"/>
            <w:left w:w="108" w:type="dxa"/>
            <w:bottom w:w="0" w:type="dxa"/>
            <w:right w:w="108" w:type="dxa"/>
          </w:tblCellMar>
        </w:tblPrEx>
        <w:trPr>
          <w:trHeight w:val="290" w:hRule="atLeast"/>
        </w:trPr>
        <w:tc>
          <w:tcPr>
            <w:tcW w:w="960" w:type="dxa"/>
            <w:tcBorders>
              <w:top w:val="nil"/>
              <w:left w:val="nil"/>
              <w:bottom w:val="nil"/>
              <w:right w:val="nil"/>
            </w:tcBorders>
            <w:vAlign w:val="center"/>
          </w:tcPr>
          <w:p w14:paraId="3DDEB835">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2034</w:t>
            </w:r>
          </w:p>
        </w:tc>
        <w:tc>
          <w:tcPr>
            <w:tcW w:w="2430" w:type="dxa"/>
            <w:tcBorders>
              <w:top w:val="nil"/>
              <w:left w:val="nil"/>
              <w:bottom w:val="nil"/>
              <w:right w:val="nil"/>
            </w:tcBorders>
            <w:vAlign w:val="center"/>
          </w:tcPr>
          <w:p w14:paraId="244D8BCB">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252844.6942</w:t>
            </w:r>
          </w:p>
        </w:tc>
        <w:tc>
          <w:tcPr>
            <w:tcW w:w="0" w:type="auto"/>
            <w:tcBorders>
              <w:top w:val="nil"/>
              <w:left w:val="nil"/>
              <w:bottom w:val="nil"/>
              <w:right w:val="nil"/>
            </w:tcBorders>
            <w:noWrap/>
            <w:vAlign w:val="center"/>
          </w:tcPr>
          <w:p w14:paraId="4DF8A99C">
            <w:pPr>
              <w:widowControl/>
              <w:ind w:firstLine="0" w:firstLineChars="0"/>
              <w:jc w:val="center"/>
              <w:textAlignment w:val="center"/>
              <w:rPr>
                <w:color w:val="000000"/>
                <w:sz w:val="22"/>
              </w:rPr>
            </w:pPr>
            <w:r>
              <w:rPr>
                <w:color w:val="000000"/>
                <w:kern w:val="0"/>
                <w:sz w:val="22"/>
              </w:rPr>
              <w:t>265024.8</w:t>
            </w:r>
          </w:p>
        </w:tc>
        <w:tc>
          <w:tcPr>
            <w:tcW w:w="0" w:type="auto"/>
            <w:tcBorders>
              <w:top w:val="nil"/>
              <w:left w:val="nil"/>
              <w:bottom w:val="nil"/>
              <w:right w:val="nil"/>
            </w:tcBorders>
            <w:noWrap/>
            <w:vAlign w:val="bottom"/>
          </w:tcPr>
          <w:p w14:paraId="578FAEB8">
            <w:pPr>
              <w:widowControl/>
              <w:ind w:firstLine="0" w:firstLineChars="0"/>
              <w:jc w:val="center"/>
              <w:textAlignment w:val="bottom"/>
              <w:rPr>
                <w:color w:val="000000"/>
                <w:sz w:val="22"/>
              </w:rPr>
            </w:pPr>
            <w:r>
              <w:rPr>
                <w:color w:val="000000"/>
                <w:kern w:val="0"/>
                <w:sz w:val="22"/>
              </w:rPr>
              <w:t>257608.0599</w:t>
            </w:r>
          </w:p>
        </w:tc>
      </w:tr>
      <w:tr w14:paraId="46FD2B22">
        <w:tblPrEx>
          <w:tblCellMar>
            <w:top w:w="0" w:type="dxa"/>
            <w:left w:w="108" w:type="dxa"/>
            <w:bottom w:w="0" w:type="dxa"/>
            <w:right w:w="108" w:type="dxa"/>
          </w:tblCellMar>
        </w:tblPrEx>
        <w:trPr>
          <w:trHeight w:val="290" w:hRule="atLeast"/>
        </w:trPr>
        <w:tc>
          <w:tcPr>
            <w:tcW w:w="960" w:type="dxa"/>
            <w:tcBorders>
              <w:top w:val="nil"/>
              <w:left w:val="nil"/>
              <w:bottom w:val="nil"/>
              <w:right w:val="nil"/>
            </w:tcBorders>
            <w:vAlign w:val="center"/>
          </w:tcPr>
          <w:p w14:paraId="21EF7989">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2035</w:t>
            </w:r>
          </w:p>
        </w:tc>
        <w:tc>
          <w:tcPr>
            <w:tcW w:w="2430" w:type="dxa"/>
            <w:tcBorders>
              <w:top w:val="nil"/>
              <w:left w:val="nil"/>
              <w:bottom w:val="nil"/>
              <w:right w:val="nil"/>
            </w:tcBorders>
            <w:vAlign w:val="center"/>
          </w:tcPr>
          <w:p w14:paraId="7B164A51">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241346.7552</w:t>
            </w:r>
          </w:p>
        </w:tc>
        <w:tc>
          <w:tcPr>
            <w:tcW w:w="0" w:type="auto"/>
            <w:tcBorders>
              <w:top w:val="nil"/>
              <w:left w:val="nil"/>
              <w:bottom w:val="nil"/>
              <w:right w:val="nil"/>
            </w:tcBorders>
            <w:noWrap/>
            <w:vAlign w:val="center"/>
          </w:tcPr>
          <w:p w14:paraId="212E058E">
            <w:pPr>
              <w:widowControl/>
              <w:ind w:firstLine="0" w:firstLineChars="0"/>
              <w:jc w:val="center"/>
              <w:textAlignment w:val="center"/>
              <w:rPr>
                <w:color w:val="000000"/>
                <w:sz w:val="22"/>
              </w:rPr>
            </w:pPr>
            <w:r>
              <w:rPr>
                <w:color w:val="000000"/>
                <w:kern w:val="0"/>
                <w:sz w:val="22"/>
              </w:rPr>
              <w:t>285410.5</w:t>
            </w:r>
          </w:p>
        </w:tc>
        <w:tc>
          <w:tcPr>
            <w:tcW w:w="0" w:type="auto"/>
            <w:tcBorders>
              <w:top w:val="nil"/>
              <w:left w:val="nil"/>
              <w:bottom w:val="nil"/>
              <w:right w:val="nil"/>
            </w:tcBorders>
            <w:noWrap/>
            <w:vAlign w:val="bottom"/>
          </w:tcPr>
          <w:p w14:paraId="7D97E370">
            <w:pPr>
              <w:widowControl/>
              <w:ind w:firstLine="0" w:firstLineChars="0"/>
              <w:jc w:val="center"/>
              <w:textAlignment w:val="bottom"/>
              <w:rPr>
                <w:color w:val="000000"/>
                <w:sz w:val="22"/>
              </w:rPr>
            </w:pPr>
            <w:r>
              <w:rPr>
                <w:color w:val="000000"/>
                <w:kern w:val="0"/>
                <w:sz w:val="22"/>
              </w:rPr>
              <w:t>263616.7528</w:t>
            </w:r>
          </w:p>
        </w:tc>
      </w:tr>
      <w:tr w14:paraId="74DBA884">
        <w:tblPrEx>
          <w:tblCellMar>
            <w:top w:w="0" w:type="dxa"/>
            <w:left w:w="108" w:type="dxa"/>
            <w:bottom w:w="0" w:type="dxa"/>
            <w:right w:w="108" w:type="dxa"/>
          </w:tblCellMar>
        </w:tblPrEx>
        <w:trPr>
          <w:trHeight w:val="290" w:hRule="atLeast"/>
        </w:trPr>
        <w:tc>
          <w:tcPr>
            <w:tcW w:w="960" w:type="dxa"/>
            <w:tcBorders>
              <w:top w:val="nil"/>
              <w:left w:val="nil"/>
              <w:bottom w:val="nil"/>
              <w:right w:val="nil"/>
            </w:tcBorders>
            <w:vAlign w:val="center"/>
          </w:tcPr>
          <w:p w14:paraId="796CA378">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2036</w:t>
            </w:r>
          </w:p>
        </w:tc>
        <w:tc>
          <w:tcPr>
            <w:tcW w:w="2430" w:type="dxa"/>
            <w:tcBorders>
              <w:top w:val="nil"/>
              <w:left w:val="nil"/>
              <w:bottom w:val="nil"/>
              <w:right w:val="nil"/>
            </w:tcBorders>
            <w:vAlign w:val="center"/>
          </w:tcPr>
          <w:p w14:paraId="57C836EA">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234376.3808</w:t>
            </w:r>
          </w:p>
        </w:tc>
        <w:tc>
          <w:tcPr>
            <w:tcW w:w="0" w:type="auto"/>
            <w:tcBorders>
              <w:top w:val="nil"/>
              <w:left w:val="nil"/>
              <w:bottom w:val="nil"/>
              <w:right w:val="nil"/>
            </w:tcBorders>
            <w:noWrap/>
            <w:vAlign w:val="center"/>
          </w:tcPr>
          <w:p w14:paraId="36EFA6D2">
            <w:pPr>
              <w:widowControl/>
              <w:ind w:firstLine="0" w:firstLineChars="0"/>
              <w:jc w:val="center"/>
              <w:textAlignment w:val="center"/>
              <w:rPr>
                <w:color w:val="000000"/>
                <w:sz w:val="22"/>
              </w:rPr>
            </w:pPr>
            <w:r>
              <w:rPr>
                <w:color w:val="000000"/>
                <w:kern w:val="0"/>
                <w:sz w:val="22"/>
              </w:rPr>
              <w:t>279420.5</w:t>
            </w:r>
          </w:p>
        </w:tc>
        <w:tc>
          <w:tcPr>
            <w:tcW w:w="0" w:type="auto"/>
            <w:tcBorders>
              <w:top w:val="nil"/>
              <w:left w:val="nil"/>
              <w:bottom w:val="nil"/>
              <w:right w:val="nil"/>
            </w:tcBorders>
            <w:noWrap/>
            <w:vAlign w:val="bottom"/>
          </w:tcPr>
          <w:p w14:paraId="22DF8AC7">
            <w:pPr>
              <w:widowControl/>
              <w:ind w:firstLine="0" w:firstLineChars="0"/>
              <w:jc w:val="center"/>
              <w:textAlignment w:val="bottom"/>
              <w:rPr>
                <w:color w:val="000000"/>
                <w:sz w:val="22"/>
              </w:rPr>
            </w:pPr>
            <w:r>
              <w:rPr>
                <w:color w:val="000000"/>
                <w:kern w:val="0"/>
                <w:sz w:val="22"/>
              </w:rPr>
              <w:t>269625.4456</w:t>
            </w:r>
          </w:p>
        </w:tc>
      </w:tr>
      <w:tr w14:paraId="3CCF8F73">
        <w:tblPrEx>
          <w:tblCellMar>
            <w:top w:w="0" w:type="dxa"/>
            <w:left w:w="108" w:type="dxa"/>
            <w:bottom w:w="0" w:type="dxa"/>
            <w:right w:w="108" w:type="dxa"/>
          </w:tblCellMar>
        </w:tblPrEx>
        <w:trPr>
          <w:trHeight w:val="290" w:hRule="atLeast"/>
        </w:trPr>
        <w:tc>
          <w:tcPr>
            <w:tcW w:w="960" w:type="dxa"/>
            <w:tcBorders>
              <w:top w:val="nil"/>
              <w:left w:val="nil"/>
              <w:bottom w:val="nil"/>
              <w:right w:val="nil"/>
            </w:tcBorders>
            <w:vAlign w:val="center"/>
          </w:tcPr>
          <w:p w14:paraId="29DCC0F2">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2037</w:t>
            </w:r>
          </w:p>
        </w:tc>
        <w:tc>
          <w:tcPr>
            <w:tcW w:w="2430" w:type="dxa"/>
            <w:tcBorders>
              <w:top w:val="nil"/>
              <w:left w:val="nil"/>
              <w:bottom w:val="nil"/>
              <w:right w:val="nil"/>
            </w:tcBorders>
            <w:vAlign w:val="center"/>
          </w:tcPr>
          <w:p w14:paraId="14E2DA76">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189251.3341</w:t>
            </w:r>
          </w:p>
        </w:tc>
        <w:tc>
          <w:tcPr>
            <w:tcW w:w="0" w:type="auto"/>
            <w:tcBorders>
              <w:top w:val="nil"/>
              <w:left w:val="nil"/>
              <w:bottom w:val="nil"/>
              <w:right w:val="nil"/>
            </w:tcBorders>
            <w:noWrap/>
            <w:vAlign w:val="center"/>
          </w:tcPr>
          <w:p w14:paraId="5DE38C79">
            <w:pPr>
              <w:widowControl/>
              <w:ind w:firstLine="0" w:firstLineChars="0"/>
              <w:jc w:val="center"/>
              <w:textAlignment w:val="center"/>
              <w:rPr>
                <w:color w:val="000000"/>
                <w:sz w:val="22"/>
              </w:rPr>
            </w:pPr>
            <w:r>
              <w:rPr>
                <w:color w:val="000000"/>
                <w:kern w:val="0"/>
                <w:sz w:val="22"/>
              </w:rPr>
              <w:t>268000.4</w:t>
            </w:r>
          </w:p>
        </w:tc>
        <w:tc>
          <w:tcPr>
            <w:tcW w:w="0" w:type="auto"/>
            <w:tcBorders>
              <w:top w:val="nil"/>
              <w:left w:val="nil"/>
              <w:bottom w:val="nil"/>
              <w:right w:val="nil"/>
            </w:tcBorders>
            <w:noWrap/>
            <w:vAlign w:val="bottom"/>
          </w:tcPr>
          <w:p w14:paraId="7D90F337">
            <w:pPr>
              <w:widowControl/>
              <w:ind w:firstLine="0" w:firstLineChars="0"/>
              <w:jc w:val="center"/>
              <w:textAlignment w:val="bottom"/>
              <w:rPr>
                <w:color w:val="000000"/>
                <w:sz w:val="22"/>
              </w:rPr>
            </w:pPr>
            <w:r>
              <w:rPr>
                <w:color w:val="000000"/>
                <w:kern w:val="0"/>
                <w:sz w:val="22"/>
              </w:rPr>
              <w:t>275634.1385</w:t>
            </w:r>
          </w:p>
        </w:tc>
      </w:tr>
      <w:tr w14:paraId="46670BFF">
        <w:tblPrEx>
          <w:tblCellMar>
            <w:top w:w="0" w:type="dxa"/>
            <w:left w:w="108" w:type="dxa"/>
            <w:bottom w:w="0" w:type="dxa"/>
            <w:right w:w="108" w:type="dxa"/>
          </w:tblCellMar>
        </w:tblPrEx>
        <w:trPr>
          <w:trHeight w:val="290" w:hRule="atLeast"/>
        </w:trPr>
        <w:tc>
          <w:tcPr>
            <w:tcW w:w="960" w:type="dxa"/>
            <w:tcBorders>
              <w:top w:val="nil"/>
              <w:left w:val="nil"/>
              <w:bottom w:val="nil"/>
              <w:right w:val="nil"/>
            </w:tcBorders>
            <w:vAlign w:val="center"/>
          </w:tcPr>
          <w:p w14:paraId="01BEFC08">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2038</w:t>
            </w:r>
          </w:p>
        </w:tc>
        <w:tc>
          <w:tcPr>
            <w:tcW w:w="2430" w:type="dxa"/>
            <w:tcBorders>
              <w:top w:val="nil"/>
              <w:left w:val="nil"/>
              <w:bottom w:val="nil"/>
              <w:right w:val="nil"/>
            </w:tcBorders>
            <w:vAlign w:val="center"/>
          </w:tcPr>
          <w:p w14:paraId="16D77CCD">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204360.8012</w:t>
            </w:r>
          </w:p>
        </w:tc>
        <w:tc>
          <w:tcPr>
            <w:tcW w:w="0" w:type="auto"/>
            <w:tcBorders>
              <w:top w:val="nil"/>
              <w:left w:val="nil"/>
              <w:bottom w:val="nil"/>
              <w:right w:val="nil"/>
            </w:tcBorders>
            <w:noWrap/>
            <w:vAlign w:val="center"/>
          </w:tcPr>
          <w:p w14:paraId="63DB794C">
            <w:pPr>
              <w:widowControl/>
              <w:ind w:firstLine="0" w:firstLineChars="0"/>
              <w:jc w:val="center"/>
              <w:textAlignment w:val="center"/>
              <w:rPr>
                <w:color w:val="000000"/>
                <w:sz w:val="22"/>
              </w:rPr>
            </w:pPr>
            <w:r>
              <w:rPr>
                <w:color w:val="000000"/>
                <w:kern w:val="0"/>
                <w:sz w:val="22"/>
              </w:rPr>
              <w:t>256000.5</w:t>
            </w:r>
          </w:p>
        </w:tc>
        <w:tc>
          <w:tcPr>
            <w:tcW w:w="0" w:type="auto"/>
            <w:tcBorders>
              <w:top w:val="nil"/>
              <w:left w:val="nil"/>
              <w:bottom w:val="nil"/>
              <w:right w:val="nil"/>
            </w:tcBorders>
            <w:noWrap/>
            <w:vAlign w:val="bottom"/>
          </w:tcPr>
          <w:p w14:paraId="75C94B9F">
            <w:pPr>
              <w:widowControl/>
              <w:ind w:firstLine="0" w:firstLineChars="0"/>
              <w:jc w:val="center"/>
              <w:textAlignment w:val="bottom"/>
              <w:rPr>
                <w:color w:val="000000"/>
                <w:sz w:val="22"/>
              </w:rPr>
            </w:pPr>
            <w:r>
              <w:rPr>
                <w:color w:val="000000"/>
                <w:kern w:val="0"/>
                <w:sz w:val="22"/>
              </w:rPr>
              <w:t>281642.8313</w:t>
            </w:r>
          </w:p>
        </w:tc>
      </w:tr>
      <w:tr w14:paraId="74401BE4">
        <w:tblPrEx>
          <w:tblCellMar>
            <w:top w:w="0" w:type="dxa"/>
            <w:left w:w="108" w:type="dxa"/>
            <w:bottom w:w="0" w:type="dxa"/>
            <w:right w:w="108" w:type="dxa"/>
          </w:tblCellMar>
        </w:tblPrEx>
        <w:trPr>
          <w:trHeight w:val="290" w:hRule="atLeast"/>
        </w:trPr>
        <w:tc>
          <w:tcPr>
            <w:tcW w:w="960" w:type="dxa"/>
            <w:tcBorders>
              <w:top w:val="nil"/>
              <w:left w:val="nil"/>
              <w:bottom w:val="nil"/>
              <w:right w:val="nil"/>
            </w:tcBorders>
            <w:vAlign w:val="center"/>
          </w:tcPr>
          <w:p w14:paraId="7A440B94">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2039</w:t>
            </w:r>
          </w:p>
        </w:tc>
        <w:tc>
          <w:tcPr>
            <w:tcW w:w="2430" w:type="dxa"/>
            <w:tcBorders>
              <w:top w:val="nil"/>
              <w:left w:val="nil"/>
              <w:bottom w:val="nil"/>
              <w:right w:val="nil"/>
            </w:tcBorders>
            <w:vAlign w:val="center"/>
          </w:tcPr>
          <w:p w14:paraId="1F7D13B8">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191483.994</w:t>
            </w:r>
          </w:p>
        </w:tc>
        <w:tc>
          <w:tcPr>
            <w:tcW w:w="0" w:type="auto"/>
            <w:tcBorders>
              <w:top w:val="nil"/>
              <w:left w:val="nil"/>
              <w:bottom w:val="nil"/>
              <w:right w:val="nil"/>
            </w:tcBorders>
            <w:noWrap/>
            <w:vAlign w:val="center"/>
          </w:tcPr>
          <w:p w14:paraId="1C6A4380">
            <w:pPr>
              <w:widowControl/>
              <w:ind w:firstLine="0" w:firstLineChars="0"/>
              <w:jc w:val="center"/>
              <w:textAlignment w:val="center"/>
              <w:rPr>
                <w:color w:val="000000"/>
                <w:sz w:val="22"/>
              </w:rPr>
            </w:pPr>
            <w:r>
              <w:rPr>
                <w:color w:val="000000"/>
                <w:kern w:val="0"/>
                <w:sz w:val="22"/>
              </w:rPr>
              <w:t>262821.4</w:t>
            </w:r>
          </w:p>
        </w:tc>
        <w:tc>
          <w:tcPr>
            <w:tcW w:w="0" w:type="auto"/>
            <w:tcBorders>
              <w:top w:val="nil"/>
              <w:left w:val="nil"/>
              <w:bottom w:val="nil"/>
              <w:right w:val="nil"/>
            </w:tcBorders>
            <w:noWrap/>
            <w:vAlign w:val="bottom"/>
          </w:tcPr>
          <w:p w14:paraId="33AC4E2E">
            <w:pPr>
              <w:widowControl/>
              <w:ind w:firstLine="0" w:firstLineChars="0"/>
              <w:jc w:val="center"/>
              <w:textAlignment w:val="bottom"/>
              <w:rPr>
                <w:color w:val="000000"/>
                <w:sz w:val="22"/>
              </w:rPr>
            </w:pPr>
            <w:r>
              <w:rPr>
                <w:color w:val="000000"/>
                <w:kern w:val="0"/>
                <w:sz w:val="22"/>
              </w:rPr>
              <w:t>287651.5242</w:t>
            </w:r>
          </w:p>
        </w:tc>
      </w:tr>
      <w:tr w14:paraId="07C22473">
        <w:tblPrEx>
          <w:tblCellMar>
            <w:top w:w="0" w:type="dxa"/>
            <w:left w:w="108" w:type="dxa"/>
            <w:bottom w:w="0" w:type="dxa"/>
            <w:right w:w="108" w:type="dxa"/>
          </w:tblCellMar>
        </w:tblPrEx>
        <w:trPr>
          <w:trHeight w:val="290" w:hRule="atLeast"/>
        </w:trPr>
        <w:tc>
          <w:tcPr>
            <w:tcW w:w="960" w:type="dxa"/>
            <w:tcBorders>
              <w:top w:val="nil"/>
              <w:left w:val="nil"/>
              <w:bottom w:val="nil"/>
              <w:right w:val="nil"/>
            </w:tcBorders>
            <w:vAlign w:val="center"/>
          </w:tcPr>
          <w:p w14:paraId="5A7AEA38">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2040</w:t>
            </w:r>
          </w:p>
        </w:tc>
        <w:tc>
          <w:tcPr>
            <w:tcW w:w="2430" w:type="dxa"/>
            <w:tcBorders>
              <w:top w:val="nil"/>
              <w:left w:val="nil"/>
              <w:bottom w:val="nil"/>
              <w:right w:val="nil"/>
            </w:tcBorders>
            <w:vAlign w:val="center"/>
          </w:tcPr>
          <w:p w14:paraId="387851DE">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178607.1868</w:t>
            </w:r>
          </w:p>
        </w:tc>
        <w:tc>
          <w:tcPr>
            <w:tcW w:w="0" w:type="auto"/>
            <w:tcBorders>
              <w:top w:val="nil"/>
              <w:left w:val="nil"/>
              <w:bottom w:val="nil"/>
              <w:right w:val="nil"/>
            </w:tcBorders>
            <w:noWrap/>
            <w:vAlign w:val="center"/>
          </w:tcPr>
          <w:p w14:paraId="7AE97E39">
            <w:pPr>
              <w:widowControl/>
              <w:ind w:firstLine="0" w:firstLineChars="0"/>
              <w:jc w:val="center"/>
              <w:textAlignment w:val="center"/>
              <w:rPr>
                <w:color w:val="000000"/>
                <w:sz w:val="22"/>
              </w:rPr>
            </w:pPr>
            <w:r>
              <w:rPr>
                <w:color w:val="000000"/>
                <w:kern w:val="0"/>
                <w:sz w:val="22"/>
              </w:rPr>
              <w:t>247100.5</w:t>
            </w:r>
          </w:p>
        </w:tc>
        <w:tc>
          <w:tcPr>
            <w:tcW w:w="0" w:type="auto"/>
            <w:tcBorders>
              <w:top w:val="nil"/>
              <w:left w:val="nil"/>
              <w:bottom w:val="nil"/>
              <w:right w:val="nil"/>
            </w:tcBorders>
            <w:noWrap/>
            <w:vAlign w:val="bottom"/>
          </w:tcPr>
          <w:p w14:paraId="6A9C42F8">
            <w:pPr>
              <w:widowControl/>
              <w:ind w:firstLine="0" w:firstLineChars="0"/>
              <w:jc w:val="center"/>
              <w:textAlignment w:val="bottom"/>
              <w:rPr>
                <w:color w:val="000000"/>
                <w:sz w:val="22"/>
              </w:rPr>
            </w:pPr>
            <w:r>
              <w:rPr>
                <w:color w:val="000000"/>
                <w:kern w:val="0"/>
                <w:sz w:val="22"/>
              </w:rPr>
              <w:t>293660.217</w:t>
            </w:r>
          </w:p>
        </w:tc>
      </w:tr>
      <w:tr w14:paraId="2733E52E">
        <w:tblPrEx>
          <w:tblCellMar>
            <w:top w:w="0" w:type="dxa"/>
            <w:left w:w="108" w:type="dxa"/>
            <w:bottom w:w="0" w:type="dxa"/>
            <w:right w:w="108" w:type="dxa"/>
          </w:tblCellMar>
        </w:tblPrEx>
        <w:trPr>
          <w:trHeight w:val="290" w:hRule="atLeast"/>
        </w:trPr>
        <w:tc>
          <w:tcPr>
            <w:tcW w:w="960" w:type="dxa"/>
            <w:tcBorders>
              <w:top w:val="nil"/>
              <w:left w:val="nil"/>
              <w:bottom w:val="nil"/>
              <w:right w:val="nil"/>
            </w:tcBorders>
            <w:vAlign w:val="center"/>
          </w:tcPr>
          <w:p w14:paraId="3DFD0906">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2041</w:t>
            </w:r>
          </w:p>
        </w:tc>
        <w:tc>
          <w:tcPr>
            <w:tcW w:w="2430" w:type="dxa"/>
            <w:tcBorders>
              <w:top w:val="nil"/>
              <w:left w:val="nil"/>
              <w:bottom w:val="nil"/>
              <w:right w:val="nil"/>
            </w:tcBorders>
            <w:vAlign w:val="center"/>
          </w:tcPr>
          <w:p w14:paraId="2F4FFC54">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165730.3796</w:t>
            </w:r>
          </w:p>
        </w:tc>
        <w:tc>
          <w:tcPr>
            <w:tcW w:w="0" w:type="auto"/>
            <w:tcBorders>
              <w:top w:val="nil"/>
              <w:left w:val="nil"/>
              <w:bottom w:val="nil"/>
              <w:right w:val="nil"/>
            </w:tcBorders>
            <w:noWrap/>
            <w:vAlign w:val="center"/>
          </w:tcPr>
          <w:p w14:paraId="2A8FF17E">
            <w:pPr>
              <w:widowControl/>
              <w:ind w:firstLine="0" w:firstLineChars="0"/>
              <w:jc w:val="center"/>
              <w:textAlignment w:val="center"/>
              <w:rPr>
                <w:color w:val="000000"/>
                <w:sz w:val="22"/>
              </w:rPr>
            </w:pPr>
            <w:r>
              <w:rPr>
                <w:color w:val="000000"/>
                <w:kern w:val="0"/>
                <w:sz w:val="22"/>
              </w:rPr>
              <w:t>233568.2</w:t>
            </w:r>
          </w:p>
        </w:tc>
        <w:tc>
          <w:tcPr>
            <w:tcW w:w="0" w:type="auto"/>
            <w:tcBorders>
              <w:top w:val="nil"/>
              <w:left w:val="nil"/>
              <w:bottom w:val="nil"/>
              <w:right w:val="nil"/>
            </w:tcBorders>
            <w:noWrap/>
            <w:vAlign w:val="bottom"/>
          </w:tcPr>
          <w:p w14:paraId="6F30337B">
            <w:pPr>
              <w:widowControl/>
              <w:ind w:firstLine="0" w:firstLineChars="0"/>
              <w:jc w:val="center"/>
              <w:textAlignment w:val="bottom"/>
              <w:rPr>
                <w:color w:val="000000"/>
                <w:sz w:val="22"/>
              </w:rPr>
            </w:pPr>
            <w:r>
              <w:rPr>
                <w:color w:val="000000"/>
                <w:kern w:val="0"/>
                <w:sz w:val="22"/>
              </w:rPr>
              <w:t>299668.9099</w:t>
            </w:r>
          </w:p>
        </w:tc>
      </w:tr>
      <w:tr w14:paraId="033F0406">
        <w:tblPrEx>
          <w:tblCellMar>
            <w:top w:w="0" w:type="dxa"/>
            <w:left w:w="108" w:type="dxa"/>
            <w:bottom w:w="0" w:type="dxa"/>
            <w:right w:w="108" w:type="dxa"/>
          </w:tblCellMar>
        </w:tblPrEx>
        <w:trPr>
          <w:trHeight w:val="290" w:hRule="atLeast"/>
        </w:trPr>
        <w:tc>
          <w:tcPr>
            <w:tcW w:w="960" w:type="dxa"/>
            <w:tcBorders>
              <w:top w:val="nil"/>
              <w:left w:val="nil"/>
              <w:bottom w:val="nil"/>
              <w:right w:val="nil"/>
            </w:tcBorders>
            <w:vAlign w:val="center"/>
          </w:tcPr>
          <w:p w14:paraId="0CEBD3FB">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2042</w:t>
            </w:r>
          </w:p>
        </w:tc>
        <w:tc>
          <w:tcPr>
            <w:tcW w:w="2430" w:type="dxa"/>
            <w:tcBorders>
              <w:top w:val="nil"/>
              <w:left w:val="nil"/>
              <w:bottom w:val="nil"/>
              <w:right w:val="nil"/>
            </w:tcBorders>
            <w:vAlign w:val="center"/>
          </w:tcPr>
          <w:p w14:paraId="4E2FF57C">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152853.5723</w:t>
            </w:r>
          </w:p>
        </w:tc>
        <w:tc>
          <w:tcPr>
            <w:tcW w:w="0" w:type="auto"/>
            <w:tcBorders>
              <w:top w:val="nil"/>
              <w:left w:val="nil"/>
              <w:bottom w:val="nil"/>
              <w:right w:val="nil"/>
            </w:tcBorders>
            <w:noWrap/>
            <w:vAlign w:val="center"/>
          </w:tcPr>
          <w:p w14:paraId="20E983D2">
            <w:pPr>
              <w:widowControl/>
              <w:ind w:firstLine="0" w:firstLineChars="0"/>
              <w:jc w:val="center"/>
              <w:textAlignment w:val="center"/>
              <w:rPr>
                <w:color w:val="000000"/>
                <w:sz w:val="22"/>
              </w:rPr>
            </w:pPr>
            <w:r>
              <w:rPr>
                <w:color w:val="000000"/>
                <w:kern w:val="0"/>
                <w:sz w:val="22"/>
              </w:rPr>
              <w:t>225652.7</w:t>
            </w:r>
          </w:p>
        </w:tc>
        <w:tc>
          <w:tcPr>
            <w:tcW w:w="0" w:type="auto"/>
            <w:tcBorders>
              <w:top w:val="nil"/>
              <w:left w:val="nil"/>
              <w:bottom w:val="nil"/>
              <w:right w:val="nil"/>
            </w:tcBorders>
            <w:noWrap/>
            <w:vAlign w:val="bottom"/>
          </w:tcPr>
          <w:p w14:paraId="3972C6BD">
            <w:pPr>
              <w:widowControl/>
              <w:ind w:firstLine="0" w:firstLineChars="0"/>
              <w:jc w:val="center"/>
              <w:textAlignment w:val="bottom"/>
              <w:rPr>
                <w:color w:val="000000"/>
                <w:sz w:val="22"/>
              </w:rPr>
            </w:pPr>
            <w:r>
              <w:rPr>
                <w:color w:val="000000"/>
                <w:kern w:val="0"/>
                <w:sz w:val="22"/>
              </w:rPr>
              <w:t>305677.6027</w:t>
            </w:r>
          </w:p>
        </w:tc>
      </w:tr>
      <w:tr w14:paraId="1FD81202">
        <w:tblPrEx>
          <w:tblCellMar>
            <w:top w:w="0" w:type="dxa"/>
            <w:left w:w="108" w:type="dxa"/>
            <w:bottom w:w="0" w:type="dxa"/>
            <w:right w:w="108" w:type="dxa"/>
          </w:tblCellMar>
        </w:tblPrEx>
        <w:trPr>
          <w:trHeight w:val="290" w:hRule="atLeast"/>
        </w:trPr>
        <w:tc>
          <w:tcPr>
            <w:tcW w:w="960" w:type="dxa"/>
            <w:tcBorders>
              <w:top w:val="nil"/>
              <w:left w:val="nil"/>
              <w:bottom w:val="nil"/>
              <w:right w:val="nil"/>
            </w:tcBorders>
            <w:vAlign w:val="center"/>
          </w:tcPr>
          <w:p w14:paraId="238A18F9">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2043</w:t>
            </w:r>
          </w:p>
        </w:tc>
        <w:tc>
          <w:tcPr>
            <w:tcW w:w="2430" w:type="dxa"/>
            <w:tcBorders>
              <w:top w:val="nil"/>
              <w:left w:val="nil"/>
              <w:bottom w:val="nil"/>
              <w:right w:val="nil"/>
            </w:tcBorders>
            <w:vAlign w:val="center"/>
          </w:tcPr>
          <w:p w14:paraId="03ECC42E">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139976.7651</w:t>
            </w:r>
          </w:p>
        </w:tc>
        <w:tc>
          <w:tcPr>
            <w:tcW w:w="0" w:type="auto"/>
            <w:tcBorders>
              <w:top w:val="nil"/>
              <w:left w:val="nil"/>
              <w:bottom w:val="nil"/>
              <w:right w:val="nil"/>
            </w:tcBorders>
            <w:noWrap/>
            <w:vAlign w:val="center"/>
          </w:tcPr>
          <w:p w14:paraId="2D2EDA46">
            <w:pPr>
              <w:widowControl/>
              <w:ind w:firstLine="0" w:firstLineChars="0"/>
              <w:jc w:val="center"/>
              <w:textAlignment w:val="center"/>
              <w:rPr>
                <w:color w:val="000000"/>
                <w:sz w:val="22"/>
              </w:rPr>
            </w:pPr>
            <w:r>
              <w:rPr>
                <w:color w:val="000000"/>
                <w:kern w:val="0"/>
                <w:sz w:val="22"/>
              </w:rPr>
              <w:t>212569.8</w:t>
            </w:r>
          </w:p>
        </w:tc>
        <w:tc>
          <w:tcPr>
            <w:tcW w:w="0" w:type="auto"/>
            <w:tcBorders>
              <w:top w:val="nil"/>
              <w:left w:val="nil"/>
              <w:bottom w:val="nil"/>
              <w:right w:val="nil"/>
            </w:tcBorders>
            <w:noWrap/>
            <w:vAlign w:val="bottom"/>
          </w:tcPr>
          <w:p w14:paraId="797886CB">
            <w:pPr>
              <w:widowControl/>
              <w:ind w:firstLine="0" w:firstLineChars="0"/>
              <w:jc w:val="center"/>
              <w:textAlignment w:val="bottom"/>
              <w:rPr>
                <w:color w:val="000000"/>
                <w:sz w:val="22"/>
              </w:rPr>
            </w:pPr>
            <w:r>
              <w:rPr>
                <w:color w:val="000000"/>
                <w:kern w:val="0"/>
                <w:sz w:val="22"/>
              </w:rPr>
              <w:t>311686.2956</w:t>
            </w:r>
          </w:p>
        </w:tc>
      </w:tr>
      <w:tr w14:paraId="6DED9241">
        <w:tblPrEx>
          <w:tblCellMar>
            <w:top w:w="0" w:type="dxa"/>
            <w:left w:w="108" w:type="dxa"/>
            <w:bottom w:w="0" w:type="dxa"/>
            <w:right w:w="108" w:type="dxa"/>
          </w:tblCellMar>
        </w:tblPrEx>
        <w:trPr>
          <w:trHeight w:val="290" w:hRule="atLeast"/>
        </w:trPr>
        <w:tc>
          <w:tcPr>
            <w:tcW w:w="960" w:type="dxa"/>
            <w:tcBorders>
              <w:top w:val="nil"/>
              <w:left w:val="nil"/>
              <w:bottom w:val="nil"/>
              <w:right w:val="nil"/>
            </w:tcBorders>
            <w:vAlign w:val="center"/>
          </w:tcPr>
          <w:p w14:paraId="3F379EBC">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2044</w:t>
            </w:r>
          </w:p>
        </w:tc>
        <w:tc>
          <w:tcPr>
            <w:tcW w:w="2430" w:type="dxa"/>
            <w:tcBorders>
              <w:top w:val="nil"/>
              <w:left w:val="nil"/>
              <w:bottom w:val="nil"/>
              <w:right w:val="nil"/>
            </w:tcBorders>
            <w:vAlign w:val="center"/>
          </w:tcPr>
          <w:p w14:paraId="53D15B20">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127099.9579</w:t>
            </w:r>
          </w:p>
        </w:tc>
        <w:tc>
          <w:tcPr>
            <w:tcW w:w="0" w:type="auto"/>
            <w:tcBorders>
              <w:top w:val="nil"/>
              <w:left w:val="nil"/>
              <w:bottom w:val="nil"/>
              <w:right w:val="nil"/>
            </w:tcBorders>
            <w:noWrap/>
            <w:vAlign w:val="center"/>
          </w:tcPr>
          <w:p w14:paraId="21A1C9BF">
            <w:pPr>
              <w:widowControl/>
              <w:ind w:firstLine="0" w:firstLineChars="0"/>
              <w:jc w:val="center"/>
              <w:textAlignment w:val="center"/>
              <w:rPr>
                <w:color w:val="000000"/>
                <w:sz w:val="22"/>
              </w:rPr>
            </w:pPr>
            <w:r>
              <w:rPr>
                <w:color w:val="000000"/>
                <w:kern w:val="0"/>
                <w:sz w:val="22"/>
              </w:rPr>
              <w:t>206340.4</w:t>
            </w:r>
          </w:p>
        </w:tc>
        <w:tc>
          <w:tcPr>
            <w:tcW w:w="0" w:type="auto"/>
            <w:tcBorders>
              <w:top w:val="nil"/>
              <w:left w:val="nil"/>
              <w:bottom w:val="nil"/>
              <w:right w:val="nil"/>
            </w:tcBorders>
            <w:noWrap/>
            <w:vAlign w:val="bottom"/>
          </w:tcPr>
          <w:p w14:paraId="56C5662C">
            <w:pPr>
              <w:widowControl/>
              <w:ind w:firstLine="0" w:firstLineChars="0"/>
              <w:jc w:val="center"/>
              <w:textAlignment w:val="bottom"/>
              <w:rPr>
                <w:color w:val="000000"/>
                <w:sz w:val="22"/>
              </w:rPr>
            </w:pPr>
            <w:r>
              <w:rPr>
                <w:color w:val="000000"/>
                <w:kern w:val="0"/>
                <w:sz w:val="22"/>
              </w:rPr>
              <w:t>317694.9884</w:t>
            </w:r>
          </w:p>
        </w:tc>
      </w:tr>
      <w:tr w14:paraId="12CE4A26">
        <w:tblPrEx>
          <w:tblCellMar>
            <w:top w:w="0" w:type="dxa"/>
            <w:left w:w="108" w:type="dxa"/>
            <w:bottom w:w="0" w:type="dxa"/>
            <w:right w:w="108" w:type="dxa"/>
          </w:tblCellMar>
        </w:tblPrEx>
        <w:trPr>
          <w:trHeight w:val="290" w:hRule="atLeast"/>
        </w:trPr>
        <w:tc>
          <w:tcPr>
            <w:tcW w:w="960" w:type="dxa"/>
            <w:tcBorders>
              <w:top w:val="nil"/>
              <w:left w:val="nil"/>
              <w:bottom w:val="nil"/>
              <w:right w:val="nil"/>
            </w:tcBorders>
            <w:vAlign w:val="center"/>
          </w:tcPr>
          <w:p w14:paraId="4E10B382">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2045</w:t>
            </w:r>
          </w:p>
        </w:tc>
        <w:tc>
          <w:tcPr>
            <w:tcW w:w="2430" w:type="dxa"/>
            <w:tcBorders>
              <w:top w:val="nil"/>
              <w:left w:val="nil"/>
              <w:bottom w:val="nil"/>
              <w:right w:val="nil"/>
            </w:tcBorders>
            <w:vAlign w:val="center"/>
          </w:tcPr>
          <w:p w14:paraId="71C371A4">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114223.1507</w:t>
            </w:r>
          </w:p>
        </w:tc>
        <w:tc>
          <w:tcPr>
            <w:tcW w:w="0" w:type="auto"/>
            <w:tcBorders>
              <w:top w:val="nil"/>
              <w:left w:val="nil"/>
              <w:bottom w:val="nil"/>
              <w:right w:val="nil"/>
            </w:tcBorders>
            <w:noWrap/>
            <w:vAlign w:val="center"/>
          </w:tcPr>
          <w:p w14:paraId="71EBA499">
            <w:pPr>
              <w:widowControl/>
              <w:ind w:firstLine="0" w:firstLineChars="0"/>
              <w:jc w:val="center"/>
              <w:textAlignment w:val="center"/>
              <w:rPr>
                <w:color w:val="000000"/>
                <w:sz w:val="22"/>
              </w:rPr>
            </w:pPr>
            <w:r>
              <w:rPr>
                <w:color w:val="000000"/>
                <w:kern w:val="0"/>
                <w:sz w:val="22"/>
              </w:rPr>
              <w:t>193215.6</w:t>
            </w:r>
          </w:p>
        </w:tc>
        <w:tc>
          <w:tcPr>
            <w:tcW w:w="0" w:type="auto"/>
            <w:tcBorders>
              <w:top w:val="nil"/>
              <w:left w:val="nil"/>
              <w:bottom w:val="nil"/>
              <w:right w:val="nil"/>
            </w:tcBorders>
            <w:noWrap/>
            <w:vAlign w:val="bottom"/>
          </w:tcPr>
          <w:p w14:paraId="781683E1">
            <w:pPr>
              <w:widowControl/>
              <w:ind w:firstLine="0" w:firstLineChars="0"/>
              <w:jc w:val="center"/>
              <w:textAlignment w:val="bottom"/>
              <w:rPr>
                <w:color w:val="000000"/>
                <w:sz w:val="22"/>
              </w:rPr>
            </w:pPr>
            <w:r>
              <w:rPr>
                <w:color w:val="000000"/>
                <w:kern w:val="0"/>
                <w:sz w:val="22"/>
              </w:rPr>
              <w:t>323703.6813</w:t>
            </w:r>
          </w:p>
        </w:tc>
      </w:tr>
      <w:tr w14:paraId="0E350359">
        <w:tblPrEx>
          <w:tblCellMar>
            <w:top w:w="0" w:type="dxa"/>
            <w:left w:w="108" w:type="dxa"/>
            <w:bottom w:w="0" w:type="dxa"/>
            <w:right w:w="108" w:type="dxa"/>
          </w:tblCellMar>
        </w:tblPrEx>
        <w:trPr>
          <w:trHeight w:val="290" w:hRule="atLeast"/>
        </w:trPr>
        <w:tc>
          <w:tcPr>
            <w:tcW w:w="960" w:type="dxa"/>
            <w:tcBorders>
              <w:top w:val="nil"/>
              <w:left w:val="nil"/>
              <w:bottom w:val="nil"/>
              <w:right w:val="nil"/>
            </w:tcBorders>
            <w:vAlign w:val="center"/>
          </w:tcPr>
          <w:p w14:paraId="0EFF4D94">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2046</w:t>
            </w:r>
          </w:p>
        </w:tc>
        <w:tc>
          <w:tcPr>
            <w:tcW w:w="2430" w:type="dxa"/>
            <w:tcBorders>
              <w:top w:val="nil"/>
              <w:left w:val="nil"/>
              <w:bottom w:val="nil"/>
              <w:right w:val="nil"/>
            </w:tcBorders>
            <w:vAlign w:val="center"/>
          </w:tcPr>
          <w:p w14:paraId="734FDBF6">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101346.3434</w:t>
            </w:r>
          </w:p>
        </w:tc>
        <w:tc>
          <w:tcPr>
            <w:tcW w:w="0" w:type="auto"/>
            <w:tcBorders>
              <w:top w:val="nil"/>
              <w:left w:val="nil"/>
              <w:bottom w:val="nil"/>
              <w:right w:val="nil"/>
            </w:tcBorders>
            <w:noWrap/>
            <w:vAlign w:val="center"/>
          </w:tcPr>
          <w:p w14:paraId="59B66B38">
            <w:pPr>
              <w:widowControl/>
              <w:ind w:firstLine="0" w:firstLineChars="0"/>
              <w:jc w:val="center"/>
              <w:textAlignment w:val="center"/>
              <w:rPr>
                <w:color w:val="000000"/>
                <w:sz w:val="22"/>
              </w:rPr>
            </w:pPr>
            <w:r>
              <w:rPr>
                <w:color w:val="000000"/>
                <w:kern w:val="0"/>
                <w:sz w:val="22"/>
              </w:rPr>
              <w:t>183321.5</w:t>
            </w:r>
          </w:p>
        </w:tc>
        <w:tc>
          <w:tcPr>
            <w:tcW w:w="0" w:type="auto"/>
            <w:tcBorders>
              <w:top w:val="nil"/>
              <w:left w:val="nil"/>
              <w:bottom w:val="nil"/>
              <w:right w:val="nil"/>
            </w:tcBorders>
            <w:noWrap/>
            <w:vAlign w:val="bottom"/>
          </w:tcPr>
          <w:p w14:paraId="463C311D">
            <w:pPr>
              <w:widowControl/>
              <w:ind w:firstLine="0" w:firstLineChars="0"/>
              <w:jc w:val="center"/>
              <w:textAlignment w:val="bottom"/>
              <w:rPr>
                <w:color w:val="000000"/>
                <w:sz w:val="22"/>
              </w:rPr>
            </w:pPr>
            <w:r>
              <w:rPr>
                <w:color w:val="000000"/>
                <w:kern w:val="0"/>
                <w:sz w:val="22"/>
              </w:rPr>
              <w:t>329712.3741</w:t>
            </w:r>
          </w:p>
        </w:tc>
      </w:tr>
      <w:tr w14:paraId="6062BAEB">
        <w:tblPrEx>
          <w:tblCellMar>
            <w:top w:w="0" w:type="dxa"/>
            <w:left w:w="108" w:type="dxa"/>
            <w:bottom w:w="0" w:type="dxa"/>
            <w:right w:w="108" w:type="dxa"/>
          </w:tblCellMar>
        </w:tblPrEx>
        <w:trPr>
          <w:trHeight w:val="290" w:hRule="atLeast"/>
        </w:trPr>
        <w:tc>
          <w:tcPr>
            <w:tcW w:w="960" w:type="dxa"/>
            <w:tcBorders>
              <w:top w:val="nil"/>
              <w:left w:val="nil"/>
              <w:bottom w:val="nil"/>
              <w:right w:val="nil"/>
            </w:tcBorders>
            <w:vAlign w:val="center"/>
          </w:tcPr>
          <w:p w14:paraId="22CE30B2">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2047</w:t>
            </w:r>
          </w:p>
        </w:tc>
        <w:tc>
          <w:tcPr>
            <w:tcW w:w="2430" w:type="dxa"/>
            <w:tcBorders>
              <w:top w:val="nil"/>
              <w:left w:val="nil"/>
              <w:bottom w:val="nil"/>
              <w:right w:val="nil"/>
            </w:tcBorders>
            <w:vAlign w:val="center"/>
          </w:tcPr>
          <w:p w14:paraId="5B2EDB74">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99842.212</w:t>
            </w:r>
          </w:p>
        </w:tc>
        <w:tc>
          <w:tcPr>
            <w:tcW w:w="0" w:type="auto"/>
            <w:tcBorders>
              <w:top w:val="nil"/>
              <w:left w:val="nil"/>
              <w:bottom w:val="nil"/>
              <w:right w:val="nil"/>
            </w:tcBorders>
            <w:noWrap/>
            <w:vAlign w:val="center"/>
          </w:tcPr>
          <w:p w14:paraId="2FA5D339">
            <w:pPr>
              <w:widowControl/>
              <w:ind w:firstLine="0" w:firstLineChars="0"/>
              <w:jc w:val="center"/>
              <w:textAlignment w:val="center"/>
              <w:rPr>
                <w:color w:val="000000"/>
                <w:sz w:val="22"/>
              </w:rPr>
            </w:pPr>
            <w:r>
              <w:rPr>
                <w:color w:val="000000"/>
                <w:kern w:val="0"/>
                <w:sz w:val="22"/>
              </w:rPr>
              <w:t>175923.2</w:t>
            </w:r>
          </w:p>
        </w:tc>
        <w:tc>
          <w:tcPr>
            <w:tcW w:w="0" w:type="auto"/>
            <w:tcBorders>
              <w:top w:val="nil"/>
              <w:left w:val="nil"/>
              <w:bottom w:val="nil"/>
              <w:right w:val="nil"/>
            </w:tcBorders>
            <w:noWrap/>
            <w:vAlign w:val="bottom"/>
          </w:tcPr>
          <w:p w14:paraId="07A502A2">
            <w:pPr>
              <w:widowControl/>
              <w:ind w:firstLine="0" w:firstLineChars="0"/>
              <w:jc w:val="center"/>
              <w:textAlignment w:val="bottom"/>
              <w:rPr>
                <w:color w:val="000000"/>
                <w:sz w:val="22"/>
              </w:rPr>
            </w:pPr>
            <w:r>
              <w:rPr>
                <w:color w:val="000000"/>
                <w:kern w:val="0"/>
                <w:sz w:val="22"/>
              </w:rPr>
              <w:t>335721.067</w:t>
            </w:r>
          </w:p>
        </w:tc>
      </w:tr>
      <w:tr w14:paraId="5D699689">
        <w:tblPrEx>
          <w:tblCellMar>
            <w:top w:w="0" w:type="dxa"/>
            <w:left w:w="108" w:type="dxa"/>
            <w:bottom w:w="0" w:type="dxa"/>
            <w:right w:w="108" w:type="dxa"/>
          </w:tblCellMar>
        </w:tblPrEx>
        <w:trPr>
          <w:trHeight w:val="290" w:hRule="atLeast"/>
        </w:trPr>
        <w:tc>
          <w:tcPr>
            <w:tcW w:w="960" w:type="dxa"/>
            <w:tcBorders>
              <w:top w:val="nil"/>
              <w:left w:val="nil"/>
              <w:bottom w:val="nil"/>
              <w:right w:val="nil"/>
            </w:tcBorders>
            <w:vAlign w:val="center"/>
          </w:tcPr>
          <w:p w14:paraId="46A9C0CF">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2048</w:t>
            </w:r>
          </w:p>
        </w:tc>
        <w:tc>
          <w:tcPr>
            <w:tcW w:w="2430" w:type="dxa"/>
            <w:tcBorders>
              <w:top w:val="nil"/>
              <w:left w:val="nil"/>
              <w:bottom w:val="nil"/>
              <w:right w:val="nil"/>
            </w:tcBorders>
            <w:vAlign w:val="center"/>
          </w:tcPr>
          <w:p w14:paraId="79568D34">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95592.72898</w:t>
            </w:r>
          </w:p>
        </w:tc>
        <w:tc>
          <w:tcPr>
            <w:tcW w:w="0" w:type="auto"/>
            <w:tcBorders>
              <w:top w:val="nil"/>
              <w:left w:val="nil"/>
              <w:bottom w:val="nil"/>
              <w:right w:val="nil"/>
            </w:tcBorders>
            <w:noWrap/>
            <w:vAlign w:val="center"/>
          </w:tcPr>
          <w:p w14:paraId="0873F317">
            <w:pPr>
              <w:widowControl/>
              <w:ind w:firstLine="0" w:firstLineChars="0"/>
              <w:jc w:val="center"/>
              <w:textAlignment w:val="center"/>
              <w:rPr>
                <w:color w:val="000000"/>
                <w:sz w:val="22"/>
              </w:rPr>
            </w:pPr>
            <w:r>
              <w:rPr>
                <w:color w:val="000000"/>
                <w:kern w:val="0"/>
                <w:sz w:val="22"/>
              </w:rPr>
              <w:t>168746.5</w:t>
            </w:r>
          </w:p>
        </w:tc>
        <w:tc>
          <w:tcPr>
            <w:tcW w:w="0" w:type="auto"/>
            <w:tcBorders>
              <w:top w:val="nil"/>
              <w:left w:val="nil"/>
              <w:bottom w:val="nil"/>
              <w:right w:val="nil"/>
            </w:tcBorders>
            <w:noWrap/>
            <w:vAlign w:val="bottom"/>
          </w:tcPr>
          <w:p w14:paraId="63415BBF">
            <w:pPr>
              <w:widowControl/>
              <w:ind w:firstLine="0" w:firstLineChars="0"/>
              <w:jc w:val="center"/>
              <w:textAlignment w:val="bottom"/>
              <w:rPr>
                <w:color w:val="000000"/>
                <w:sz w:val="22"/>
              </w:rPr>
            </w:pPr>
            <w:r>
              <w:rPr>
                <w:color w:val="000000"/>
                <w:kern w:val="0"/>
                <w:sz w:val="22"/>
              </w:rPr>
              <w:t>341729.7598</w:t>
            </w:r>
          </w:p>
        </w:tc>
      </w:tr>
      <w:tr w14:paraId="2DD195D5">
        <w:tblPrEx>
          <w:tblCellMar>
            <w:top w:w="0" w:type="dxa"/>
            <w:left w:w="108" w:type="dxa"/>
            <w:bottom w:w="0" w:type="dxa"/>
            <w:right w:w="108" w:type="dxa"/>
          </w:tblCellMar>
        </w:tblPrEx>
        <w:trPr>
          <w:trHeight w:val="290" w:hRule="atLeast"/>
        </w:trPr>
        <w:tc>
          <w:tcPr>
            <w:tcW w:w="960" w:type="dxa"/>
            <w:tcBorders>
              <w:top w:val="nil"/>
              <w:left w:val="nil"/>
              <w:bottom w:val="nil"/>
              <w:right w:val="nil"/>
            </w:tcBorders>
            <w:vAlign w:val="center"/>
          </w:tcPr>
          <w:p w14:paraId="36C0F20B">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2049</w:t>
            </w:r>
          </w:p>
        </w:tc>
        <w:tc>
          <w:tcPr>
            <w:tcW w:w="2430" w:type="dxa"/>
            <w:tcBorders>
              <w:top w:val="nil"/>
              <w:left w:val="nil"/>
              <w:bottom w:val="nil"/>
              <w:right w:val="nil"/>
            </w:tcBorders>
            <w:vAlign w:val="center"/>
          </w:tcPr>
          <w:p w14:paraId="23125588">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90715.92176</w:t>
            </w:r>
          </w:p>
        </w:tc>
        <w:tc>
          <w:tcPr>
            <w:tcW w:w="0" w:type="auto"/>
            <w:tcBorders>
              <w:top w:val="nil"/>
              <w:left w:val="nil"/>
              <w:bottom w:val="nil"/>
              <w:right w:val="nil"/>
            </w:tcBorders>
            <w:noWrap/>
            <w:vAlign w:val="center"/>
          </w:tcPr>
          <w:p w14:paraId="11680B77">
            <w:pPr>
              <w:widowControl/>
              <w:ind w:firstLine="0" w:firstLineChars="0"/>
              <w:jc w:val="center"/>
              <w:textAlignment w:val="center"/>
              <w:rPr>
                <w:color w:val="000000"/>
                <w:sz w:val="22"/>
              </w:rPr>
            </w:pPr>
            <w:r>
              <w:rPr>
                <w:color w:val="000000"/>
                <w:kern w:val="0"/>
                <w:sz w:val="22"/>
              </w:rPr>
              <w:t>152086.3</w:t>
            </w:r>
          </w:p>
        </w:tc>
        <w:tc>
          <w:tcPr>
            <w:tcW w:w="0" w:type="auto"/>
            <w:tcBorders>
              <w:top w:val="nil"/>
              <w:left w:val="nil"/>
              <w:bottom w:val="nil"/>
              <w:right w:val="nil"/>
            </w:tcBorders>
            <w:noWrap/>
            <w:vAlign w:val="bottom"/>
          </w:tcPr>
          <w:p w14:paraId="5F8C8B87">
            <w:pPr>
              <w:widowControl/>
              <w:ind w:firstLine="0" w:firstLineChars="0"/>
              <w:jc w:val="center"/>
              <w:textAlignment w:val="bottom"/>
              <w:rPr>
                <w:color w:val="000000"/>
                <w:sz w:val="22"/>
              </w:rPr>
            </w:pPr>
            <w:r>
              <w:rPr>
                <w:color w:val="000000"/>
                <w:kern w:val="0"/>
                <w:sz w:val="22"/>
              </w:rPr>
              <w:t>347738.4527</w:t>
            </w:r>
          </w:p>
        </w:tc>
      </w:tr>
      <w:tr w14:paraId="7100608A">
        <w:tblPrEx>
          <w:tblCellMar>
            <w:top w:w="0" w:type="dxa"/>
            <w:left w:w="108" w:type="dxa"/>
            <w:bottom w:w="0" w:type="dxa"/>
            <w:right w:w="108" w:type="dxa"/>
          </w:tblCellMar>
        </w:tblPrEx>
        <w:trPr>
          <w:trHeight w:val="290" w:hRule="atLeast"/>
        </w:trPr>
        <w:tc>
          <w:tcPr>
            <w:tcW w:w="960" w:type="dxa"/>
            <w:tcBorders>
              <w:top w:val="nil"/>
              <w:left w:val="nil"/>
              <w:bottom w:val="nil"/>
              <w:right w:val="nil"/>
            </w:tcBorders>
            <w:vAlign w:val="center"/>
          </w:tcPr>
          <w:p w14:paraId="5C6DD369">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2050</w:t>
            </w:r>
          </w:p>
        </w:tc>
        <w:tc>
          <w:tcPr>
            <w:tcW w:w="2430" w:type="dxa"/>
            <w:tcBorders>
              <w:top w:val="nil"/>
              <w:left w:val="nil"/>
              <w:bottom w:val="nil"/>
              <w:right w:val="nil"/>
            </w:tcBorders>
            <w:vAlign w:val="center"/>
          </w:tcPr>
          <w:p w14:paraId="7C544479">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88039.11453</w:t>
            </w:r>
          </w:p>
        </w:tc>
        <w:tc>
          <w:tcPr>
            <w:tcW w:w="0" w:type="auto"/>
            <w:tcBorders>
              <w:top w:val="nil"/>
              <w:left w:val="nil"/>
              <w:bottom w:val="nil"/>
              <w:right w:val="nil"/>
            </w:tcBorders>
            <w:noWrap/>
            <w:vAlign w:val="center"/>
          </w:tcPr>
          <w:p w14:paraId="47D3D449">
            <w:pPr>
              <w:widowControl/>
              <w:ind w:firstLine="0" w:firstLineChars="0"/>
              <w:jc w:val="center"/>
              <w:textAlignment w:val="center"/>
              <w:rPr>
                <w:color w:val="000000"/>
                <w:sz w:val="22"/>
              </w:rPr>
            </w:pPr>
            <w:r>
              <w:rPr>
                <w:color w:val="000000"/>
                <w:kern w:val="0"/>
                <w:sz w:val="22"/>
              </w:rPr>
              <w:t>142690.2</w:t>
            </w:r>
          </w:p>
        </w:tc>
        <w:tc>
          <w:tcPr>
            <w:tcW w:w="0" w:type="auto"/>
            <w:tcBorders>
              <w:top w:val="nil"/>
              <w:left w:val="nil"/>
              <w:bottom w:val="nil"/>
              <w:right w:val="nil"/>
            </w:tcBorders>
            <w:noWrap/>
            <w:vAlign w:val="bottom"/>
          </w:tcPr>
          <w:p w14:paraId="2483D7F4">
            <w:pPr>
              <w:widowControl/>
              <w:ind w:firstLine="0" w:firstLineChars="0"/>
              <w:jc w:val="center"/>
              <w:textAlignment w:val="bottom"/>
              <w:rPr>
                <w:color w:val="000000"/>
                <w:sz w:val="22"/>
              </w:rPr>
            </w:pPr>
            <w:r>
              <w:rPr>
                <w:color w:val="000000"/>
                <w:kern w:val="0"/>
                <w:sz w:val="22"/>
              </w:rPr>
              <w:t>353747.1455</w:t>
            </w:r>
          </w:p>
        </w:tc>
      </w:tr>
      <w:tr w14:paraId="67D55333">
        <w:tblPrEx>
          <w:tblCellMar>
            <w:top w:w="0" w:type="dxa"/>
            <w:left w:w="108" w:type="dxa"/>
            <w:bottom w:w="0" w:type="dxa"/>
            <w:right w:w="108" w:type="dxa"/>
          </w:tblCellMar>
        </w:tblPrEx>
        <w:trPr>
          <w:trHeight w:val="290" w:hRule="atLeast"/>
        </w:trPr>
        <w:tc>
          <w:tcPr>
            <w:tcW w:w="960" w:type="dxa"/>
            <w:tcBorders>
              <w:top w:val="nil"/>
              <w:left w:val="nil"/>
              <w:bottom w:val="nil"/>
              <w:right w:val="nil"/>
            </w:tcBorders>
            <w:vAlign w:val="center"/>
          </w:tcPr>
          <w:p w14:paraId="3684711D">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2051</w:t>
            </w:r>
          </w:p>
        </w:tc>
        <w:tc>
          <w:tcPr>
            <w:tcW w:w="2430" w:type="dxa"/>
            <w:tcBorders>
              <w:top w:val="nil"/>
              <w:left w:val="nil"/>
              <w:bottom w:val="nil"/>
              <w:right w:val="nil"/>
            </w:tcBorders>
            <w:vAlign w:val="center"/>
          </w:tcPr>
          <w:p w14:paraId="11F43D6E">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82585.03973</w:t>
            </w:r>
          </w:p>
        </w:tc>
        <w:tc>
          <w:tcPr>
            <w:tcW w:w="0" w:type="auto"/>
            <w:tcBorders>
              <w:top w:val="nil"/>
              <w:left w:val="nil"/>
              <w:bottom w:val="nil"/>
              <w:right w:val="nil"/>
            </w:tcBorders>
            <w:noWrap/>
            <w:vAlign w:val="center"/>
          </w:tcPr>
          <w:p w14:paraId="61E55AE8">
            <w:pPr>
              <w:widowControl/>
              <w:ind w:firstLine="0" w:firstLineChars="0"/>
              <w:jc w:val="center"/>
              <w:textAlignment w:val="center"/>
              <w:rPr>
                <w:color w:val="000000"/>
                <w:sz w:val="22"/>
              </w:rPr>
            </w:pPr>
            <w:r>
              <w:rPr>
                <w:color w:val="000000"/>
                <w:kern w:val="0"/>
                <w:sz w:val="22"/>
              </w:rPr>
              <w:t>132598.2</w:t>
            </w:r>
          </w:p>
        </w:tc>
        <w:tc>
          <w:tcPr>
            <w:tcW w:w="0" w:type="auto"/>
            <w:tcBorders>
              <w:top w:val="nil"/>
              <w:left w:val="nil"/>
              <w:bottom w:val="nil"/>
              <w:right w:val="nil"/>
            </w:tcBorders>
            <w:noWrap/>
            <w:vAlign w:val="bottom"/>
          </w:tcPr>
          <w:p w14:paraId="36DD6E18">
            <w:pPr>
              <w:widowControl/>
              <w:ind w:firstLine="0" w:firstLineChars="0"/>
              <w:jc w:val="center"/>
              <w:textAlignment w:val="bottom"/>
              <w:rPr>
                <w:color w:val="000000"/>
                <w:sz w:val="22"/>
              </w:rPr>
            </w:pPr>
            <w:r>
              <w:rPr>
                <w:color w:val="000000"/>
                <w:kern w:val="0"/>
                <w:sz w:val="22"/>
              </w:rPr>
              <w:t>355955.8384</w:t>
            </w:r>
          </w:p>
        </w:tc>
      </w:tr>
      <w:tr w14:paraId="7D1328EC">
        <w:tblPrEx>
          <w:tblCellMar>
            <w:top w:w="0" w:type="dxa"/>
            <w:left w:w="108" w:type="dxa"/>
            <w:bottom w:w="0" w:type="dxa"/>
            <w:right w:w="108" w:type="dxa"/>
          </w:tblCellMar>
        </w:tblPrEx>
        <w:trPr>
          <w:trHeight w:val="290" w:hRule="atLeast"/>
        </w:trPr>
        <w:tc>
          <w:tcPr>
            <w:tcW w:w="960" w:type="dxa"/>
            <w:tcBorders>
              <w:top w:val="nil"/>
              <w:left w:val="nil"/>
              <w:bottom w:val="nil"/>
              <w:right w:val="nil"/>
            </w:tcBorders>
            <w:vAlign w:val="center"/>
          </w:tcPr>
          <w:p w14:paraId="7DE5CC7A">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2052</w:t>
            </w:r>
          </w:p>
        </w:tc>
        <w:tc>
          <w:tcPr>
            <w:tcW w:w="2430" w:type="dxa"/>
            <w:tcBorders>
              <w:top w:val="nil"/>
              <w:left w:val="nil"/>
              <w:bottom w:val="nil"/>
              <w:right w:val="nil"/>
            </w:tcBorders>
            <w:vAlign w:val="center"/>
          </w:tcPr>
          <w:p w14:paraId="73E2554F">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79610.96492</w:t>
            </w:r>
          </w:p>
        </w:tc>
        <w:tc>
          <w:tcPr>
            <w:tcW w:w="0" w:type="auto"/>
            <w:tcBorders>
              <w:top w:val="nil"/>
              <w:left w:val="nil"/>
              <w:bottom w:val="nil"/>
              <w:right w:val="nil"/>
            </w:tcBorders>
            <w:noWrap/>
            <w:vAlign w:val="center"/>
          </w:tcPr>
          <w:p w14:paraId="4CEFB49B">
            <w:pPr>
              <w:widowControl/>
              <w:ind w:firstLine="0" w:firstLineChars="0"/>
              <w:jc w:val="center"/>
              <w:textAlignment w:val="center"/>
              <w:rPr>
                <w:color w:val="000000"/>
                <w:sz w:val="22"/>
              </w:rPr>
            </w:pPr>
            <w:r>
              <w:rPr>
                <w:color w:val="000000"/>
                <w:kern w:val="0"/>
                <w:sz w:val="22"/>
              </w:rPr>
              <w:t>128972.6</w:t>
            </w:r>
          </w:p>
        </w:tc>
        <w:tc>
          <w:tcPr>
            <w:tcW w:w="0" w:type="auto"/>
            <w:tcBorders>
              <w:top w:val="nil"/>
              <w:left w:val="nil"/>
              <w:bottom w:val="nil"/>
              <w:right w:val="nil"/>
            </w:tcBorders>
            <w:noWrap/>
            <w:vAlign w:val="bottom"/>
          </w:tcPr>
          <w:p w14:paraId="22F0705B">
            <w:pPr>
              <w:widowControl/>
              <w:ind w:firstLine="0" w:firstLineChars="0"/>
              <w:jc w:val="center"/>
              <w:textAlignment w:val="bottom"/>
              <w:rPr>
                <w:color w:val="000000"/>
                <w:sz w:val="22"/>
              </w:rPr>
            </w:pPr>
            <w:r>
              <w:rPr>
                <w:color w:val="000000"/>
                <w:kern w:val="0"/>
                <w:sz w:val="22"/>
              </w:rPr>
              <w:t>359764.5313</w:t>
            </w:r>
          </w:p>
        </w:tc>
      </w:tr>
      <w:tr w14:paraId="2D89E419">
        <w:tblPrEx>
          <w:tblCellMar>
            <w:top w:w="0" w:type="dxa"/>
            <w:left w:w="108" w:type="dxa"/>
            <w:bottom w:w="0" w:type="dxa"/>
            <w:right w:w="108" w:type="dxa"/>
          </w:tblCellMar>
        </w:tblPrEx>
        <w:trPr>
          <w:trHeight w:val="290" w:hRule="atLeast"/>
        </w:trPr>
        <w:tc>
          <w:tcPr>
            <w:tcW w:w="960" w:type="dxa"/>
            <w:tcBorders>
              <w:top w:val="nil"/>
              <w:left w:val="nil"/>
              <w:bottom w:val="nil"/>
              <w:right w:val="nil"/>
            </w:tcBorders>
            <w:vAlign w:val="center"/>
          </w:tcPr>
          <w:p w14:paraId="6315EC14">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2053</w:t>
            </w:r>
          </w:p>
        </w:tc>
        <w:tc>
          <w:tcPr>
            <w:tcW w:w="2430" w:type="dxa"/>
            <w:tcBorders>
              <w:top w:val="nil"/>
              <w:left w:val="nil"/>
              <w:bottom w:val="nil"/>
              <w:right w:val="nil"/>
            </w:tcBorders>
            <w:vAlign w:val="center"/>
          </w:tcPr>
          <w:p w14:paraId="5B0EAF54">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75779.74726</w:t>
            </w:r>
          </w:p>
        </w:tc>
        <w:tc>
          <w:tcPr>
            <w:tcW w:w="0" w:type="auto"/>
            <w:tcBorders>
              <w:top w:val="nil"/>
              <w:left w:val="nil"/>
              <w:bottom w:val="nil"/>
              <w:right w:val="nil"/>
            </w:tcBorders>
            <w:noWrap/>
            <w:vAlign w:val="center"/>
          </w:tcPr>
          <w:p w14:paraId="5D691137">
            <w:pPr>
              <w:widowControl/>
              <w:ind w:firstLine="0" w:firstLineChars="0"/>
              <w:jc w:val="center"/>
              <w:textAlignment w:val="center"/>
              <w:rPr>
                <w:color w:val="000000"/>
                <w:sz w:val="22"/>
              </w:rPr>
            </w:pPr>
            <w:r>
              <w:rPr>
                <w:color w:val="000000"/>
                <w:kern w:val="0"/>
                <w:sz w:val="22"/>
              </w:rPr>
              <w:t>108972.1</w:t>
            </w:r>
          </w:p>
        </w:tc>
        <w:tc>
          <w:tcPr>
            <w:tcW w:w="0" w:type="auto"/>
            <w:tcBorders>
              <w:top w:val="nil"/>
              <w:left w:val="nil"/>
              <w:bottom w:val="nil"/>
              <w:right w:val="nil"/>
            </w:tcBorders>
            <w:noWrap/>
            <w:vAlign w:val="bottom"/>
          </w:tcPr>
          <w:p w14:paraId="22C653CF">
            <w:pPr>
              <w:widowControl/>
              <w:ind w:firstLine="0" w:firstLineChars="0"/>
              <w:jc w:val="center"/>
              <w:textAlignment w:val="bottom"/>
              <w:rPr>
                <w:color w:val="000000"/>
                <w:sz w:val="22"/>
              </w:rPr>
            </w:pPr>
            <w:r>
              <w:rPr>
                <w:color w:val="000000"/>
                <w:kern w:val="0"/>
                <w:sz w:val="22"/>
              </w:rPr>
              <w:t>360773.2241</w:t>
            </w:r>
          </w:p>
        </w:tc>
      </w:tr>
      <w:tr w14:paraId="6A6A7FA4">
        <w:tblPrEx>
          <w:tblCellMar>
            <w:top w:w="0" w:type="dxa"/>
            <w:left w:w="108" w:type="dxa"/>
            <w:bottom w:w="0" w:type="dxa"/>
            <w:right w:w="108" w:type="dxa"/>
          </w:tblCellMar>
        </w:tblPrEx>
        <w:trPr>
          <w:trHeight w:val="290" w:hRule="atLeast"/>
        </w:trPr>
        <w:tc>
          <w:tcPr>
            <w:tcW w:w="960" w:type="dxa"/>
            <w:tcBorders>
              <w:top w:val="nil"/>
              <w:left w:val="nil"/>
              <w:bottom w:val="nil"/>
              <w:right w:val="nil"/>
            </w:tcBorders>
            <w:vAlign w:val="center"/>
          </w:tcPr>
          <w:p w14:paraId="1E0059E4">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2054</w:t>
            </w:r>
          </w:p>
        </w:tc>
        <w:tc>
          <w:tcPr>
            <w:tcW w:w="2430" w:type="dxa"/>
            <w:tcBorders>
              <w:top w:val="nil"/>
              <w:left w:val="nil"/>
              <w:bottom w:val="nil"/>
              <w:right w:val="nil"/>
            </w:tcBorders>
            <w:vAlign w:val="center"/>
          </w:tcPr>
          <w:p w14:paraId="0E854C42">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71948.5296</w:t>
            </w:r>
          </w:p>
        </w:tc>
        <w:tc>
          <w:tcPr>
            <w:tcW w:w="0" w:type="auto"/>
            <w:tcBorders>
              <w:top w:val="nil"/>
              <w:left w:val="nil"/>
              <w:bottom w:val="nil"/>
              <w:right w:val="nil"/>
            </w:tcBorders>
            <w:noWrap/>
            <w:vAlign w:val="center"/>
          </w:tcPr>
          <w:p w14:paraId="2ACB3DF2">
            <w:pPr>
              <w:widowControl/>
              <w:ind w:firstLine="0" w:firstLineChars="0"/>
              <w:jc w:val="center"/>
              <w:textAlignment w:val="center"/>
              <w:rPr>
                <w:color w:val="000000"/>
                <w:sz w:val="22"/>
              </w:rPr>
            </w:pPr>
            <w:r>
              <w:rPr>
                <w:color w:val="000000"/>
                <w:kern w:val="0"/>
                <w:sz w:val="22"/>
              </w:rPr>
              <w:t>105563.2</w:t>
            </w:r>
          </w:p>
        </w:tc>
        <w:tc>
          <w:tcPr>
            <w:tcW w:w="0" w:type="auto"/>
            <w:tcBorders>
              <w:top w:val="nil"/>
              <w:left w:val="nil"/>
              <w:bottom w:val="nil"/>
              <w:right w:val="nil"/>
            </w:tcBorders>
            <w:noWrap/>
            <w:vAlign w:val="bottom"/>
          </w:tcPr>
          <w:p w14:paraId="521428B5">
            <w:pPr>
              <w:widowControl/>
              <w:ind w:firstLine="0" w:firstLineChars="0"/>
              <w:jc w:val="center"/>
              <w:textAlignment w:val="bottom"/>
              <w:rPr>
                <w:color w:val="000000"/>
                <w:sz w:val="22"/>
              </w:rPr>
            </w:pPr>
            <w:r>
              <w:rPr>
                <w:color w:val="000000"/>
                <w:kern w:val="0"/>
                <w:sz w:val="22"/>
              </w:rPr>
              <w:t>360839.0598</w:t>
            </w:r>
          </w:p>
        </w:tc>
      </w:tr>
      <w:tr w14:paraId="6C1482E5">
        <w:tblPrEx>
          <w:tblCellMar>
            <w:top w:w="0" w:type="dxa"/>
            <w:left w:w="108" w:type="dxa"/>
            <w:bottom w:w="0" w:type="dxa"/>
            <w:right w:w="108" w:type="dxa"/>
          </w:tblCellMar>
        </w:tblPrEx>
        <w:trPr>
          <w:trHeight w:val="290" w:hRule="atLeast"/>
        </w:trPr>
        <w:tc>
          <w:tcPr>
            <w:tcW w:w="960" w:type="dxa"/>
            <w:tcBorders>
              <w:top w:val="nil"/>
              <w:left w:val="nil"/>
              <w:bottom w:val="nil"/>
              <w:right w:val="nil"/>
            </w:tcBorders>
            <w:vAlign w:val="center"/>
          </w:tcPr>
          <w:p w14:paraId="12AFB942">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2055</w:t>
            </w:r>
          </w:p>
        </w:tc>
        <w:tc>
          <w:tcPr>
            <w:tcW w:w="2430" w:type="dxa"/>
            <w:tcBorders>
              <w:top w:val="nil"/>
              <w:left w:val="nil"/>
              <w:bottom w:val="nil"/>
              <w:right w:val="nil"/>
            </w:tcBorders>
            <w:vAlign w:val="center"/>
          </w:tcPr>
          <w:p w14:paraId="7A62C40F">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68117.31194</w:t>
            </w:r>
          </w:p>
        </w:tc>
        <w:tc>
          <w:tcPr>
            <w:tcW w:w="0" w:type="auto"/>
            <w:tcBorders>
              <w:top w:val="nil"/>
              <w:left w:val="nil"/>
              <w:bottom w:val="nil"/>
              <w:right w:val="nil"/>
            </w:tcBorders>
            <w:noWrap/>
            <w:vAlign w:val="center"/>
          </w:tcPr>
          <w:p w14:paraId="3A085E4C">
            <w:pPr>
              <w:widowControl/>
              <w:ind w:firstLine="0" w:firstLineChars="0"/>
              <w:jc w:val="center"/>
              <w:textAlignment w:val="center"/>
              <w:rPr>
                <w:color w:val="000000"/>
                <w:sz w:val="22"/>
              </w:rPr>
            </w:pPr>
            <w:r>
              <w:rPr>
                <w:color w:val="000000"/>
                <w:kern w:val="0"/>
                <w:sz w:val="22"/>
              </w:rPr>
              <w:t>95406.6</w:t>
            </w:r>
          </w:p>
        </w:tc>
        <w:tc>
          <w:tcPr>
            <w:tcW w:w="0" w:type="auto"/>
            <w:tcBorders>
              <w:top w:val="nil"/>
              <w:left w:val="nil"/>
              <w:bottom w:val="nil"/>
              <w:right w:val="nil"/>
            </w:tcBorders>
            <w:noWrap/>
            <w:vAlign w:val="bottom"/>
          </w:tcPr>
          <w:p w14:paraId="6E166458">
            <w:pPr>
              <w:widowControl/>
              <w:ind w:firstLine="0" w:firstLineChars="0"/>
              <w:jc w:val="center"/>
              <w:textAlignment w:val="bottom"/>
              <w:rPr>
                <w:color w:val="000000"/>
                <w:sz w:val="22"/>
              </w:rPr>
            </w:pPr>
            <w:r>
              <w:rPr>
                <w:color w:val="000000"/>
                <w:kern w:val="0"/>
                <w:sz w:val="22"/>
              </w:rPr>
              <w:t>360904.8955</w:t>
            </w:r>
          </w:p>
        </w:tc>
      </w:tr>
      <w:tr w14:paraId="411BEF03">
        <w:tblPrEx>
          <w:tblCellMar>
            <w:top w:w="0" w:type="dxa"/>
            <w:left w:w="108" w:type="dxa"/>
            <w:bottom w:w="0" w:type="dxa"/>
            <w:right w:w="108" w:type="dxa"/>
          </w:tblCellMar>
        </w:tblPrEx>
        <w:trPr>
          <w:trHeight w:val="290" w:hRule="atLeast"/>
        </w:trPr>
        <w:tc>
          <w:tcPr>
            <w:tcW w:w="960" w:type="dxa"/>
            <w:tcBorders>
              <w:top w:val="nil"/>
              <w:left w:val="nil"/>
              <w:bottom w:val="nil"/>
              <w:right w:val="nil"/>
            </w:tcBorders>
            <w:vAlign w:val="center"/>
          </w:tcPr>
          <w:p w14:paraId="69EE8001">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2056</w:t>
            </w:r>
          </w:p>
        </w:tc>
        <w:tc>
          <w:tcPr>
            <w:tcW w:w="2430" w:type="dxa"/>
            <w:tcBorders>
              <w:top w:val="nil"/>
              <w:left w:val="nil"/>
              <w:bottom w:val="nil"/>
              <w:right w:val="nil"/>
            </w:tcBorders>
            <w:vAlign w:val="center"/>
          </w:tcPr>
          <w:p w14:paraId="7DB18718">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64286.09428</w:t>
            </w:r>
          </w:p>
        </w:tc>
        <w:tc>
          <w:tcPr>
            <w:tcW w:w="0" w:type="auto"/>
            <w:tcBorders>
              <w:top w:val="nil"/>
              <w:left w:val="nil"/>
              <w:bottom w:val="nil"/>
              <w:right w:val="nil"/>
            </w:tcBorders>
            <w:noWrap/>
            <w:vAlign w:val="center"/>
          </w:tcPr>
          <w:p w14:paraId="1E9890AB">
            <w:pPr>
              <w:widowControl/>
              <w:ind w:firstLine="0" w:firstLineChars="0"/>
              <w:jc w:val="center"/>
              <w:textAlignment w:val="center"/>
              <w:rPr>
                <w:color w:val="000000"/>
                <w:sz w:val="22"/>
              </w:rPr>
            </w:pPr>
            <w:r>
              <w:rPr>
                <w:color w:val="000000"/>
                <w:kern w:val="0"/>
                <w:sz w:val="22"/>
              </w:rPr>
              <w:t>85807.2</w:t>
            </w:r>
          </w:p>
        </w:tc>
        <w:tc>
          <w:tcPr>
            <w:tcW w:w="0" w:type="auto"/>
            <w:tcBorders>
              <w:top w:val="nil"/>
              <w:left w:val="nil"/>
              <w:bottom w:val="nil"/>
              <w:right w:val="nil"/>
            </w:tcBorders>
            <w:noWrap/>
            <w:vAlign w:val="bottom"/>
          </w:tcPr>
          <w:p w14:paraId="5DF2A7CB">
            <w:pPr>
              <w:widowControl/>
              <w:ind w:firstLine="0" w:firstLineChars="0"/>
              <w:jc w:val="center"/>
              <w:textAlignment w:val="bottom"/>
              <w:rPr>
                <w:color w:val="000000"/>
                <w:sz w:val="22"/>
              </w:rPr>
            </w:pPr>
            <w:r>
              <w:rPr>
                <w:color w:val="000000"/>
                <w:kern w:val="0"/>
                <w:sz w:val="22"/>
              </w:rPr>
              <w:t>361070.7312</w:t>
            </w:r>
          </w:p>
        </w:tc>
      </w:tr>
      <w:tr w14:paraId="547B3AC8">
        <w:tblPrEx>
          <w:tblCellMar>
            <w:top w:w="0" w:type="dxa"/>
            <w:left w:w="108" w:type="dxa"/>
            <w:bottom w:w="0" w:type="dxa"/>
            <w:right w:w="108" w:type="dxa"/>
          </w:tblCellMar>
        </w:tblPrEx>
        <w:trPr>
          <w:trHeight w:val="290" w:hRule="atLeast"/>
        </w:trPr>
        <w:tc>
          <w:tcPr>
            <w:tcW w:w="960" w:type="dxa"/>
            <w:tcBorders>
              <w:top w:val="nil"/>
              <w:left w:val="nil"/>
              <w:bottom w:val="nil"/>
              <w:right w:val="nil"/>
            </w:tcBorders>
            <w:vAlign w:val="center"/>
          </w:tcPr>
          <w:p w14:paraId="67AD1EE1">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2057</w:t>
            </w:r>
          </w:p>
        </w:tc>
        <w:tc>
          <w:tcPr>
            <w:tcW w:w="2430" w:type="dxa"/>
            <w:tcBorders>
              <w:top w:val="nil"/>
              <w:left w:val="nil"/>
              <w:bottom w:val="nil"/>
              <w:right w:val="nil"/>
            </w:tcBorders>
            <w:vAlign w:val="center"/>
          </w:tcPr>
          <w:p w14:paraId="778680F1">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60454.87662</w:t>
            </w:r>
          </w:p>
        </w:tc>
        <w:tc>
          <w:tcPr>
            <w:tcW w:w="0" w:type="auto"/>
            <w:tcBorders>
              <w:top w:val="nil"/>
              <w:left w:val="nil"/>
              <w:bottom w:val="nil"/>
              <w:right w:val="nil"/>
            </w:tcBorders>
            <w:noWrap/>
            <w:vAlign w:val="center"/>
          </w:tcPr>
          <w:p w14:paraId="7E0D8A45">
            <w:pPr>
              <w:widowControl/>
              <w:ind w:firstLine="0" w:firstLineChars="0"/>
              <w:jc w:val="center"/>
              <w:textAlignment w:val="center"/>
              <w:rPr>
                <w:color w:val="000000"/>
                <w:sz w:val="22"/>
              </w:rPr>
            </w:pPr>
            <w:r>
              <w:rPr>
                <w:color w:val="000000"/>
                <w:kern w:val="0"/>
                <w:sz w:val="22"/>
              </w:rPr>
              <w:t>73406.5</w:t>
            </w:r>
          </w:p>
        </w:tc>
        <w:tc>
          <w:tcPr>
            <w:tcW w:w="0" w:type="auto"/>
            <w:tcBorders>
              <w:top w:val="nil"/>
              <w:left w:val="nil"/>
              <w:bottom w:val="nil"/>
              <w:right w:val="nil"/>
            </w:tcBorders>
            <w:noWrap/>
            <w:vAlign w:val="bottom"/>
          </w:tcPr>
          <w:p w14:paraId="687E687C">
            <w:pPr>
              <w:widowControl/>
              <w:ind w:firstLine="0" w:firstLineChars="0"/>
              <w:jc w:val="center"/>
              <w:textAlignment w:val="bottom"/>
              <w:rPr>
                <w:color w:val="000000"/>
                <w:sz w:val="22"/>
              </w:rPr>
            </w:pPr>
            <w:r>
              <w:rPr>
                <w:color w:val="000000"/>
                <w:kern w:val="0"/>
                <w:sz w:val="22"/>
              </w:rPr>
              <w:t>362157.9955</w:t>
            </w:r>
          </w:p>
        </w:tc>
      </w:tr>
      <w:tr w14:paraId="35CC104B">
        <w:tblPrEx>
          <w:tblCellMar>
            <w:top w:w="0" w:type="dxa"/>
            <w:left w:w="108" w:type="dxa"/>
            <w:bottom w:w="0" w:type="dxa"/>
            <w:right w:w="108" w:type="dxa"/>
          </w:tblCellMar>
        </w:tblPrEx>
        <w:trPr>
          <w:trHeight w:val="290" w:hRule="atLeast"/>
        </w:trPr>
        <w:tc>
          <w:tcPr>
            <w:tcW w:w="960" w:type="dxa"/>
            <w:tcBorders>
              <w:top w:val="nil"/>
              <w:left w:val="nil"/>
              <w:bottom w:val="nil"/>
              <w:right w:val="nil"/>
            </w:tcBorders>
            <w:vAlign w:val="center"/>
          </w:tcPr>
          <w:p w14:paraId="168AED6A">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2058</w:t>
            </w:r>
          </w:p>
        </w:tc>
        <w:tc>
          <w:tcPr>
            <w:tcW w:w="2430" w:type="dxa"/>
            <w:tcBorders>
              <w:top w:val="nil"/>
              <w:left w:val="nil"/>
              <w:bottom w:val="nil"/>
              <w:right w:val="nil"/>
            </w:tcBorders>
            <w:vAlign w:val="center"/>
          </w:tcPr>
          <w:p w14:paraId="6AC2BE6B">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56623.65895</w:t>
            </w:r>
          </w:p>
        </w:tc>
        <w:tc>
          <w:tcPr>
            <w:tcW w:w="0" w:type="auto"/>
            <w:tcBorders>
              <w:top w:val="nil"/>
              <w:left w:val="nil"/>
              <w:bottom w:val="nil"/>
              <w:right w:val="nil"/>
            </w:tcBorders>
            <w:noWrap/>
            <w:vAlign w:val="center"/>
          </w:tcPr>
          <w:p w14:paraId="4C0FF094">
            <w:pPr>
              <w:widowControl/>
              <w:ind w:firstLine="0" w:firstLineChars="0"/>
              <w:jc w:val="center"/>
              <w:textAlignment w:val="center"/>
              <w:rPr>
                <w:color w:val="000000"/>
                <w:sz w:val="22"/>
              </w:rPr>
            </w:pPr>
            <w:r>
              <w:rPr>
                <w:color w:val="000000"/>
                <w:kern w:val="0"/>
                <w:sz w:val="22"/>
              </w:rPr>
              <w:t>70806.6</w:t>
            </w:r>
          </w:p>
        </w:tc>
        <w:tc>
          <w:tcPr>
            <w:tcW w:w="0" w:type="auto"/>
            <w:tcBorders>
              <w:top w:val="nil"/>
              <w:left w:val="nil"/>
              <w:bottom w:val="nil"/>
              <w:right w:val="nil"/>
            </w:tcBorders>
            <w:noWrap/>
            <w:vAlign w:val="bottom"/>
          </w:tcPr>
          <w:p w14:paraId="1A8D3236">
            <w:pPr>
              <w:widowControl/>
              <w:ind w:firstLine="0" w:firstLineChars="0"/>
              <w:jc w:val="center"/>
              <w:textAlignment w:val="bottom"/>
              <w:rPr>
                <w:color w:val="000000"/>
                <w:sz w:val="22"/>
              </w:rPr>
            </w:pPr>
            <w:r>
              <w:rPr>
                <w:color w:val="000000"/>
                <w:kern w:val="0"/>
                <w:sz w:val="22"/>
              </w:rPr>
              <w:t>362422.4027</w:t>
            </w:r>
          </w:p>
        </w:tc>
      </w:tr>
      <w:tr w14:paraId="4A7C5B43">
        <w:tblPrEx>
          <w:tblCellMar>
            <w:top w:w="0" w:type="dxa"/>
            <w:left w:w="108" w:type="dxa"/>
            <w:bottom w:w="0" w:type="dxa"/>
            <w:right w:w="108" w:type="dxa"/>
          </w:tblCellMar>
        </w:tblPrEx>
        <w:trPr>
          <w:trHeight w:val="290" w:hRule="atLeast"/>
        </w:trPr>
        <w:tc>
          <w:tcPr>
            <w:tcW w:w="960" w:type="dxa"/>
            <w:tcBorders>
              <w:top w:val="nil"/>
              <w:left w:val="nil"/>
              <w:bottom w:val="nil"/>
              <w:right w:val="nil"/>
            </w:tcBorders>
            <w:vAlign w:val="center"/>
          </w:tcPr>
          <w:p w14:paraId="7099DC71">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2059</w:t>
            </w:r>
          </w:p>
        </w:tc>
        <w:tc>
          <w:tcPr>
            <w:tcW w:w="2430" w:type="dxa"/>
            <w:tcBorders>
              <w:top w:val="nil"/>
              <w:left w:val="nil"/>
              <w:bottom w:val="nil"/>
              <w:right w:val="nil"/>
            </w:tcBorders>
            <w:vAlign w:val="center"/>
          </w:tcPr>
          <w:p w14:paraId="59AADB07">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52792.44129</w:t>
            </w:r>
          </w:p>
        </w:tc>
        <w:tc>
          <w:tcPr>
            <w:tcW w:w="0" w:type="auto"/>
            <w:tcBorders>
              <w:top w:val="nil"/>
              <w:left w:val="nil"/>
              <w:bottom w:val="nil"/>
              <w:right w:val="nil"/>
            </w:tcBorders>
            <w:noWrap/>
            <w:vAlign w:val="center"/>
          </w:tcPr>
          <w:p w14:paraId="0AA17EAD">
            <w:pPr>
              <w:widowControl/>
              <w:ind w:firstLine="0" w:firstLineChars="0"/>
              <w:jc w:val="center"/>
              <w:textAlignment w:val="center"/>
              <w:rPr>
                <w:color w:val="000000"/>
                <w:sz w:val="22"/>
              </w:rPr>
            </w:pPr>
            <w:r>
              <w:rPr>
                <w:color w:val="000000"/>
                <w:kern w:val="0"/>
                <w:sz w:val="22"/>
              </w:rPr>
              <w:t>65600.8</w:t>
            </w:r>
          </w:p>
        </w:tc>
        <w:tc>
          <w:tcPr>
            <w:tcW w:w="0" w:type="auto"/>
            <w:tcBorders>
              <w:top w:val="nil"/>
              <w:left w:val="nil"/>
              <w:bottom w:val="nil"/>
              <w:right w:val="nil"/>
            </w:tcBorders>
            <w:noWrap/>
            <w:vAlign w:val="bottom"/>
          </w:tcPr>
          <w:p w14:paraId="7085723C">
            <w:pPr>
              <w:widowControl/>
              <w:ind w:firstLine="0" w:firstLineChars="0"/>
              <w:jc w:val="center"/>
              <w:textAlignment w:val="bottom"/>
              <w:rPr>
                <w:color w:val="000000"/>
                <w:sz w:val="22"/>
              </w:rPr>
            </w:pPr>
            <w:r>
              <w:rPr>
                <w:color w:val="000000"/>
                <w:kern w:val="0"/>
                <w:sz w:val="22"/>
              </w:rPr>
              <w:t>364408.278</w:t>
            </w:r>
          </w:p>
        </w:tc>
      </w:tr>
      <w:tr w14:paraId="51A0A66E">
        <w:tblPrEx>
          <w:tblCellMar>
            <w:top w:w="0" w:type="dxa"/>
            <w:left w:w="108" w:type="dxa"/>
            <w:bottom w:w="0" w:type="dxa"/>
            <w:right w:w="108" w:type="dxa"/>
          </w:tblCellMar>
        </w:tblPrEx>
        <w:trPr>
          <w:trHeight w:val="290" w:hRule="atLeast"/>
        </w:trPr>
        <w:tc>
          <w:tcPr>
            <w:tcW w:w="960" w:type="dxa"/>
            <w:tcBorders>
              <w:top w:val="nil"/>
              <w:left w:val="nil"/>
              <w:bottom w:val="nil"/>
              <w:right w:val="nil"/>
            </w:tcBorders>
            <w:vAlign w:val="center"/>
          </w:tcPr>
          <w:p w14:paraId="1FC5EFBC">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2060</w:t>
            </w:r>
          </w:p>
        </w:tc>
        <w:tc>
          <w:tcPr>
            <w:tcW w:w="2430" w:type="dxa"/>
            <w:tcBorders>
              <w:top w:val="nil"/>
              <w:left w:val="nil"/>
              <w:bottom w:val="nil"/>
              <w:right w:val="nil"/>
            </w:tcBorders>
            <w:vAlign w:val="center"/>
          </w:tcPr>
          <w:p w14:paraId="078AC356">
            <w:pPr>
              <w:widowControl/>
              <w:ind w:firstLine="0" w:firstLineChars="0"/>
              <w:jc w:val="center"/>
              <w:textAlignment w:val="center"/>
              <w:rPr>
                <w:rFonts w:eastAsia="微软雅黑"/>
                <w:color w:val="000000"/>
                <w:sz w:val="20"/>
                <w:szCs w:val="20"/>
              </w:rPr>
            </w:pPr>
            <w:r>
              <w:rPr>
                <w:rFonts w:eastAsia="微软雅黑"/>
                <w:color w:val="000000"/>
                <w:kern w:val="0"/>
                <w:sz w:val="20"/>
                <w:szCs w:val="20"/>
              </w:rPr>
              <w:t>48961.22363</w:t>
            </w:r>
          </w:p>
        </w:tc>
        <w:tc>
          <w:tcPr>
            <w:tcW w:w="0" w:type="auto"/>
            <w:tcBorders>
              <w:top w:val="nil"/>
              <w:left w:val="nil"/>
              <w:bottom w:val="nil"/>
              <w:right w:val="nil"/>
            </w:tcBorders>
            <w:noWrap/>
            <w:vAlign w:val="center"/>
          </w:tcPr>
          <w:p w14:paraId="71746B05">
            <w:pPr>
              <w:widowControl/>
              <w:ind w:firstLine="0" w:firstLineChars="0"/>
              <w:jc w:val="center"/>
              <w:textAlignment w:val="center"/>
              <w:rPr>
                <w:color w:val="000000"/>
                <w:sz w:val="22"/>
              </w:rPr>
            </w:pPr>
            <w:r>
              <w:rPr>
                <w:color w:val="000000"/>
                <w:kern w:val="0"/>
                <w:sz w:val="22"/>
              </w:rPr>
              <w:t>51506.8</w:t>
            </w:r>
          </w:p>
        </w:tc>
        <w:tc>
          <w:tcPr>
            <w:tcW w:w="0" w:type="auto"/>
            <w:tcBorders>
              <w:top w:val="nil"/>
              <w:left w:val="nil"/>
              <w:bottom w:val="nil"/>
              <w:right w:val="nil"/>
            </w:tcBorders>
            <w:noWrap/>
            <w:vAlign w:val="bottom"/>
          </w:tcPr>
          <w:p w14:paraId="1A3A822D">
            <w:pPr>
              <w:widowControl/>
              <w:ind w:firstLine="0" w:firstLineChars="0"/>
              <w:jc w:val="center"/>
              <w:textAlignment w:val="bottom"/>
              <w:rPr>
                <w:color w:val="000000"/>
                <w:sz w:val="22"/>
              </w:rPr>
            </w:pPr>
            <w:r>
              <w:rPr>
                <w:color w:val="000000"/>
                <w:kern w:val="0"/>
                <w:sz w:val="22"/>
              </w:rPr>
              <w:t>365342.4709</w:t>
            </w:r>
          </w:p>
        </w:tc>
      </w:tr>
    </w:tbl>
    <w:p w14:paraId="1B1D98A3">
      <w:pPr>
        <w:ind w:firstLine="0" w:firstLineChars="0"/>
        <w:rPr>
          <w:rFonts w:eastAsia="方正书宋_GBK"/>
          <w:color w:val="000000"/>
          <w:kern w:val="0"/>
          <w:sz w:val="20"/>
          <w:szCs w:val="20"/>
        </w:rPr>
      </w:pPr>
      <w:r>
        <w:rPr>
          <w:rFonts w:eastAsia="方正书宋_GBK"/>
          <w:color w:val="000000"/>
          <w:kern w:val="0"/>
          <w:sz w:val="20"/>
          <w:szCs w:val="20"/>
        </w:rPr>
        <w:t xml:space="preserve"> </w:t>
      </w:r>
    </w:p>
    <w:p w14:paraId="5F11428F">
      <w:pPr>
        <w:ind w:firstLine="480"/>
        <w:rPr>
          <w:szCs w:val="36"/>
        </w:rPr>
      </w:pPr>
    </w:p>
    <w:p w14:paraId="3433496F">
      <w:pPr>
        <w:ind w:firstLine="480"/>
        <w:rPr>
          <w:szCs w:val="36"/>
        </w:rPr>
      </w:pPr>
    </w:p>
    <w:p w14:paraId="2E94E6DD">
      <w:pPr>
        <w:ind w:firstLine="480"/>
        <w:rPr>
          <w:szCs w:val="36"/>
        </w:rPr>
      </w:pPr>
    </w:p>
    <w:p w14:paraId="21698753">
      <w:pPr>
        <w:ind w:firstLine="480"/>
        <w:rPr>
          <w:szCs w:val="36"/>
        </w:rPr>
      </w:pPr>
    </w:p>
    <w:p w14:paraId="6879493A">
      <w:pPr>
        <w:ind w:firstLine="480"/>
        <w:rPr>
          <w:szCs w:val="36"/>
        </w:rPr>
      </w:pPr>
    </w:p>
    <w:p w14:paraId="0FFB1A41">
      <w:pPr>
        <w:ind w:firstLine="480"/>
        <w:rPr>
          <w:szCs w:val="36"/>
        </w:rPr>
      </w:pPr>
    </w:p>
    <w:p w14:paraId="2F2ADD79">
      <w:pPr>
        <w:ind w:firstLine="480"/>
        <w:rPr>
          <w:szCs w:val="36"/>
        </w:rPr>
      </w:pPr>
    </w:p>
    <w:p w14:paraId="1A7F24BB">
      <w:pPr>
        <w:ind w:firstLine="480"/>
        <w:rPr>
          <w:szCs w:val="36"/>
        </w:rPr>
      </w:pPr>
    </w:p>
    <w:p w14:paraId="1AB0CF23">
      <w:pPr>
        <w:ind w:firstLine="480"/>
        <w:rPr>
          <w:szCs w:val="36"/>
        </w:rPr>
      </w:pPr>
    </w:p>
    <w:p w14:paraId="0C0723D8">
      <w:pPr>
        <w:ind w:firstLine="480"/>
        <w:rPr>
          <w:szCs w:val="36"/>
        </w:rPr>
      </w:pPr>
    </w:p>
    <w:p w14:paraId="08F6DCCE">
      <w:pPr>
        <w:ind w:firstLine="480"/>
        <w:rPr>
          <w:szCs w:val="36"/>
        </w:rPr>
      </w:pPr>
    </w:p>
    <w:p w14:paraId="01817B52">
      <w:pPr>
        <w:ind w:firstLine="480"/>
        <w:rPr>
          <w:szCs w:val="36"/>
        </w:rPr>
      </w:pPr>
    </w:p>
    <w:p w14:paraId="5F6499E8">
      <w:pPr>
        <w:ind w:firstLine="480"/>
        <w:rPr>
          <w:szCs w:val="36"/>
        </w:rPr>
      </w:pPr>
    </w:p>
    <w:p w14:paraId="31713E10">
      <w:pPr>
        <w:ind w:firstLine="480"/>
        <w:rPr>
          <w:szCs w:val="36"/>
        </w:rPr>
      </w:pPr>
    </w:p>
    <w:p w14:paraId="6066B684">
      <w:pPr>
        <w:ind w:firstLine="480"/>
        <w:rPr>
          <w:szCs w:val="36"/>
        </w:rPr>
      </w:pPr>
    </w:p>
    <w:p w14:paraId="5F74C376">
      <w:pPr>
        <w:ind w:firstLine="480"/>
        <w:rPr>
          <w:szCs w:val="36"/>
        </w:rPr>
      </w:pPr>
    </w:p>
    <w:p w14:paraId="1D7B7A15">
      <w:pPr>
        <w:ind w:firstLine="480"/>
        <w:rPr>
          <w:szCs w:val="36"/>
        </w:rPr>
      </w:pPr>
    </w:p>
    <w:p w14:paraId="250746E8">
      <w:pPr>
        <w:ind w:firstLine="480"/>
        <w:rPr>
          <w:szCs w:val="36"/>
        </w:rPr>
      </w:pPr>
    </w:p>
    <w:p w14:paraId="2337EC81">
      <w:pPr>
        <w:ind w:firstLine="480"/>
        <w:rPr>
          <w:szCs w:val="36"/>
        </w:rPr>
      </w:pPr>
    </w:p>
    <w:p w14:paraId="3378C983">
      <w:pPr>
        <w:ind w:firstLine="480"/>
        <w:rPr>
          <w:szCs w:val="36"/>
        </w:rPr>
      </w:pPr>
    </w:p>
    <w:p w14:paraId="3BD7665B">
      <w:pPr>
        <w:ind w:firstLine="480"/>
        <w:rPr>
          <w:szCs w:val="36"/>
        </w:rPr>
      </w:pPr>
    </w:p>
    <w:p w14:paraId="517E7AA3">
      <w:pPr>
        <w:ind w:firstLine="480"/>
        <w:rPr>
          <w:szCs w:val="36"/>
        </w:rPr>
      </w:pPr>
    </w:p>
    <w:sectPr>
      <w:footerReference r:id="rId11" w:type="first"/>
      <w:pgSz w:w="11906" w:h="16838"/>
      <w:pgMar w:top="1702" w:right="1274" w:bottom="993" w:left="1276" w:header="851" w:footer="992" w:gutter="0"/>
      <w:pgNumType w:start="1"/>
      <w:cols w:space="720"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隶书">
    <w:panose1 w:val="02010509060101010101"/>
    <w:charset w:val="86"/>
    <w:family w:val="modern"/>
    <w:pitch w:val="default"/>
    <w:sig w:usb0="00000001" w:usb1="080E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variable"/>
    <w:sig w:usb0="A00006FF" w:usb1="4000205B" w:usb2="00000010" w:usb3="00000000" w:csb0="2000019F" w:csb1="00000000"/>
  </w:font>
  <w:font w:name="Microsoft JhengHei UI Light">
    <w:panose1 w:val="020B0304030504040204"/>
    <w:charset w:val="88"/>
    <w:family w:val="swiss"/>
    <w:pitch w:val="variable"/>
    <w:sig w:usb0="800002A7" w:usb1="28CF4400" w:usb2="00000016" w:usb3="00000000" w:csb0="00100009" w:csb1="00000000"/>
  </w:font>
  <w:font w:name="MS Gothic">
    <w:panose1 w:val="020B0609070205080204"/>
    <w:charset w:val="80"/>
    <w:family w:val="modern"/>
    <w:pitch w:val="default"/>
    <w:sig w:usb0="E00002FF" w:usb1="6AC7FDFB" w:usb2="08000012" w:usb3="00000000" w:csb0="4002009F" w:csb1="DFD70000"/>
  </w:font>
  <w:font w:name="方正书宋_GBK">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3A95D">
    <w:pPr>
      <w:pStyle w:val="12"/>
      <w:ind w:firstLine="0" w:firstLineChars="0"/>
      <w:jc w:val="center"/>
    </w:pPr>
    <w:r>
      <w:fldChar w:fldCharType="begin"/>
    </w:r>
    <w:r>
      <w:instrText xml:space="preserve">PAGE   \* MERGEFORMAT</w:instrText>
    </w:r>
    <w:r>
      <w:fldChar w:fldCharType="separate"/>
    </w:r>
    <w:r>
      <w:rPr>
        <w:lang w:val="zh-CN"/>
      </w:rPr>
      <w:t>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C2242C">
    <w:pPr>
      <w:pStyle w:val="1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0C66A">
    <w:pPr>
      <w:pStyle w:val="12"/>
      <w:ind w:firstLine="360"/>
      <w:jc w:val="center"/>
    </w:pPr>
  </w:p>
  <w:p w14:paraId="775890DE">
    <w:pPr>
      <w:pStyle w:val="12"/>
      <w:ind w:firstLine="360"/>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49165182"/>
    </w:sdtPr>
    <w:sdtContent>
      <w:p w14:paraId="60185F13">
        <w:pPr>
          <w:pStyle w:val="12"/>
          <w:ind w:firstLine="360"/>
          <w:jc w:val="center"/>
        </w:pPr>
        <w:r>
          <w:fldChar w:fldCharType="begin"/>
        </w:r>
        <w:r>
          <w:instrText xml:space="preserve">PAGE   \* MERGEFORMAT</w:instrText>
        </w:r>
        <w:r>
          <w:fldChar w:fldCharType="separate"/>
        </w:r>
        <w:r>
          <w:rPr>
            <w:lang w:val="zh-CN"/>
          </w:rPr>
          <w:t>2</w:t>
        </w:r>
        <w:r>
          <w:fldChar w:fldCharType="end"/>
        </w:r>
      </w:p>
    </w:sdtContent>
  </w:sdt>
  <w:p w14:paraId="22045224">
    <w:pPr>
      <w:pStyle w:val="12"/>
      <w:ind w:firstLine="36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C7CA77">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43EFC">
    <w:pPr>
      <w:pStyle w:val="1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552FC9">
    <w:pPr>
      <w:ind w:firstLine="48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163"/>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s>
  <w:rsids>
    <w:rsidRoot w:val="00705B69"/>
    <w:rsid w:val="0000174B"/>
    <w:rsid w:val="0000186C"/>
    <w:rsid w:val="000024EC"/>
    <w:rsid w:val="00004AD5"/>
    <w:rsid w:val="00004DC4"/>
    <w:rsid w:val="00005361"/>
    <w:rsid w:val="00005EF0"/>
    <w:rsid w:val="00006BD6"/>
    <w:rsid w:val="00006CD4"/>
    <w:rsid w:val="00010923"/>
    <w:rsid w:val="00011669"/>
    <w:rsid w:val="00012970"/>
    <w:rsid w:val="000134EA"/>
    <w:rsid w:val="00014077"/>
    <w:rsid w:val="0001414A"/>
    <w:rsid w:val="00014863"/>
    <w:rsid w:val="00017727"/>
    <w:rsid w:val="0001779E"/>
    <w:rsid w:val="00017A24"/>
    <w:rsid w:val="00017D52"/>
    <w:rsid w:val="0002079C"/>
    <w:rsid w:val="00021C0F"/>
    <w:rsid w:val="00021DD7"/>
    <w:rsid w:val="00022556"/>
    <w:rsid w:val="000231BD"/>
    <w:rsid w:val="00023B4E"/>
    <w:rsid w:val="000253FD"/>
    <w:rsid w:val="0002574D"/>
    <w:rsid w:val="00026BB1"/>
    <w:rsid w:val="000309D0"/>
    <w:rsid w:val="00032685"/>
    <w:rsid w:val="0003540D"/>
    <w:rsid w:val="00040319"/>
    <w:rsid w:val="00040E72"/>
    <w:rsid w:val="00041779"/>
    <w:rsid w:val="0004186C"/>
    <w:rsid w:val="00043A4F"/>
    <w:rsid w:val="00043BCC"/>
    <w:rsid w:val="00044EB8"/>
    <w:rsid w:val="00045031"/>
    <w:rsid w:val="000459B1"/>
    <w:rsid w:val="0004609F"/>
    <w:rsid w:val="00046D96"/>
    <w:rsid w:val="0004755F"/>
    <w:rsid w:val="00050CEA"/>
    <w:rsid w:val="00050DB7"/>
    <w:rsid w:val="0005244E"/>
    <w:rsid w:val="0005261A"/>
    <w:rsid w:val="00052732"/>
    <w:rsid w:val="00052FCD"/>
    <w:rsid w:val="000535ED"/>
    <w:rsid w:val="00054595"/>
    <w:rsid w:val="0005462C"/>
    <w:rsid w:val="0005667E"/>
    <w:rsid w:val="00056C9C"/>
    <w:rsid w:val="0005745F"/>
    <w:rsid w:val="00057D72"/>
    <w:rsid w:val="000632F8"/>
    <w:rsid w:val="000640B0"/>
    <w:rsid w:val="00064507"/>
    <w:rsid w:val="00067F89"/>
    <w:rsid w:val="00072346"/>
    <w:rsid w:val="0007247F"/>
    <w:rsid w:val="00073650"/>
    <w:rsid w:val="00073CC9"/>
    <w:rsid w:val="000804F3"/>
    <w:rsid w:val="00080614"/>
    <w:rsid w:val="00080CFB"/>
    <w:rsid w:val="00081518"/>
    <w:rsid w:val="0008201A"/>
    <w:rsid w:val="000829B7"/>
    <w:rsid w:val="0008382C"/>
    <w:rsid w:val="00084B6C"/>
    <w:rsid w:val="00085B75"/>
    <w:rsid w:val="00085CFB"/>
    <w:rsid w:val="00086A50"/>
    <w:rsid w:val="00086E3B"/>
    <w:rsid w:val="00087855"/>
    <w:rsid w:val="00087F5C"/>
    <w:rsid w:val="00090346"/>
    <w:rsid w:val="00090BB9"/>
    <w:rsid w:val="00092751"/>
    <w:rsid w:val="00093056"/>
    <w:rsid w:val="00093AB1"/>
    <w:rsid w:val="000942EE"/>
    <w:rsid w:val="000949AB"/>
    <w:rsid w:val="00095088"/>
    <w:rsid w:val="00095371"/>
    <w:rsid w:val="0009724E"/>
    <w:rsid w:val="000973B3"/>
    <w:rsid w:val="000A045D"/>
    <w:rsid w:val="000A082E"/>
    <w:rsid w:val="000A2FF3"/>
    <w:rsid w:val="000A69DE"/>
    <w:rsid w:val="000B0223"/>
    <w:rsid w:val="000B3639"/>
    <w:rsid w:val="000B3ACA"/>
    <w:rsid w:val="000B40F7"/>
    <w:rsid w:val="000B4F3C"/>
    <w:rsid w:val="000B5318"/>
    <w:rsid w:val="000C18E9"/>
    <w:rsid w:val="000C303D"/>
    <w:rsid w:val="000C3136"/>
    <w:rsid w:val="000C3B90"/>
    <w:rsid w:val="000C3DB0"/>
    <w:rsid w:val="000C42CD"/>
    <w:rsid w:val="000C60B2"/>
    <w:rsid w:val="000D017B"/>
    <w:rsid w:val="000D0CE0"/>
    <w:rsid w:val="000D0EB0"/>
    <w:rsid w:val="000D161C"/>
    <w:rsid w:val="000D2BA4"/>
    <w:rsid w:val="000D4C44"/>
    <w:rsid w:val="000D4F02"/>
    <w:rsid w:val="000D6862"/>
    <w:rsid w:val="000D6E5F"/>
    <w:rsid w:val="000D7D4E"/>
    <w:rsid w:val="000E252F"/>
    <w:rsid w:val="000E28D4"/>
    <w:rsid w:val="000E3CB3"/>
    <w:rsid w:val="000E422A"/>
    <w:rsid w:val="000E4393"/>
    <w:rsid w:val="000E61F5"/>
    <w:rsid w:val="000E6882"/>
    <w:rsid w:val="000E6B50"/>
    <w:rsid w:val="000F160E"/>
    <w:rsid w:val="000F286A"/>
    <w:rsid w:val="000F2B1A"/>
    <w:rsid w:val="000F2D3A"/>
    <w:rsid w:val="000F3282"/>
    <w:rsid w:val="000F46AE"/>
    <w:rsid w:val="000F4E71"/>
    <w:rsid w:val="000F608F"/>
    <w:rsid w:val="000F6B29"/>
    <w:rsid w:val="00100198"/>
    <w:rsid w:val="001010C5"/>
    <w:rsid w:val="0010137F"/>
    <w:rsid w:val="00101A2A"/>
    <w:rsid w:val="00103F44"/>
    <w:rsid w:val="001076DC"/>
    <w:rsid w:val="00113385"/>
    <w:rsid w:val="0011349D"/>
    <w:rsid w:val="0011432F"/>
    <w:rsid w:val="00115A68"/>
    <w:rsid w:val="00115F89"/>
    <w:rsid w:val="00116CBD"/>
    <w:rsid w:val="00117FB9"/>
    <w:rsid w:val="00121BB9"/>
    <w:rsid w:val="00122D00"/>
    <w:rsid w:val="00124FA2"/>
    <w:rsid w:val="001267DA"/>
    <w:rsid w:val="00127066"/>
    <w:rsid w:val="00127C02"/>
    <w:rsid w:val="001303DF"/>
    <w:rsid w:val="0013101F"/>
    <w:rsid w:val="00131203"/>
    <w:rsid w:val="00132600"/>
    <w:rsid w:val="00133F5A"/>
    <w:rsid w:val="00133F79"/>
    <w:rsid w:val="00136A0C"/>
    <w:rsid w:val="00136B98"/>
    <w:rsid w:val="0013767C"/>
    <w:rsid w:val="00140BBE"/>
    <w:rsid w:val="00141D9A"/>
    <w:rsid w:val="00143DF3"/>
    <w:rsid w:val="00144799"/>
    <w:rsid w:val="00144A4A"/>
    <w:rsid w:val="00145037"/>
    <w:rsid w:val="001463D7"/>
    <w:rsid w:val="0014696D"/>
    <w:rsid w:val="00146F66"/>
    <w:rsid w:val="00147CE3"/>
    <w:rsid w:val="00147D1F"/>
    <w:rsid w:val="00147F88"/>
    <w:rsid w:val="001519AE"/>
    <w:rsid w:val="001522D6"/>
    <w:rsid w:val="00152337"/>
    <w:rsid w:val="001531A8"/>
    <w:rsid w:val="001541CC"/>
    <w:rsid w:val="0015636B"/>
    <w:rsid w:val="00157152"/>
    <w:rsid w:val="001614AF"/>
    <w:rsid w:val="00161AFA"/>
    <w:rsid w:val="00161C77"/>
    <w:rsid w:val="00162576"/>
    <w:rsid w:val="00162D26"/>
    <w:rsid w:val="001661E4"/>
    <w:rsid w:val="00166BF9"/>
    <w:rsid w:val="00166D86"/>
    <w:rsid w:val="00167054"/>
    <w:rsid w:val="0017130B"/>
    <w:rsid w:val="00171F91"/>
    <w:rsid w:val="001726B1"/>
    <w:rsid w:val="001738CF"/>
    <w:rsid w:val="001744D1"/>
    <w:rsid w:val="0018078F"/>
    <w:rsid w:val="00180D94"/>
    <w:rsid w:val="00181597"/>
    <w:rsid w:val="0018165D"/>
    <w:rsid w:val="00181CFA"/>
    <w:rsid w:val="00183831"/>
    <w:rsid w:val="00183B5C"/>
    <w:rsid w:val="0018471F"/>
    <w:rsid w:val="001847A7"/>
    <w:rsid w:val="001852BB"/>
    <w:rsid w:val="00185446"/>
    <w:rsid w:val="00186200"/>
    <w:rsid w:val="00186591"/>
    <w:rsid w:val="001866D8"/>
    <w:rsid w:val="001919EB"/>
    <w:rsid w:val="00193187"/>
    <w:rsid w:val="0019358A"/>
    <w:rsid w:val="00195564"/>
    <w:rsid w:val="00196C78"/>
    <w:rsid w:val="00196D36"/>
    <w:rsid w:val="00197CF4"/>
    <w:rsid w:val="001A144C"/>
    <w:rsid w:val="001A1FA5"/>
    <w:rsid w:val="001A2AE3"/>
    <w:rsid w:val="001A385D"/>
    <w:rsid w:val="001A4630"/>
    <w:rsid w:val="001A6BC3"/>
    <w:rsid w:val="001A772B"/>
    <w:rsid w:val="001A7A5B"/>
    <w:rsid w:val="001A7EF0"/>
    <w:rsid w:val="001B23DB"/>
    <w:rsid w:val="001B2D10"/>
    <w:rsid w:val="001B30F5"/>
    <w:rsid w:val="001B33F6"/>
    <w:rsid w:val="001B46FB"/>
    <w:rsid w:val="001B665B"/>
    <w:rsid w:val="001C06D9"/>
    <w:rsid w:val="001C071E"/>
    <w:rsid w:val="001C07EA"/>
    <w:rsid w:val="001C08D2"/>
    <w:rsid w:val="001C1989"/>
    <w:rsid w:val="001C1D03"/>
    <w:rsid w:val="001C24F4"/>
    <w:rsid w:val="001C3198"/>
    <w:rsid w:val="001C3AEB"/>
    <w:rsid w:val="001C45D6"/>
    <w:rsid w:val="001C532D"/>
    <w:rsid w:val="001C634B"/>
    <w:rsid w:val="001C7BC9"/>
    <w:rsid w:val="001D12BB"/>
    <w:rsid w:val="001D2EED"/>
    <w:rsid w:val="001D5A57"/>
    <w:rsid w:val="001D72E2"/>
    <w:rsid w:val="001E1B8D"/>
    <w:rsid w:val="001E3E3E"/>
    <w:rsid w:val="001E605F"/>
    <w:rsid w:val="001E6777"/>
    <w:rsid w:val="001E6C9E"/>
    <w:rsid w:val="001E6F99"/>
    <w:rsid w:val="001F1A46"/>
    <w:rsid w:val="001F247A"/>
    <w:rsid w:val="001F279A"/>
    <w:rsid w:val="001F4C06"/>
    <w:rsid w:val="001F6572"/>
    <w:rsid w:val="001F71E2"/>
    <w:rsid w:val="001F7A17"/>
    <w:rsid w:val="00203354"/>
    <w:rsid w:val="00203EDE"/>
    <w:rsid w:val="0020789D"/>
    <w:rsid w:val="00207CB2"/>
    <w:rsid w:val="002102F1"/>
    <w:rsid w:val="002118E3"/>
    <w:rsid w:val="0021220B"/>
    <w:rsid w:val="00212397"/>
    <w:rsid w:val="00212743"/>
    <w:rsid w:val="00213509"/>
    <w:rsid w:val="002137C2"/>
    <w:rsid w:val="00213F69"/>
    <w:rsid w:val="00214097"/>
    <w:rsid w:val="0021486B"/>
    <w:rsid w:val="00214EF9"/>
    <w:rsid w:val="00214F48"/>
    <w:rsid w:val="0021603D"/>
    <w:rsid w:val="00216CD6"/>
    <w:rsid w:val="00217D13"/>
    <w:rsid w:val="0022019F"/>
    <w:rsid w:val="00220565"/>
    <w:rsid w:val="00221574"/>
    <w:rsid w:val="00222D65"/>
    <w:rsid w:val="00222DF5"/>
    <w:rsid w:val="0022314E"/>
    <w:rsid w:val="0022319B"/>
    <w:rsid w:val="002237A9"/>
    <w:rsid w:val="00223FAE"/>
    <w:rsid w:val="00224C0A"/>
    <w:rsid w:val="0022662B"/>
    <w:rsid w:val="002279AD"/>
    <w:rsid w:val="00227D9B"/>
    <w:rsid w:val="0023083F"/>
    <w:rsid w:val="00231002"/>
    <w:rsid w:val="00231B1B"/>
    <w:rsid w:val="00231E9C"/>
    <w:rsid w:val="002320D5"/>
    <w:rsid w:val="00235D98"/>
    <w:rsid w:val="00242517"/>
    <w:rsid w:val="002427CD"/>
    <w:rsid w:val="0024606A"/>
    <w:rsid w:val="002468EA"/>
    <w:rsid w:val="00247622"/>
    <w:rsid w:val="00251B99"/>
    <w:rsid w:val="00253721"/>
    <w:rsid w:val="00253C2F"/>
    <w:rsid w:val="002551BD"/>
    <w:rsid w:val="00255ADD"/>
    <w:rsid w:val="00256069"/>
    <w:rsid w:val="002565B7"/>
    <w:rsid w:val="002568BD"/>
    <w:rsid w:val="00256A9A"/>
    <w:rsid w:val="00256D01"/>
    <w:rsid w:val="00256F0C"/>
    <w:rsid w:val="00260428"/>
    <w:rsid w:val="00260A03"/>
    <w:rsid w:val="00260FD5"/>
    <w:rsid w:val="00262539"/>
    <w:rsid w:val="0026419D"/>
    <w:rsid w:val="00264CBB"/>
    <w:rsid w:val="00264ECF"/>
    <w:rsid w:val="00265A8D"/>
    <w:rsid w:val="00265ABB"/>
    <w:rsid w:val="00265EE4"/>
    <w:rsid w:val="002669D2"/>
    <w:rsid w:val="0026746A"/>
    <w:rsid w:val="00271815"/>
    <w:rsid w:val="00272BF6"/>
    <w:rsid w:val="00273E9A"/>
    <w:rsid w:val="002750D5"/>
    <w:rsid w:val="00282C34"/>
    <w:rsid w:val="00283A51"/>
    <w:rsid w:val="00284055"/>
    <w:rsid w:val="0028449B"/>
    <w:rsid w:val="0028596D"/>
    <w:rsid w:val="00286082"/>
    <w:rsid w:val="0029022D"/>
    <w:rsid w:val="00292D66"/>
    <w:rsid w:val="00294673"/>
    <w:rsid w:val="0029601D"/>
    <w:rsid w:val="0029623D"/>
    <w:rsid w:val="002A0116"/>
    <w:rsid w:val="002A0223"/>
    <w:rsid w:val="002A2139"/>
    <w:rsid w:val="002A4FCF"/>
    <w:rsid w:val="002A52C5"/>
    <w:rsid w:val="002A58C3"/>
    <w:rsid w:val="002A5AC0"/>
    <w:rsid w:val="002A644B"/>
    <w:rsid w:val="002A7523"/>
    <w:rsid w:val="002B0323"/>
    <w:rsid w:val="002B06A8"/>
    <w:rsid w:val="002B1231"/>
    <w:rsid w:val="002B19E3"/>
    <w:rsid w:val="002B2F30"/>
    <w:rsid w:val="002B3FB3"/>
    <w:rsid w:val="002B4651"/>
    <w:rsid w:val="002B5373"/>
    <w:rsid w:val="002B5BE3"/>
    <w:rsid w:val="002C0E89"/>
    <w:rsid w:val="002C0FD6"/>
    <w:rsid w:val="002C1C9C"/>
    <w:rsid w:val="002C2CF1"/>
    <w:rsid w:val="002C343E"/>
    <w:rsid w:val="002C3CF1"/>
    <w:rsid w:val="002C3F00"/>
    <w:rsid w:val="002C5ABB"/>
    <w:rsid w:val="002C5CE4"/>
    <w:rsid w:val="002C6F75"/>
    <w:rsid w:val="002C7D7F"/>
    <w:rsid w:val="002D1404"/>
    <w:rsid w:val="002D2FDA"/>
    <w:rsid w:val="002D3C3D"/>
    <w:rsid w:val="002D499F"/>
    <w:rsid w:val="002D571F"/>
    <w:rsid w:val="002D5A33"/>
    <w:rsid w:val="002D60BD"/>
    <w:rsid w:val="002D61D0"/>
    <w:rsid w:val="002D64B3"/>
    <w:rsid w:val="002D7148"/>
    <w:rsid w:val="002D796F"/>
    <w:rsid w:val="002E037E"/>
    <w:rsid w:val="002E235E"/>
    <w:rsid w:val="002E2884"/>
    <w:rsid w:val="002E2E37"/>
    <w:rsid w:val="002E4BFD"/>
    <w:rsid w:val="002E6154"/>
    <w:rsid w:val="002E6E4D"/>
    <w:rsid w:val="002E7D56"/>
    <w:rsid w:val="002E7E68"/>
    <w:rsid w:val="002F1812"/>
    <w:rsid w:val="002F1B9E"/>
    <w:rsid w:val="002F2AD9"/>
    <w:rsid w:val="002F2B62"/>
    <w:rsid w:val="002F4344"/>
    <w:rsid w:val="00301178"/>
    <w:rsid w:val="00301445"/>
    <w:rsid w:val="003016E6"/>
    <w:rsid w:val="003023F4"/>
    <w:rsid w:val="00304557"/>
    <w:rsid w:val="00304952"/>
    <w:rsid w:val="003053D5"/>
    <w:rsid w:val="0030621B"/>
    <w:rsid w:val="003070FC"/>
    <w:rsid w:val="00307290"/>
    <w:rsid w:val="003079C3"/>
    <w:rsid w:val="003104C5"/>
    <w:rsid w:val="00310664"/>
    <w:rsid w:val="00310ACB"/>
    <w:rsid w:val="00311C2C"/>
    <w:rsid w:val="00313551"/>
    <w:rsid w:val="003153D9"/>
    <w:rsid w:val="0031704D"/>
    <w:rsid w:val="0031754A"/>
    <w:rsid w:val="00317B3D"/>
    <w:rsid w:val="0032005C"/>
    <w:rsid w:val="0032045A"/>
    <w:rsid w:val="003204BE"/>
    <w:rsid w:val="00320A83"/>
    <w:rsid w:val="00322D3E"/>
    <w:rsid w:val="00324D50"/>
    <w:rsid w:val="00330DDE"/>
    <w:rsid w:val="0033258F"/>
    <w:rsid w:val="00332E67"/>
    <w:rsid w:val="00333E48"/>
    <w:rsid w:val="00333EFE"/>
    <w:rsid w:val="00334F19"/>
    <w:rsid w:val="003353BC"/>
    <w:rsid w:val="00336793"/>
    <w:rsid w:val="003371D0"/>
    <w:rsid w:val="0033774B"/>
    <w:rsid w:val="00337FA0"/>
    <w:rsid w:val="00342A6E"/>
    <w:rsid w:val="00342C3A"/>
    <w:rsid w:val="00342EB5"/>
    <w:rsid w:val="00343729"/>
    <w:rsid w:val="00346C5B"/>
    <w:rsid w:val="00347C40"/>
    <w:rsid w:val="00350A50"/>
    <w:rsid w:val="00353126"/>
    <w:rsid w:val="00353157"/>
    <w:rsid w:val="003548E2"/>
    <w:rsid w:val="00354ACB"/>
    <w:rsid w:val="00355804"/>
    <w:rsid w:val="003566CC"/>
    <w:rsid w:val="0035755F"/>
    <w:rsid w:val="00360B21"/>
    <w:rsid w:val="00361D42"/>
    <w:rsid w:val="00361F72"/>
    <w:rsid w:val="00362553"/>
    <w:rsid w:val="00362963"/>
    <w:rsid w:val="00362D8F"/>
    <w:rsid w:val="003630E6"/>
    <w:rsid w:val="00363F5C"/>
    <w:rsid w:val="00365364"/>
    <w:rsid w:val="003678C1"/>
    <w:rsid w:val="00373019"/>
    <w:rsid w:val="00373285"/>
    <w:rsid w:val="00373B41"/>
    <w:rsid w:val="003742EF"/>
    <w:rsid w:val="003746DD"/>
    <w:rsid w:val="00374DF1"/>
    <w:rsid w:val="00376310"/>
    <w:rsid w:val="00376391"/>
    <w:rsid w:val="003765E9"/>
    <w:rsid w:val="00377CCD"/>
    <w:rsid w:val="003805C3"/>
    <w:rsid w:val="00380BF4"/>
    <w:rsid w:val="00382344"/>
    <w:rsid w:val="00382DBD"/>
    <w:rsid w:val="003831D5"/>
    <w:rsid w:val="00383768"/>
    <w:rsid w:val="003849BF"/>
    <w:rsid w:val="0038527B"/>
    <w:rsid w:val="003852B6"/>
    <w:rsid w:val="003920DD"/>
    <w:rsid w:val="0039326E"/>
    <w:rsid w:val="00396776"/>
    <w:rsid w:val="003A11FD"/>
    <w:rsid w:val="003A2E15"/>
    <w:rsid w:val="003A2E5A"/>
    <w:rsid w:val="003A3037"/>
    <w:rsid w:val="003A3123"/>
    <w:rsid w:val="003A3E91"/>
    <w:rsid w:val="003A458E"/>
    <w:rsid w:val="003A4D26"/>
    <w:rsid w:val="003A5560"/>
    <w:rsid w:val="003A5600"/>
    <w:rsid w:val="003A584B"/>
    <w:rsid w:val="003A64B1"/>
    <w:rsid w:val="003A6932"/>
    <w:rsid w:val="003A6F94"/>
    <w:rsid w:val="003B032D"/>
    <w:rsid w:val="003B0463"/>
    <w:rsid w:val="003B06E4"/>
    <w:rsid w:val="003B13A6"/>
    <w:rsid w:val="003B1AE5"/>
    <w:rsid w:val="003B1C7D"/>
    <w:rsid w:val="003B2817"/>
    <w:rsid w:val="003B2E35"/>
    <w:rsid w:val="003B3499"/>
    <w:rsid w:val="003B41D7"/>
    <w:rsid w:val="003B427F"/>
    <w:rsid w:val="003B4BF3"/>
    <w:rsid w:val="003B503B"/>
    <w:rsid w:val="003B50AF"/>
    <w:rsid w:val="003B6C99"/>
    <w:rsid w:val="003C0560"/>
    <w:rsid w:val="003C1D42"/>
    <w:rsid w:val="003C26A4"/>
    <w:rsid w:val="003C32DC"/>
    <w:rsid w:val="003C42B7"/>
    <w:rsid w:val="003C4430"/>
    <w:rsid w:val="003C4A90"/>
    <w:rsid w:val="003C4D97"/>
    <w:rsid w:val="003C6FEA"/>
    <w:rsid w:val="003C7925"/>
    <w:rsid w:val="003D02D5"/>
    <w:rsid w:val="003D11B9"/>
    <w:rsid w:val="003D5C54"/>
    <w:rsid w:val="003D6444"/>
    <w:rsid w:val="003D7122"/>
    <w:rsid w:val="003D7AF4"/>
    <w:rsid w:val="003D7F31"/>
    <w:rsid w:val="003E0C00"/>
    <w:rsid w:val="003E186D"/>
    <w:rsid w:val="003E1912"/>
    <w:rsid w:val="003E1DE5"/>
    <w:rsid w:val="003E31BE"/>
    <w:rsid w:val="003E362F"/>
    <w:rsid w:val="003E3FF8"/>
    <w:rsid w:val="003E50B2"/>
    <w:rsid w:val="003E5D5E"/>
    <w:rsid w:val="003E64E4"/>
    <w:rsid w:val="003E6615"/>
    <w:rsid w:val="003E7DEE"/>
    <w:rsid w:val="003F0CC8"/>
    <w:rsid w:val="003F104A"/>
    <w:rsid w:val="003F1BF5"/>
    <w:rsid w:val="003F1D24"/>
    <w:rsid w:val="003F2713"/>
    <w:rsid w:val="003F2BFD"/>
    <w:rsid w:val="003F381D"/>
    <w:rsid w:val="003F4765"/>
    <w:rsid w:val="0040202A"/>
    <w:rsid w:val="0040256F"/>
    <w:rsid w:val="00402E14"/>
    <w:rsid w:val="004037F1"/>
    <w:rsid w:val="00404531"/>
    <w:rsid w:val="00404721"/>
    <w:rsid w:val="004059F9"/>
    <w:rsid w:val="00405C37"/>
    <w:rsid w:val="00406286"/>
    <w:rsid w:val="00406C99"/>
    <w:rsid w:val="00407B5C"/>
    <w:rsid w:val="00413544"/>
    <w:rsid w:val="00413807"/>
    <w:rsid w:val="00415256"/>
    <w:rsid w:val="00417912"/>
    <w:rsid w:val="00420E65"/>
    <w:rsid w:val="00421EE0"/>
    <w:rsid w:val="00421F85"/>
    <w:rsid w:val="004224C9"/>
    <w:rsid w:val="00422787"/>
    <w:rsid w:val="00423098"/>
    <w:rsid w:val="00423F28"/>
    <w:rsid w:val="004240A4"/>
    <w:rsid w:val="00425324"/>
    <w:rsid w:val="004265BE"/>
    <w:rsid w:val="004271FF"/>
    <w:rsid w:val="00430C8A"/>
    <w:rsid w:val="004311AD"/>
    <w:rsid w:val="0043247E"/>
    <w:rsid w:val="004338BC"/>
    <w:rsid w:val="004339FE"/>
    <w:rsid w:val="004344D7"/>
    <w:rsid w:val="004357F9"/>
    <w:rsid w:val="0043587A"/>
    <w:rsid w:val="004359A7"/>
    <w:rsid w:val="0043694E"/>
    <w:rsid w:val="00437477"/>
    <w:rsid w:val="00440709"/>
    <w:rsid w:val="00440EA5"/>
    <w:rsid w:val="00442AD3"/>
    <w:rsid w:val="00444EC8"/>
    <w:rsid w:val="004465E3"/>
    <w:rsid w:val="00446705"/>
    <w:rsid w:val="00447106"/>
    <w:rsid w:val="0045062A"/>
    <w:rsid w:val="00451769"/>
    <w:rsid w:val="004525D2"/>
    <w:rsid w:val="004558F2"/>
    <w:rsid w:val="00460A6F"/>
    <w:rsid w:val="00463272"/>
    <w:rsid w:val="004633B4"/>
    <w:rsid w:val="0046514B"/>
    <w:rsid w:val="004655B0"/>
    <w:rsid w:val="00466B35"/>
    <w:rsid w:val="0047108A"/>
    <w:rsid w:val="00471665"/>
    <w:rsid w:val="00472324"/>
    <w:rsid w:val="00473075"/>
    <w:rsid w:val="00473277"/>
    <w:rsid w:val="0047373E"/>
    <w:rsid w:val="00474428"/>
    <w:rsid w:val="004752BE"/>
    <w:rsid w:val="00475F49"/>
    <w:rsid w:val="00475FF8"/>
    <w:rsid w:val="004761E5"/>
    <w:rsid w:val="00476864"/>
    <w:rsid w:val="00477E49"/>
    <w:rsid w:val="00480FFF"/>
    <w:rsid w:val="00481A1D"/>
    <w:rsid w:val="00482568"/>
    <w:rsid w:val="00482ACA"/>
    <w:rsid w:val="00482EF6"/>
    <w:rsid w:val="00483188"/>
    <w:rsid w:val="00484CCD"/>
    <w:rsid w:val="00485327"/>
    <w:rsid w:val="00485EFC"/>
    <w:rsid w:val="004874C8"/>
    <w:rsid w:val="0049041A"/>
    <w:rsid w:val="00491927"/>
    <w:rsid w:val="004933F5"/>
    <w:rsid w:val="00494565"/>
    <w:rsid w:val="004975D8"/>
    <w:rsid w:val="00497CF4"/>
    <w:rsid w:val="004A04A1"/>
    <w:rsid w:val="004A04B2"/>
    <w:rsid w:val="004A06DF"/>
    <w:rsid w:val="004A29B4"/>
    <w:rsid w:val="004A3AF3"/>
    <w:rsid w:val="004A3D6D"/>
    <w:rsid w:val="004A4108"/>
    <w:rsid w:val="004A5738"/>
    <w:rsid w:val="004A5B42"/>
    <w:rsid w:val="004A748C"/>
    <w:rsid w:val="004B21F0"/>
    <w:rsid w:val="004B28CC"/>
    <w:rsid w:val="004B4916"/>
    <w:rsid w:val="004B4DEF"/>
    <w:rsid w:val="004B5153"/>
    <w:rsid w:val="004B69B3"/>
    <w:rsid w:val="004B739A"/>
    <w:rsid w:val="004B73DD"/>
    <w:rsid w:val="004B773B"/>
    <w:rsid w:val="004C057B"/>
    <w:rsid w:val="004C09F2"/>
    <w:rsid w:val="004C0EF8"/>
    <w:rsid w:val="004C1433"/>
    <w:rsid w:val="004C1B37"/>
    <w:rsid w:val="004C1FE7"/>
    <w:rsid w:val="004C3432"/>
    <w:rsid w:val="004C3801"/>
    <w:rsid w:val="004C3853"/>
    <w:rsid w:val="004C572E"/>
    <w:rsid w:val="004D03B2"/>
    <w:rsid w:val="004D04A3"/>
    <w:rsid w:val="004D135A"/>
    <w:rsid w:val="004D1F3B"/>
    <w:rsid w:val="004D2391"/>
    <w:rsid w:val="004D26A3"/>
    <w:rsid w:val="004D2E8C"/>
    <w:rsid w:val="004D37FF"/>
    <w:rsid w:val="004D3E05"/>
    <w:rsid w:val="004D3E4B"/>
    <w:rsid w:val="004D407B"/>
    <w:rsid w:val="004D4186"/>
    <w:rsid w:val="004D6382"/>
    <w:rsid w:val="004D6CD9"/>
    <w:rsid w:val="004D6EDB"/>
    <w:rsid w:val="004E0032"/>
    <w:rsid w:val="004E006D"/>
    <w:rsid w:val="004E2F1E"/>
    <w:rsid w:val="004E4028"/>
    <w:rsid w:val="004E49BE"/>
    <w:rsid w:val="004E4B09"/>
    <w:rsid w:val="004E6221"/>
    <w:rsid w:val="004E78AE"/>
    <w:rsid w:val="004E7B0C"/>
    <w:rsid w:val="004F0896"/>
    <w:rsid w:val="004F141A"/>
    <w:rsid w:val="004F1D32"/>
    <w:rsid w:val="004F1D77"/>
    <w:rsid w:val="004F2FB1"/>
    <w:rsid w:val="004F4284"/>
    <w:rsid w:val="004F48FB"/>
    <w:rsid w:val="004F4920"/>
    <w:rsid w:val="004F6191"/>
    <w:rsid w:val="004F66F5"/>
    <w:rsid w:val="004F6710"/>
    <w:rsid w:val="005000E6"/>
    <w:rsid w:val="00501C36"/>
    <w:rsid w:val="0050488F"/>
    <w:rsid w:val="00505938"/>
    <w:rsid w:val="0050758B"/>
    <w:rsid w:val="00507D87"/>
    <w:rsid w:val="005109EC"/>
    <w:rsid w:val="00511878"/>
    <w:rsid w:val="00512EC7"/>
    <w:rsid w:val="005131E2"/>
    <w:rsid w:val="00513CD1"/>
    <w:rsid w:val="00514968"/>
    <w:rsid w:val="0051546A"/>
    <w:rsid w:val="00515F08"/>
    <w:rsid w:val="0052082F"/>
    <w:rsid w:val="00520955"/>
    <w:rsid w:val="00522FE9"/>
    <w:rsid w:val="005235EF"/>
    <w:rsid w:val="00525151"/>
    <w:rsid w:val="00526D48"/>
    <w:rsid w:val="005324EE"/>
    <w:rsid w:val="00532A21"/>
    <w:rsid w:val="00534488"/>
    <w:rsid w:val="005349C3"/>
    <w:rsid w:val="00534C29"/>
    <w:rsid w:val="00534C98"/>
    <w:rsid w:val="00536352"/>
    <w:rsid w:val="0053653C"/>
    <w:rsid w:val="00537E33"/>
    <w:rsid w:val="005406B7"/>
    <w:rsid w:val="00541345"/>
    <w:rsid w:val="0054174E"/>
    <w:rsid w:val="00541FE0"/>
    <w:rsid w:val="0054238E"/>
    <w:rsid w:val="00542467"/>
    <w:rsid w:val="00542D11"/>
    <w:rsid w:val="00543B07"/>
    <w:rsid w:val="00543BD7"/>
    <w:rsid w:val="0054433B"/>
    <w:rsid w:val="00544715"/>
    <w:rsid w:val="00544D71"/>
    <w:rsid w:val="005505EA"/>
    <w:rsid w:val="005510D5"/>
    <w:rsid w:val="00551B20"/>
    <w:rsid w:val="00554002"/>
    <w:rsid w:val="00555101"/>
    <w:rsid w:val="005552B0"/>
    <w:rsid w:val="005609AC"/>
    <w:rsid w:val="00560A74"/>
    <w:rsid w:val="00560BF7"/>
    <w:rsid w:val="00562FF0"/>
    <w:rsid w:val="005645D9"/>
    <w:rsid w:val="00565884"/>
    <w:rsid w:val="00565F70"/>
    <w:rsid w:val="00566AAD"/>
    <w:rsid w:val="00567AB0"/>
    <w:rsid w:val="00567E47"/>
    <w:rsid w:val="005702CD"/>
    <w:rsid w:val="0057101F"/>
    <w:rsid w:val="00571251"/>
    <w:rsid w:val="00573B6E"/>
    <w:rsid w:val="005745B1"/>
    <w:rsid w:val="00574EDC"/>
    <w:rsid w:val="005756B4"/>
    <w:rsid w:val="005771DC"/>
    <w:rsid w:val="0057777A"/>
    <w:rsid w:val="005778ED"/>
    <w:rsid w:val="005802DE"/>
    <w:rsid w:val="005803FA"/>
    <w:rsid w:val="00582FE5"/>
    <w:rsid w:val="0058337B"/>
    <w:rsid w:val="00583F63"/>
    <w:rsid w:val="00585B12"/>
    <w:rsid w:val="00585DAF"/>
    <w:rsid w:val="005868DF"/>
    <w:rsid w:val="00586F9B"/>
    <w:rsid w:val="005911A7"/>
    <w:rsid w:val="0059126E"/>
    <w:rsid w:val="005913A3"/>
    <w:rsid w:val="005917A4"/>
    <w:rsid w:val="005928BD"/>
    <w:rsid w:val="005938A0"/>
    <w:rsid w:val="00594547"/>
    <w:rsid w:val="0059497B"/>
    <w:rsid w:val="00594CF0"/>
    <w:rsid w:val="00595149"/>
    <w:rsid w:val="00597173"/>
    <w:rsid w:val="005976AF"/>
    <w:rsid w:val="005A055B"/>
    <w:rsid w:val="005A33E8"/>
    <w:rsid w:val="005A35E0"/>
    <w:rsid w:val="005A3B3B"/>
    <w:rsid w:val="005A3E35"/>
    <w:rsid w:val="005A5412"/>
    <w:rsid w:val="005A5F47"/>
    <w:rsid w:val="005A7EF3"/>
    <w:rsid w:val="005B0A82"/>
    <w:rsid w:val="005B11A2"/>
    <w:rsid w:val="005B3752"/>
    <w:rsid w:val="005B5E8C"/>
    <w:rsid w:val="005B6BB7"/>
    <w:rsid w:val="005C0D60"/>
    <w:rsid w:val="005C1618"/>
    <w:rsid w:val="005C42FA"/>
    <w:rsid w:val="005C5D0F"/>
    <w:rsid w:val="005C792E"/>
    <w:rsid w:val="005C7FA2"/>
    <w:rsid w:val="005D07AB"/>
    <w:rsid w:val="005D089D"/>
    <w:rsid w:val="005D2CF5"/>
    <w:rsid w:val="005D3451"/>
    <w:rsid w:val="005D5E6B"/>
    <w:rsid w:val="005D6758"/>
    <w:rsid w:val="005E00BB"/>
    <w:rsid w:val="005E0C09"/>
    <w:rsid w:val="005E10BD"/>
    <w:rsid w:val="005E1865"/>
    <w:rsid w:val="005E1E74"/>
    <w:rsid w:val="005E3025"/>
    <w:rsid w:val="005E3299"/>
    <w:rsid w:val="005E341C"/>
    <w:rsid w:val="005E613B"/>
    <w:rsid w:val="005E7074"/>
    <w:rsid w:val="005F05D4"/>
    <w:rsid w:val="005F155D"/>
    <w:rsid w:val="005F1D84"/>
    <w:rsid w:val="005F2B3C"/>
    <w:rsid w:val="005F2C5B"/>
    <w:rsid w:val="005F2FF6"/>
    <w:rsid w:val="005F3C4F"/>
    <w:rsid w:val="005F3F2E"/>
    <w:rsid w:val="005F77D3"/>
    <w:rsid w:val="00601907"/>
    <w:rsid w:val="006034FA"/>
    <w:rsid w:val="00606C20"/>
    <w:rsid w:val="00606D60"/>
    <w:rsid w:val="00607592"/>
    <w:rsid w:val="00612ECA"/>
    <w:rsid w:val="00615B70"/>
    <w:rsid w:val="00616039"/>
    <w:rsid w:val="006166E8"/>
    <w:rsid w:val="00616C90"/>
    <w:rsid w:val="00616C9A"/>
    <w:rsid w:val="00616D22"/>
    <w:rsid w:val="006176F3"/>
    <w:rsid w:val="0061786F"/>
    <w:rsid w:val="006213E7"/>
    <w:rsid w:val="0062229F"/>
    <w:rsid w:val="00622596"/>
    <w:rsid w:val="0062280A"/>
    <w:rsid w:val="00622A0C"/>
    <w:rsid w:val="00624A46"/>
    <w:rsid w:val="00624A6C"/>
    <w:rsid w:val="0062606C"/>
    <w:rsid w:val="0062675D"/>
    <w:rsid w:val="00626771"/>
    <w:rsid w:val="0062681A"/>
    <w:rsid w:val="00627A57"/>
    <w:rsid w:val="00631CD4"/>
    <w:rsid w:val="0063222F"/>
    <w:rsid w:val="00632A6A"/>
    <w:rsid w:val="00634C2A"/>
    <w:rsid w:val="00635024"/>
    <w:rsid w:val="00636973"/>
    <w:rsid w:val="006374DB"/>
    <w:rsid w:val="006406A8"/>
    <w:rsid w:val="006412C5"/>
    <w:rsid w:val="00643862"/>
    <w:rsid w:val="00644ABD"/>
    <w:rsid w:val="006466F8"/>
    <w:rsid w:val="00647E6B"/>
    <w:rsid w:val="006503E7"/>
    <w:rsid w:val="00650AA8"/>
    <w:rsid w:val="00650BAA"/>
    <w:rsid w:val="0065148C"/>
    <w:rsid w:val="006529EC"/>
    <w:rsid w:val="00652EE8"/>
    <w:rsid w:val="006541E6"/>
    <w:rsid w:val="00654754"/>
    <w:rsid w:val="00654AC6"/>
    <w:rsid w:val="00654D15"/>
    <w:rsid w:val="00655FAA"/>
    <w:rsid w:val="006612E6"/>
    <w:rsid w:val="006641F9"/>
    <w:rsid w:val="006652EE"/>
    <w:rsid w:val="006652F0"/>
    <w:rsid w:val="00665F2F"/>
    <w:rsid w:val="00667D5D"/>
    <w:rsid w:val="00670378"/>
    <w:rsid w:val="00670CA0"/>
    <w:rsid w:val="00671EE6"/>
    <w:rsid w:val="0067534B"/>
    <w:rsid w:val="0067565C"/>
    <w:rsid w:val="00677A75"/>
    <w:rsid w:val="00680F31"/>
    <w:rsid w:val="006817B3"/>
    <w:rsid w:val="00681DD3"/>
    <w:rsid w:val="006826AD"/>
    <w:rsid w:val="00684033"/>
    <w:rsid w:val="006841E8"/>
    <w:rsid w:val="00684A4A"/>
    <w:rsid w:val="006854FD"/>
    <w:rsid w:val="006869DE"/>
    <w:rsid w:val="006903E7"/>
    <w:rsid w:val="00690BFA"/>
    <w:rsid w:val="00691733"/>
    <w:rsid w:val="006967E1"/>
    <w:rsid w:val="0069796B"/>
    <w:rsid w:val="00697E95"/>
    <w:rsid w:val="006A0E12"/>
    <w:rsid w:val="006A242F"/>
    <w:rsid w:val="006A2E8B"/>
    <w:rsid w:val="006A3126"/>
    <w:rsid w:val="006A65F3"/>
    <w:rsid w:val="006A6B08"/>
    <w:rsid w:val="006A7C44"/>
    <w:rsid w:val="006B0B39"/>
    <w:rsid w:val="006B2CC7"/>
    <w:rsid w:val="006B4758"/>
    <w:rsid w:val="006B4A97"/>
    <w:rsid w:val="006B7023"/>
    <w:rsid w:val="006C017F"/>
    <w:rsid w:val="006C2104"/>
    <w:rsid w:val="006C24FB"/>
    <w:rsid w:val="006C26F4"/>
    <w:rsid w:val="006C29D0"/>
    <w:rsid w:val="006C38C6"/>
    <w:rsid w:val="006C6D75"/>
    <w:rsid w:val="006C7DCE"/>
    <w:rsid w:val="006D0328"/>
    <w:rsid w:val="006D1A3B"/>
    <w:rsid w:val="006D1DA3"/>
    <w:rsid w:val="006D26E3"/>
    <w:rsid w:val="006D3CA7"/>
    <w:rsid w:val="006D43C4"/>
    <w:rsid w:val="006D6E1C"/>
    <w:rsid w:val="006D764F"/>
    <w:rsid w:val="006E0C09"/>
    <w:rsid w:val="006E1B03"/>
    <w:rsid w:val="006E2B07"/>
    <w:rsid w:val="006E3890"/>
    <w:rsid w:val="006E45EC"/>
    <w:rsid w:val="006E542D"/>
    <w:rsid w:val="006E5A2B"/>
    <w:rsid w:val="006E5E9D"/>
    <w:rsid w:val="006E5F9D"/>
    <w:rsid w:val="006E6ED0"/>
    <w:rsid w:val="006E6F34"/>
    <w:rsid w:val="006E7396"/>
    <w:rsid w:val="006E7433"/>
    <w:rsid w:val="006E7F1A"/>
    <w:rsid w:val="006F1C44"/>
    <w:rsid w:val="006F237E"/>
    <w:rsid w:val="006F3987"/>
    <w:rsid w:val="006F45E9"/>
    <w:rsid w:val="006F48F4"/>
    <w:rsid w:val="006F5F1A"/>
    <w:rsid w:val="0070067A"/>
    <w:rsid w:val="00701C3D"/>
    <w:rsid w:val="00701D1A"/>
    <w:rsid w:val="00701D73"/>
    <w:rsid w:val="00701EF0"/>
    <w:rsid w:val="0070218F"/>
    <w:rsid w:val="00702C95"/>
    <w:rsid w:val="00705347"/>
    <w:rsid w:val="00705B69"/>
    <w:rsid w:val="00705E04"/>
    <w:rsid w:val="007069F5"/>
    <w:rsid w:val="007070EE"/>
    <w:rsid w:val="0071190C"/>
    <w:rsid w:val="00711CAC"/>
    <w:rsid w:val="007120E9"/>
    <w:rsid w:val="007155B8"/>
    <w:rsid w:val="00716701"/>
    <w:rsid w:val="00717446"/>
    <w:rsid w:val="00720339"/>
    <w:rsid w:val="00720AA0"/>
    <w:rsid w:val="00720F41"/>
    <w:rsid w:val="00725BE5"/>
    <w:rsid w:val="00727D5A"/>
    <w:rsid w:val="0073057B"/>
    <w:rsid w:val="00732372"/>
    <w:rsid w:val="00732A2F"/>
    <w:rsid w:val="0073305C"/>
    <w:rsid w:val="00733385"/>
    <w:rsid w:val="00734AAA"/>
    <w:rsid w:val="00734DB4"/>
    <w:rsid w:val="00734DF5"/>
    <w:rsid w:val="0073526A"/>
    <w:rsid w:val="0073589A"/>
    <w:rsid w:val="00735BBB"/>
    <w:rsid w:val="00736C2A"/>
    <w:rsid w:val="007378BE"/>
    <w:rsid w:val="00737F4F"/>
    <w:rsid w:val="0074027E"/>
    <w:rsid w:val="0074100C"/>
    <w:rsid w:val="007462B3"/>
    <w:rsid w:val="007511C2"/>
    <w:rsid w:val="00752E98"/>
    <w:rsid w:val="00755464"/>
    <w:rsid w:val="00755937"/>
    <w:rsid w:val="007565C5"/>
    <w:rsid w:val="00756A2F"/>
    <w:rsid w:val="007570E2"/>
    <w:rsid w:val="007572BB"/>
    <w:rsid w:val="00757D95"/>
    <w:rsid w:val="00760BEB"/>
    <w:rsid w:val="00761DC4"/>
    <w:rsid w:val="0076215E"/>
    <w:rsid w:val="007628F9"/>
    <w:rsid w:val="0076309A"/>
    <w:rsid w:val="0076333B"/>
    <w:rsid w:val="007638C9"/>
    <w:rsid w:val="00763C3F"/>
    <w:rsid w:val="00765608"/>
    <w:rsid w:val="00765C13"/>
    <w:rsid w:val="00766DC6"/>
    <w:rsid w:val="00767064"/>
    <w:rsid w:val="0077066D"/>
    <w:rsid w:val="0077107D"/>
    <w:rsid w:val="00771AC0"/>
    <w:rsid w:val="007730F0"/>
    <w:rsid w:val="0077450B"/>
    <w:rsid w:val="0077496C"/>
    <w:rsid w:val="007749A0"/>
    <w:rsid w:val="00774BAF"/>
    <w:rsid w:val="00780149"/>
    <w:rsid w:val="007817E5"/>
    <w:rsid w:val="0078450E"/>
    <w:rsid w:val="00784673"/>
    <w:rsid w:val="0078616B"/>
    <w:rsid w:val="00787E37"/>
    <w:rsid w:val="007901F3"/>
    <w:rsid w:val="00790F15"/>
    <w:rsid w:val="007910AF"/>
    <w:rsid w:val="00791C42"/>
    <w:rsid w:val="00794BE5"/>
    <w:rsid w:val="007A0664"/>
    <w:rsid w:val="007A0D0A"/>
    <w:rsid w:val="007A1289"/>
    <w:rsid w:val="007A2372"/>
    <w:rsid w:val="007A2C9D"/>
    <w:rsid w:val="007A2CD8"/>
    <w:rsid w:val="007A3183"/>
    <w:rsid w:val="007A429C"/>
    <w:rsid w:val="007A484A"/>
    <w:rsid w:val="007A4F95"/>
    <w:rsid w:val="007A510F"/>
    <w:rsid w:val="007A5C92"/>
    <w:rsid w:val="007A7C23"/>
    <w:rsid w:val="007B013C"/>
    <w:rsid w:val="007B01BF"/>
    <w:rsid w:val="007B441F"/>
    <w:rsid w:val="007B4E31"/>
    <w:rsid w:val="007B503C"/>
    <w:rsid w:val="007B6305"/>
    <w:rsid w:val="007B7B8D"/>
    <w:rsid w:val="007C0CD9"/>
    <w:rsid w:val="007C351B"/>
    <w:rsid w:val="007C3BD4"/>
    <w:rsid w:val="007C4F26"/>
    <w:rsid w:val="007C60EB"/>
    <w:rsid w:val="007C63C1"/>
    <w:rsid w:val="007C7325"/>
    <w:rsid w:val="007C7E80"/>
    <w:rsid w:val="007D127C"/>
    <w:rsid w:val="007D2718"/>
    <w:rsid w:val="007D2CC9"/>
    <w:rsid w:val="007D3CA2"/>
    <w:rsid w:val="007D512F"/>
    <w:rsid w:val="007D5648"/>
    <w:rsid w:val="007D7D1B"/>
    <w:rsid w:val="007D7F03"/>
    <w:rsid w:val="007E00F6"/>
    <w:rsid w:val="007E0D01"/>
    <w:rsid w:val="007E4B79"/>
    <w:rsid w:val="007E5679"/>
    <w:rsid w:val="007E5FCF"/>
    <w:rsid w:val="007E6005"/>
    <w:rsid w:val="007F15C7"/>
    <w:rsid w:val="007F1966"/>
    <w:rsid w:val="007F3073"/>
    <w:rsid w:val="007F32D1"/>
    <w:rsid w:val="007F4F59"/>
    <w:rsid w:val="007F5652"/>
    <w:rsid w:val="007F5D39"/>
    <w:rsid w:val="007F6BC6"/>
    <w:rsid w:val="007F7694"/>
    <w:rsid w:val="00800399"/>
    <w:rsid w:val="008007DD"/>
    <w:rsid w:val="00800AA0"/>
    <w:rsid w:val="00800E2F"/>
    <w:rsid w:val="00801621"/>
    <w:rsid w:val="008021ED"/>
    <w:rsid w:val="008027AC"/>
    <w:rsid w:val="00802E94"/>
    <w:rsid w:val="00803953"/>
    <w:rsid w:val="008045F9"/>
    <w:rsid w:val="00804D71"/>
    <w:rsid w:val="00806DE5"/>
    <w:rsid w:val="008106B7"/>
    <w:rsid w:val="00813175"/>
    <w:rsid w:val="008152C0"/>
    <w:rsid w:val="0081560D"/>
    <w:rsid w:val="00815ED9"/>
    <w:rsid w:val="008162BF"/>
    <w:rsid w:val="00816897"/>
    <w:rsid w:val="00817FC4"/>
    <w:rsid w:val="00821023"/>
    <w:rsid w:val="0082116E"/>
    <w:rsid w:val="00821C97"/>
    <w:rsid w:val="0082601D"/>
    <w:rsid w:val="00831ADC"/>
    <w:rsid w:val="0083274E"/>
    <w:rsid w:val="00833580"/>
    <w:rsid w:val="008342DA"/>
    <w:rsid w:val="00834D17"/>
    <w:rsid w:val="00835601"/>
    <w:rsid w:val="00835CEB"/>
    <w:rsid w:val="00836B41"/>
    <w:rsid w:val="008375A3"/>
    <w:rsid w:val="0084051A"/>
    <w:rsid w:val="0084073F"/>
    <w:rsid w:val="00840A9C"/>
    <w:rsid w:val="0084152B"/>
    <w:rsid w:val="008426C8"/>
    <w:rsid w:val="008447AF"/>
    <w:rsid w:val="00845024"/>
    <w:rsid w:val="00845938"/>
    <w:rsid w:val="00845F12"/>
    <w:rsid w:val="00853DCA"/>
    <w:rsid w:val="00856D35"/>
    <w:rsid w:val="00856EA7"/>
    <w:rsid w:val="00860415"/>
    <w:rsid w:val="00860659"/>
    <w:rsid w:val="00860B84"/>
    <w:rsid w:val="00865088"/>
    <w:rsid w:val="00866B0D"/>
    <w:rsid w:val="00867575"/>
    <w:rsid w:val="0087031E"/>
    <w:rsid w:val="0087064C"/>
    <w:rsid w:val="00871671"/>
    <w:rsid w:val="00872B35"/>
    <w:rsid w:val="00872FA1"/>
    <w:rsid w:val="00875098"/>
    <w:rsid w:val="00876B17"/>
    <w:rsid w:val="00876F3A"/>
    <w:rsid w:val="00877626"/>
    <w:rsid w:val="00880E21"/>
    <w:rsid w:val="00882224"/>
    <w:rsid w:val="008823EC"/>
    <w:rsid w:val="008830AE"/>
    <w:rsid w:val="0088459D"/>
    <w:rsid w:val="00884715"/>
    <w:rsid w:val="00884AFA"/>
    <w:rsid w:val="008850C2"/>
    <w:rsid w:val="00885402"/>
    <w:rsid w:val="00887190"/>
    <w:rsid w:val="00890F91"/>
    <w:rsid w:val="00891D10"/>
    <w:rsid w:val="00892165"/>
    <w:rsid w:val="008922CC"/>
    <w:rsid w:val="00892EDE"/>
    <w:rsid w:val="00893926"/>
    <w:rsid w:val="0089464B"/>
    <w:rsid w:val="00894CCD"/>
    <w:rsid w:val="008950EC"/>
    <w:rsid w:val="00895844"/>
    <w:rsid w:val="0089594A"/>
    <w:rsid w:val="00895DE2"/>
    <w:rsid w:val="008964EB"/>
    <w:rsid w:val="0089736A"/>
    <w:rsid w:val="00897765"/>
    <w:rsid w:val="008A0A57"/>
    <w:rsid w:val="008A2278"/>
    <w:rsid w:val="008A494B"/>
    <w:rsid w:val="008A5C95"/>
    <w:rsid w:val="008A70E9"/>
    <w:rsid w:val="008B2513"/>
    <w:rsid w:val="008B2D48"/>
    <w:rsid w:val="008B4C3E"/>
    <w:rsid w:val="008B4F43"/>
    <w:rsid w:val="008B68F0"/>
    <w:rsid w:val="008C05BB"/>
    <w:rsid w:val="008C0E92"/>
    <w:rsid w:val="008C12A0"/>
    <w:rsid w:val="008C1670"/>
    <w:rsid w:val="008C348D"/>
    <w:rsid w:val="008C6724"/>
    <w:rsid w:val="008C68C9"/>
    <w:rsid w:val="008C6D2D"/>
    <w:rsid w:val="008C7005"/>
    <w:rsid w:val="008D0D9F"/>
    <w:rsid w:val="008D16C4"/>
    <w:rsid w:val="008D48AF"/>
    <w:rsid w:val="008D511E"/>
    <w:rsid w:val="008E0484"/>
    <w:rsid w:val="008E078E"/>
    <w:rsid w:val="008E0B27"/>
    <w:rsid w:val="008E3780"/>
    <w:rsid w:val="008E5391"/>
    <w:rsid w:val="008E6E37"/>
    <w:rsid w:val="008F1CCB"/>
    <w:rsid w:val="008F587A"/>
    <w:rsid w:val="008F5920"/>
    <w:rsid w:val="008F6D97"/>
    <w:rsid w:val="008F706B"/>
    <w:rsid w:val="008F716D"/>
    <w:rsid w:val="008F73BF"/>
    <w:rsid w:val="00900682"/>
    <w:rsid w:val="00901104"/>
    <w:rsid w:val="00901350"/>
    <w:rsid w:val="00901AA9"/>
    <w:rsid w:val="00902201"/>
    <w:rsid w:val="0090280C"/>
    <w:rsid w:val="00902C84"/>
    <w:rsid w:val="00902D3A"/>
    <w:rsid w:val="0090342A"/>
    <w:rsid w:val="00904FE9"/>
    <w:rsid w:val="00906B20"/>
    <w:rsid w:val="00907716"/>
    <w:rsid w:val="0091090A"/>
    <w:rsid w:val="00910925"/>
    <w:rsid w:val="00910A0F"/>
    <w:rsid w:val="0091102E"/>
    <w:rsid w:val="00911228"/>
    <w:rsid w:val="00911EAD"/>
    <w:rsid w:val="00914283"/>
    <w:rsid w:val="009170DB"/>
    <w:rsid w:val="00917858"/>
    <w:rsid w:val="00921277"/>
    <w:rsid w:val="009220B8"/>
    <w:rsid w:val="00922F0C"/>
    <w:rsid w:val="00922F34"/>
    <w:rsid w:val="0092359D"/>
    <w:rsid w:val="00925653"/>
    <w:rsid w:val="00925CF4"/>
    <w:rsid w:val="009274A4"/>
    <w:rsid w:val="00930882"/>
    <w:rsid w:val="0093098F"/>
    <w:rsid w:val="00933244"/>
    <w:rsid w:val="00933310"/>
    <w:rsid w:val="009345DE"/>
    <w:rsid w:val="0093473E"/>
    <w:rsid w:val="0093483D"/>
    <w:rsid w:val="00935AF6"/>
    <w:rsid w:val="00936D71"/>
    <w:rsid w:val="009377A6"/>
    <w:rsid w:val="009407D5"/>
    <w:rsid w:val="00940AA7"/>
    <w:rsid w:val="00944178"/>
    <w:rsid w:val="009443B2"/>
    <w:rsid w:val="009454C8"/>
    <w:rsid w:val="00945594"/>
    <w:rsid w:val="00946AF5"/>
    <w:rsid w:val="009477D6"/>
    <w:rsid w:val="00947B78"/>
    <w:rsid w:val="00950A23"/>
    <w:rsid w:val="00950A85"/>
    <w:rsid w:val="0095192F"/>
    <w:rsid w:val="00956F55"/>
    <w:rsid w:val="009579A5"/>
    <w:rsid w:val="00960950"/>
    <w:rsid w:val="00962AE5"/>
    <w:rsid w:val="00963A2B"/>
    <w:rsid w:val="00964FB0"/>
    <w:rsid w:val="00966706"/>
    <w:rsid w:val="00966874"/>
    <w:rsid w:val="00971097"/>
    <w:rsid w:val="00971771"/>
    <w:rsid w:val="00971D98"/>
    <w:rsid w:val="009724E7"/>
    <w:rsid w:val="0097298B"/>
    <w:rsid w:val="00973199"/>
    <w:rsid w:val="009737B9"/>
    <w:rsid w:val="009742FB"/>
    <w:rsid w:val="009763BB"/>
    <w:rsid w:val="009763ED"/>
    <w:rsid w:val="009769E6"/>
    <w:rsid w:val="0097744E"/>
    <w:rsid w:val="0097754A"/>
    <w:rsid w:val="00977BDE"/>
    <w:rsid w:val="00977CB2"/>
    <w:rsid w:val="00977E6A"/>
    <w:rsid w:val="009801BA"/>
    <w:rsid w:val="00980419"/>
    <w:rsid w:val="009822DF"/>
    <w:rsid w:val="00982E89"/>
    <w:rsid w:val="00983483"/>
    <w:rsid w:val="009843D3"/>
    <w:rsid w:val="00985E3F"/>
    <w:rsid w:val="009867AC"/>
    <w:rsid w:val="00987504"/>
    <w:rsid w:val="00990A54"/>
    <w:rsid w:val="00991563"/>
    <w:rsid w:val="00991677"/>
    <w:rsid w:val="00991BB3"/>
    <w:rsid w:val="00991D77"/>
    <w:rsid w:val="009921C8"/>
    <w:rsid w:val="00993B74"/>
    <w:rsid w:val="00993BE0"/>
    <w:rsid w:val="009942BF"/>
    <w:rsid w:val="009960CC"/>
    <w:rsid w:val="00996A11"/>
    <w:rsid w:val="009A25A5"/>
    <w:rsid w:val="009A2655"/>
    <w:rsid w:val="009A3ADA"/>
    <w:rsid w:val="009A6004"/>
    <w:rsid w:val="009A65AD"/>
    <w:rsid w:val="009A68A5"/>
    <w:rsid w:val="009A6A87"/>
    <w:rsid w:val="009A6B26"/>
    <w:rsid w:val="009A6E90"/>
    <w:rsid w:val="009A6F38"/>
    <w:rsid w:val="009A77C5"/>
    <w:rsid w:val="009A7B8A"/>
    <w:rsid w:val="009B279D"/>
    <w:rsid w:val="009B2F81"/>
    <w:rsid w:val="009B37BE"/>
    <w:rsid w:val="009B41A0"/>
    <w:rsid w:val="009B59D9"/>
    <w:rsid w:val="009B5B88"/>
    <w:rsid w:val="009B5FDD"/>
    <w:rsid w:val="009B60AA"/>
    <w:rsid w:val="009C111B"/>
    <w:rsid w:val="009C1338"/>
    <w:rsid w:val="009C15F0"/>
    <w:rsid w:val="009C2550"/>
    <w:rsid w:val="009C2A0A"/>
    <w:rsid w:val="009C2C17"/>
    <w:rsid w:val="009C35F4"/>
    <w:rsid w:val="009C4BE6"/>
    <w:rsid w:val="009C5EF2"/>
    <w:rsid w:val="009C60DE"/>
    <w:rsid w:val="009D05E0"/>
    <w:rsid w:val="009D3253"/>
    <w:rsid w:val="009D61E9"/>
    <w:rsid w:val="009D7777"/>
    <w:rsid w:val="009D7E54"/>
    <w:rsid w:val="009E169B"/>
    <w:rsid w:val="009E3514"/>
    <w:rsid w:val="009E3982"/>
    <w:rsid w:val="009E4AFE"/>
    <w:rsid w:val="009E64CD"/>
    <w:rsid w:val="009E7990"/>
    <w:rsid w:val="009F0AAF"/>
    <w:rsid w:val="009F2667"/>
    <w:rsid w:val="009F462E"/>
    <w:rsid w:val="009F55B1"/>
    <w:rsid w:val="009F569A"/>
    <w:rsid w:val="009F5D79"/>
    <w:rsid w:val="009F5F4D"/>
    <w:rsid w:val="009F7EA0"/>
    <w:rsid w:val="009F7EE4"/>
    <w:rsid w:val="00A002C0"/>
    <w:rsid w:val="00A0227F"/>
    <w:rsid w:val="00A02C7B"/>
    <w:rsid w:val="00A03095"/>
    <w:rsid w:val="00A03E42"/>
    <w:rsid w:val="00A072B0"/>
    <w:rsid w:val="00A07BDA"/>
    <w:rsid w:val="00A07C91"/>
    <w:rsid w:val="00A10312"/>
    <w:rsid w:val="00A119F1"/>
    <w:rsid w:val="00A12A72"/>
    <w:rsid w:val="00A12DF9"/>
    <w:rsid w:val="00A1305A"/>
    <w:rsid w:val="00A141C7"/>
    <w:rsid w:val="00A161A3"/>
    <w:rsid w:val="00A201FA"/>
    <w:rsid w:val="00A208FD"/>
    <w:rsid w:val="00A2139A"/>
    <w:rsid w:val="00A219A3"/>
    <w:rsid w:val="00A21AB9"/>
    <w:rsid w:val="00A22B00"/>
    <w:rsid w:val="00A231CE"/>
    <w:rsid w:val="00A2327A"/>
    <w:rsid w:val="00A24063"/>
    <w:rsid w:val="00A26F57"/>
    <w:rsid w:val="00A27CC6"/>
    <w:rsid w:val="00A300B2"/>
    <w:rsid w:val="00A315AA"/>
    <w:rsid w:val="00A31C68"/>
    <w:rsid w:val="00A31E72"/>
    <w:rsid w:val="00A3245C"/>
    <w:rsid w:val="00A3285B"/>
    <w:rsid w:val="00A33A61"/>
    <w:rsid w:val="00A3426F"/>
    <w:rsid w:val="00A34843"/>
    <w:rsid w:val="00A34C1F"/>
    <w:rsid w:val="00A3618C"/>
    <w:rsid w:val="00A363DA"/>
    <w:rsid w:val="00A36471"/>
    <w:rsid w:val="00A3723C"/>
    <w:rsid w:val="00A37D68"/>
    <w:rsid w:val="00A40D35"/>
    <w:rsid w:val="00A414EE"/>
    <w:rsid w:val="00A42333"/>
    <w:rsid w:val="00A43044"/>
    <w:rsid w:val="00A43E84"/>
    <w:rsid w:val="00A449A1"/>
    <w:rsid w:val="00A44B62"/>
    <w:rsid w:val="00A47AD5"/>
    <w:rsid w:val="00A47BBA"/>
    <w:rsid w:val="00A528A8"/>
    <w:rsid w:val="00A52E85"/>
    <w:rsid w:val="00A533EA"/>
    <w:rsid w:val="00A53ADB"/>
    <w:rsid w:val="00A53E34"/>
    <w:rsid w:val="00A53E89"/>
    <w:rsid w:val="00A5408B"/>
    <w:rsid w:val="00A56B94"/>
    <w:rsid w:val="00A57517"/>
    <w:rsid w:val="00A61491"/>
    <w:rsid w:val="00A6152E"/>
    <w:rsid w:val="00A6268E"/>
    <w:rsid w:val="00A63714"/>
    <w:rsid w:val="00A66C9C"/>
    <w:rsid w:val="00A67E0C"/>
    <w:rsid w:val="00A7078E"/>
    <w:rsid w:val="00A70BB9"/>
    <w:rsid w:val="00A7202C"/>
    <w:rsid w:val="00A74D87"/>
    <w:rsid w:val="00A7530C"/>
    <w:rsid w:val="00A767D5"/>
    <w:rsid w:val="00A77629"/>
    <w:rsid w:val="00A77C93"/>
    <w:rsid w:val="00A80665"/>
    <w:rsid w:val="00A82760"/>
    <w:rsid w:val="00A830C6"/>
    <w:rsid w:val="00A831B6"/>
    <w:rsid w:val="00A839DA"/>
    <w:rsid w:val="00A83ED0"/>
    <w:rsid w:val="00A85648"/>
    <w:rsid w:val="00A85977"/>
    <w:rsid w:val="00A8760B"/>
    <w:rsid w:val="00A87B5D"/>
    <w:rsid w:val="00A87B8F"/>
    <w:rsid w:val="00A90DE6"/>
    <w:rsid w:val="00A932B9"/>
    <w:rsid w:val="00A9407E"/>
    <w:rsid w:val="00A94242"/>
    <w:rsid w:val="00A9495D"/>
    <w:rsid w:val="00A957F0"/>
    <w:rsid w:val="00A96D03"/>
    <w:rsid w:val="00A96DB9"/>
    <w:rsid w:val="00AA02B1"/>
    <w:rsid w:val="00AA101F"/>
    <w:rsid w:val="00AA1057"/>
    <w:rsid w:val="00AA1622"/>
    <w:rsid w:val="00AA1A7C"/>
    <w:rsid w:val="00AA26BE"/>
    <w:rsid w:val="00AA5CE5"/>
    <w:rsid w:val="00AA631C"/>
    <w:rsid w:val="00AA665C"/>
    <w:rsid w:val="00AB079B"/>
    <w:rsid w:val="00AB0D75"/>
    <w:rsid w:val="00AB14F6"/>
    <w:rsid w:val="00AB2484"/>
    <w:rsid w:val="00AB2D1E"/>
    <w:rsid w:val="00AB2F7E"/>
    <w:rsid w:val="00AB30ED"/>
    <w:rsid w:val="00AB3C4F"/>
    <w:rsid w:val="00AB4252"/>
    <w:rsid w:val="00AB436F"/>
    <w:rsid w:val="00AB5707"/>
    <w:rsid w:val="00AB6E1E"/>
    <w:rsid w:val="00AC04A7"/>
    <w:rsid w:val="00AC1C6E"/>
    <w:rsid w:val="00AC3985"/>
    <w:rsid w:val="00AC3F74"/>
    <w:rsid w:val="00AC4026"/>
    <w:rsid w:val="00AC49A8"/>
    <w:rsid w:val="00AC56D9"/>
    <w:rsid w:val="00AC5CD3"/>
    <w:rsid w:val="00AC5D99"/>
    <w:rsid w:val="00AC62E9"/>
    <w:rsid w:val="00AC7C3F"/>
    <w:rsid w:val="00AC7C90"/>
    <w:rsid w:val="00AD0368"/>
    <w:rsid w:val="00AD03FF"/>
    <w:rsid w:val="00AD1001"/>
    <w:rsid w:val="00AD1458"/>
    <w:rsid w:val="00AD24FB"/>
    <w:rsid w:val="00AD2A2E"/>
    <w:rsid w:val="00AD3EE6"/>
    <w:rsid w:val="00AD42DB"/>
    <w:rsid w:val="00AD4312"/>
    <w:rsid w:val="00AD69DB"/>
    <w:rsid w:val="00AD78BA"/>
    <w:rsid w:val="00AE0074"/>
    <w:rsid w:val="00AE1260"/>
    <w:rsid w:val="00AE1B04"/>
    <w:rsid w:val="00AE21A7"/>
    <w:rsid w:val="00AE29AA"/>
    <w:rsid w:val="00AE2CE9"/>
    <w:rsid w:val="00AE41C2"/>
    <w:rsid w:val="00AE45A1"/>
    <w:rsid w:val="00AE530B"/>
    <w:rsid w:val="00AE5DDB"/>
    <w:rsid w:val="00AE6650"/>
    <w:rsid w:val="00AE6934"/>
    <w:rsid w:val="00AE779C"/>
    <w:rsid w:val="00AE78E8"/>
    <w:rsid w:val="00AF0AD1"/>
    <w:rsid w:val="00AF0C31"/>
    <w:rsid w:val="00AF129C"/>
    <w:rsid w:val="00AF1B8E"/>
    <w:rsid w:val="00AF1EE6"/>
    <w:rsid w:val="00AF26A8"/>
    <w:rsid w:val="00AF2FA4"/>
    <w:rsid w:val="00AF3251"/>
    <w:rsid w:val="00AF3312"/>
    <w:rsid w:val="00AF3C3A"/>
    <w:rsid w:val="00AF597C"/>
    <w:rsid w:val="00AF654B"/>
    <w:rsid w:val="00AF685C"/>
    <w:rsid w:val="00AF6C4C"/>
    <w:rsid w:val="00AF71D6"/>
    <w:rsid w:val="00B02112"/>
    <w:rsid w:val="00B02B08"/>
    <w:rsid w:val="00B03EDC"/>
    <w:rsid w:val="00B043FA"/>
    <w:rsid w:val="00B04A1E"/>
    <w:rsid w:val="00B04CA7"/>
    <w:rsid w:val="00B04F10"/>
    <w:rsid w:val="00B07427"/>
    <w:rsid w:val="00B07676"/>
    <w:rsid w:val="00B1110B"/>
    <w:rsid w:val="00B11600"/>
    <w:rsid w:val="00B12710"/>
    <w:rsid w:val="00B13747"/>
    <w:rsid w:val="00B14191"/>
    <w:rsid w:val="00B15357"/>
    <w:rsid w:val="00B16680"/>
    <w:rsid w:val="00B17940"/>
    <w:rsid w:val="00B20F85"/>
    <w:rsid w:val="00B2106A"/>
    <w:rsid w:val="00B21D8E"/>
    <w:rsid w:val="00B227BD"/>
    <w:rsid w:val="00B22829"/>
    <w:rsid w:val="00B22E98"/>
    <w:rsid w:val="00B26B2C"/>
    <w:rsid w:val="00B27452"/>
    <w:rsid w:val="00B275D8"/>
    <w:rsid w:val="00B30DF8"/>
    <w:rsid w:val="00B3283B"/>
    <w:rsid w:val="00B3363D"/>
    <w:rsid w:val="00B33E44"/>
    <w:rsid w:val="00B35C9C"/>
    <w:rsid w:val="00B373F3"/>
    <w:rsid w:val="00B37EB2"/>
    <w:rsid w:val="00B401FB"/>
    <w:rsid w:val="00B40A29"/>
    <w:rsid w:val="00B40AC1"/>
    <w:rsid w:val="00B40BD3"/>
    <w:rsid w:val="00B41770"/>
    <w:rsid w:val="00B438CF"/>
    <w:rsid w:val="00B43DAA"/>
    <w:rsid w:val="00B447FB"/>
    <w:rsid w:val="00B44F2A"/>
    <w:rsid w:val="00B45642"/>
    <w:rsid w:val="00B45841"/>
    <w:rsid w:val="00B47FA4"/>
    <w:rsid w:val="00B51EA4"/>
    <w:rsid w:val="00B51EEF"/>
    <w:rsid w:val="00B524BC"/>
    <w:rsid w:val="00B52D4E"/>
    <w:rsid w:val="00B5339A"/>
    <w:rsid w:val="00B535B3"/>
    <w:rsid w:val="00B544B2"/>
    <w:rsid w:val="00B547F2"/>
    <w:rsid w:val="00B550F4"/>
    <w:rsid w:val="00B56528"/>
    <w:rsid w:val="00B56A7A"/>
    <w:rsid w:val="00B60434"/>
    <w:rsid w:val="00B619BE"/>
    <w:rsid w:val="00B62C14"/>
    <w:rsid w:val="00B631C5"/>
    <w:rsid w:val="00B63D2B"/>
    <w:rsid w:val="00B64DF0"/>
    <w:rsid w:val="00B66364"/>
    <w:rsid w:val="00B66A42"/>
    <w:rsid w:val="00B7017E"/>
    <w:rsid w:val="00B70212"/>
    <w:rsid w:val="00B7062F"/>
    <w:rsid w:val="00B72435"/>
    <w:rsid w:val="00B7558B"/>
    <w:rsid w:val="00B755B8"/>
    <w:rsid w:val="00B75682"/>
    <w:rsid w:val="00B7604C"/>
    <w:rsid w:val="00B760F8"/>
    <w:rsid w:val="00B76223"/>
    <w:rsid w:val="00B76712"/>
    <w:rsid w:val="00B80336"/>
    <w:rsid w:val="00B816C2"/>
    <w:rsid w:val="00B81728"/>
    <w:rsid w:val="00B83070"/>
    <w:rsid w:val="00B834B9"/>
    <w:rsid w:val="00B83F94"/>
    <w:rsid w:val="00B9080A"/>
    <w:rsid w:val="00B90FEB"/>
    <w:rsid w:val="00B91506"/>
    <w:rsid w:val="00B91882"/>
    <w:rsid w:val="00B91BAB"/>
    <w:rsid w:val="00B92FBA"/>
    <w:rsid w:val="00B93492"/>
    <w:rsid w:val="00B93D5E"/>
    <w:rsid w:val="00B969F6"/>
    <w:rsid w:val="00BA03A5"/>
    <w:rsid w:val="00BA0BA1"/>
    <w:rsid w:val="00BA1781"/>
    <w:rsid w:val="00BA4499"/>
    <w:rsid w:val="00BA51C7"/>
    <w:rsid w:val="00BB3EC6"/>
    <w:rsid w:val="00BB59FE"/>
    <w:rsid w:val="00BB5C52"/>
    <w:rsid w:val="00BB64D1"/>
    <w:rsid w:val="00BB6D88"/>
    <w:rsid w:val="00BB7033"/>
    <w:rsid w:val="00BC0A16"/>
    <w:rsid w:val="00BC4268"/>
    <w:rsid w:val="00BC4756"/>
    <w:rsid w:val="00BC4D30"/>
    <w:rsid w:val="00BC54CA"/>
    <w:rsid w:val="00BC5886"/>
    <w:rsid w:val="00BC5B0A"/>
    <w:rsid w:val="00BC6299"/>
    <w:rsid w:val="00BC6744"/>
    <w:rsid w:val="00BD0E7F"/>
    <w:rsid w:val="00BD1910"/>
    <w:rsid w:val="00BD2071"/>
    <w:rsid w:val="00BD3F1B"/>
    <w:rsid w:val="00BD4644"/>
    <w:rsid w:val="00BD4710"/>
    <w:rsid w:val="00BD532E"/>
    <w:rsid w:val="00BD6EEF"/>
    <w:rsid w:val="00BE0AF0"/>
    <w:rsid w:val="00BE126C"/>
    <w:rsid w:val="00BE1E3F"/>
    <w:rsid w:val="00BE1F37"/>
    <w:rsid w:val="00BE2D76"/>
    <w:rsid w:val="00BE383C"/>
    <w:rsid w:val="00BE3C09"/>
    <w:rsid w:val="00BE450E"/>
    <w:rsid w:val="00BE4A19"/>
    <w:rsid w:val="00BE4BA5"/>
    <w:rsid w:val="00BE69BB"/>
    <w:rsid w:val="00BE6C0B"/>
    <w:rsid w:val="00BE7A78"/>
    <w:rsid w:val="00BF2FDA"/>
    <w:rsid w:val="00BF4AE9"/>
    <w:rsid w:val="00BF5206"/>
    <w:rsid w:val="00BF56F9"/>
    <w:rsid w:val="00BF77C0"/>
    <w:rsid w:val="00C024B3"/>
    <w:rsid w:val="00C02865"/>
    <w:rsid w:val="00C03177"/>
    <w:rsid w:val="00C03AB3"/>
    <w:rsid w:val="00C060BE"/>
    <w:rsid w:val="00C06DBF"/>
    <w:rsid w:val="00C0750D"/>
    <w:rsid w:val="00C07A29"/>
    <w:rsid w:val="00C10984"/>
    <w:rsid w:val="00C139CF"/>
    <w:rsid w:val="00C13EC3"/>
    <w:rsid w:val="00C1429A"/>
    <w:rsid w:val="00C143C1"/>
    <w:rsid w:val="00C151B3"/>
    <w:rsid w:val="00C15D90"/>
    <w:rsid w:val="00C16D7B"/>
    <w:rsid w:val="00C1737A"/>
    <w:rsid w:val="00C17DE0"/>
    <w:rsid w:val="00C23E2F"/>
    <w:rsid w:val="00C25C62"/>
    <w:rsid w:val="00C25D33"/>
    <w:rsid w:val="00C261E8"/>
    <w:rsid w:val="00C26C01"/>
    <w:rsid w:val="00C272D5"/>
    <w:rsid w:val="00C27694"/>
    <w:rsid w:val="00C278F1"/>
    <w:rsid w:val="00C3007A"/>
    <w:rsid w:val="00C3071C"/>
    <w:rsid w:val="00C32889"/>
    <w:rsid w:val="00C346EE"/>
    <w:rsid w:val="00C34B1C"/>
    <w:rsid w:val="00C362ED"/>
    <w:rsid w:val="00C37A73"/>
    <w:rsid w:val="00C43DF9"/>
    <w:rsid w:val="00C450DE"/>
    <w:rsid w:val="00C45E73"/>
    <w:rsid w:val="00C476F5"/>
    <w:rsid w:val="00C51DBB"/>
    <w:rsid w:val="00C523C9"/>
    <w:rsid w:val="00C529C3"/>
    <w:rsid w:val="00C5348C"/>
    <w:rsid w:val="00C5440B"/>
    <w:rsid w:val="00C54B94"/>
    <w:rsid w:val="00C54F78"/>
    <w:rsid w:val="00C56970"/>
    <w:rsid w:val="00C56A13"/>
    <w:rsid w:val="00C577AD"/>
    <w:rsid w:val="00C60988"/>
    <w:rsid w:val="00C60DD9"/>
    <w:rsid w:val="00C61030"/>
    <w:rsid w:val="00C617F5"/>
    <w:rsid w:val="00C6214B"/>
    <w:rsid w:val="00C625D0"/>
    <w:rsid w:val="00C6357A"/>
    <w:rsid w:val="00C63CBE"/>
    <w:rsid w:val="00C6406F"/>
    <w:rsid w:val="00C655D9"/>
    <w:rsid w:val="00C670AB"/>
    <w:rsid w:val="00C67EC9"/>
    <w:rsid w:val="00C7223E"/>
    <w:rsid w:val="00C72934"/>
    <w:rsid w:val="00C729D0"/>
    <w:rsid w:val="00C72C9B"/>
    <w:rsid w:val="00C7319C"/>
    <w:rsid w:val="00C73E93"/>
    <w:rsid w:val="00C768E9"/>
    <w:rsid w:val="00C800DC"/>
    <w:rsid w:val="00C8053A"/>
    <w:rsid w:val="00C807E5"/>
    <w:rsid w:val="00C814E7"/>
    <w:rsid w:val="00C81A07"/>
    <w:rsid w:val="00C820E0"/>
    <w:rsid w:val="00C821F2"/>
    <w:rsid w:val="00C82A26"/>
    <w:rsid w:val="00C84DEC"/>
    <w:rsid w:val="00C85B7A"/>
    <w:rsid w:val="00C86389"/>
    <w:rsid w:val="00C86D0D"/>
    <w:rsid w:val="00C91305"/>
    <w:rsid w:val="00C91440"/>
    <w:rsid w:val="00C91922"/>
    <w:rsid w:val="00C9210C"/>
    <w:rsid w:val="00C9330C"/>
    <w:rsid w:val="00C93A83"/>
    <w:rsid w:val="00C93BE8"/>
    <w:rsid w:val="00C94E42"/>
    <w:rsid w:val="00C9506C"/>
    <w:rsid w:val="00C96300"/>
    <w:rsid w:val="00C96664"/>
    <w:rsid w:val="00C9749E"/>
    <w:rsid w:val="00CA10A2"/>
    <w:rsid w:val="00CA160A"/>
    <w:rsid w:val="00CA2BBF"/>
    <w:rsid w:val="00CA3EDD"/>
    <w:rsid w:val="00CB0A3C"/>
    <w:rsid w:val="00CB0DEE"/>
    <w:rsid w:val="00CB103C"/>
    <w:rsid w:val="00CB2C34"/>
    <w:rsid w:val="00CB3476"/>
    <w:rsid w:val="00CB4660"/>
    <w:rsid w:val="00CB5F4D"/>
    <w:rsid w:val="00CB6FCC"/>
    <w:rsid w:val="00CB7CFE"/>
    <w:rsid w:val="00CC02F6"/>
    <w:rsid w:val="00CC0C5A"/>
    <w:rsid w:val="00CC2340"/>
    <w:rsid w:val="00CD01C7"/>
    <w:rsid w:val="00CD160B"/>
    <w:rsid w:val="00CD1739"/>
    <w:rsid w:val="00CD3BCF"/>
    <w:rsid w:val="00CD433B"/>
    <w:rsid w:val="00CD568B"/>
    <w:rsid w:val="00CD6580"/>
    <w:rsid w:val="00CD69B0"/>
    <w:rsid w:val="00CD765F"/>
    <w:rsid w:val="00CE0F3F"/>
    <w:rsid w:val="00CE15D1"/>
    <w:rsid w:val="00CE1C0D"/>
    <w:rsid w:val="00CE222E"/>
    <w:rsid w:val="00CE2696"/>
    <w:rsid w:val="00CE28BA"/>
    <w:rsid w:val="00CE2904"/>
    <w:rsid w:val="00CE32D4"/>
    <w:rsid w:val="00CE45AA"/>
    <w:rsid w:val="00CE4A0B"/>
    <w:rsid w:val="00CE501D"/>
    <w:rsid w:val="00CE68CA"/>
    <w:rsid w:val="00CE6D89"/>
    <w:rsid w:val="00CE75C9"/>
    <w:rsid w:val="00CF0487"/>
    <w:rsid w:val="00CF1894"/>
    <w:rsid w:val="00CF18F8"/>
    <w:rsid w:val="00CF249E"/>
    <w:rsid w:val="00CF273C"/>
    <w:rsid w:val="00CF39F2"/>
    <w:rsid w:val="00CF4C61"/>
    <w:rsid w:val="00CF5307"/>
    <w:rsid w:val="00CF7201"/>
    <w:rsid w:val="00CF75CD"/>
    <w:rsid w:val="00D000E4"/>
    <w:rsid w:val="00D01106"/>
    <w:rsid w:val="00D02624"/>
    <w:rsid w:val="00D026D4"/>
    <w:rsid w:val="00D02C1A"/>
    <w:rsid w:val="00D0347C"/>
    <w:rsid w:val="00D03A26"/>
    <w:rsid w:val="00D0701A"/>
    <w:rsid w:val="00D076CA"/>
    <w:rsid w:val="00D07A09"/>
    <w:rsid w:val="00D104F6"/>
    <w:rsid w:val="00D108CB"/>
    <w:rsid w:val="00D10B80"/>
    <w:rsid w:val="00D1176E"/>
    <w:rsid w:val="00D12422"/>
    <w:rsid w:val="00D14086"/>
    <w:rsid w:val="00D17B44"/>
    <w:rsid w:val="00D2006F"/>
    <w:rsid w:val="00D2008C"/>
    <w:rsid w:val="00D208CF"/>
    <w:rsid w:val="00D214AA"/>
    <w:rsid w:val="00D22106"/>
    <w:rsid w:val="00D25ACD"/>
    <w:rsid w:val="00D26408"/>
    <w:rsid w:val="00D26799"/>
    <w:rsid w:val="00D267E4"/>
    <w:rsid w:val="00D270CA"/>
    <w:rsid w:val="00D27FB3"/>
    <w:rsid w:val="00D301A9"/>
    <w:rsid w:val="00D30A4D"/>
    <w:rsid w:val="00D30FC4"/>
    <w:rsid w:val="00D34527"/>
    <w:rsid w:val="00D3572E"/>
    <w:rsid w:val="00D35D49"/>
    <w:rsid w:val="00D365C9"/>
    <w:rsid w:val="00D37FC1"/>
    <w:rsid w:val="00D4030B"/>
    <w:rsid w:val="00D40D60"/>
    <w:rsid w:val="00D421B7"/>
    <w:rsid w:val="00D44109"/>
    <w:rsid w:val="00D44A8A"/>
    <w:rsid w:val="00D533A4"/>
    <w:rsid w:val="00D53436"/>
    <w:rsid w:val="00D53AA2"/>
    <w:rsid w:val="00D54C54"/>
    <w:rsid w:val="00D562F1"/>
    <w:rsid w:val="00D56D2B"/>
    <w:rsid w:val="00D5753D"/>
    <w:rsid w:val="00D6383B"/>
    <w:rsid w:val="00D63A29"/>
    <w:rsid w:val="00D64774"/>
    <w:rsid w:val="00D65814"/>
    <w:rsid w:val="00D66279"/>
    <w:rsid w:val="00D67FB5"/>
    <w:rsid w:val="00D701E6"/>
    <w:rsid w:val="00D706EA"/>
    <w:rsid w:val="00D71040"/>
    <w:rsid w:val="00D7119B"/>
    <w:rsid w:val="00D71A85"/>
    <w:rsid w:val="00D71D39"/>
    <w:rsid w:val="00D72843"/>
    <w:rsid w:val="00D72EA9"/>
    <w:rsid w:val="00D77856"/>
    <w:rsid w:val="00D800B8"/>
    <w:rsid w:val="00D810ED"/>
    <w:rsid w:val="00D8169B"/>
    <w:rsid w:val="00D864BC"/>
    <w:rsid w:val="00D86918"/>
    <w:rsid w:val="00D86F71"/>
    <w:rsid w:val="00D95CAC"/>
    <w:rsid w:val="00D96D56"/>
    <w:rsid w:val="00D970DD"/>
    <w:rsid w:val="00DA028A"/>
    <w:rsid w:val="00DA0912"/>
    <w:rsid w:val="00DA1CA1"/>
    <w:rsid w:val="00DA21B5"/>
    <w:rsid w:val="00DA2EEC"/>
    <w:rsid w:val="00DA327B"/>
    <w:rsid w:val="00DA333B"/>
    <w:rsid w:val="00DA3651"/>
    <w:rsid w:val="00DA4C05"/>
    <w:rsid w:val="00DA5BEB"/>
    <w:rsid w:val="00DA7A6E"/>
    <w:rsid w:val="00DB0C51"/>
    <w:rsid w:val="00DB2009"/>
    <w:rsid w:val="00DB745B"/>
    <w:rsid w:val="00DC1FF4"/>
    <w:rsid w:val="00DC2AE5"/>
    <w:rsid w:val="00DC2E88"/>
    <w:rsid w:val="00DC3915"/>
    <w:rsid w:val="00DC40AD"/>
    <w:rsid w:val="00DC5AAD"/>
    <w:rsid w:val="00DC5C45"/>
    <w:rsid w:val="00DC5FDA"/>
    <w:rsid w:val="00DC61F3"/>
    <w:rsid w:val="00DD053E"/>
    <w:rsid w:val="00DD0E1F"/>
    <w:rsid w:val="00DD2574"/>
    <w:rsid w:val="00DD272C"/>
    <w:rsid w:val="00DD283B"/>
    <w:rsid w:val="00DD3766"/>
    <w:rsid w:val="00DD4D0A"/>
    <w:rsid w:val="00DD4EB3"/>
    <w:rsid w:val="00DD61FE"/>
    <w:rsid w:val="00DD6E0C"/>
    <w:rsid w:val="00DE02F9"/>
    <w:rsid w:val="00DE0FE4"/>
    <w:rsid w:val="00DE222A"/>
    <w:rsid w:val="00DE3EAD"/>
    <w:rsid w:val="00DE511D"/>
    <w:rsid w:val="00DE55C6"/>
    <w:rsid w:val="00DE5B7A"/>
    <w:rsid w:val="00DE6289"/>
    <w:rsid w:val="00DE6702"/>
    <w:rsid w:val="00DF0BB0"/>
    <w:rsid w:val="00DF0EE1"/>
    <w:rsid w:val="00DF340E"/>
    <w:rsid w:val="00DF3537"/>
    <w:rsid w:val="00DF3AF4"/>
    <w:rsid w:val="00DF56D3"/>
    <w:rsid w:val="00DF5CB7"/>
    <w:rsid w:val="00E0005E"/>
    <w:rsid w:val="00E00F12"/>
    <w:rsid w:val="00E01846"/>
    <w:rsid w:val="00E01B57"/>
    <w:rsid w:val="00E01B86"/>
    <w:rsid w:val="00E0249F"/>
    <w:rsid w:val="00E0444B"/>
    <w:rsid w:val="00E04DA5"/>
    <w:rsid w:val="00E04EA3"/>
    <w:rsid w:val="00E05B77"/>
    <w:rsid w:val="00E06370"/>
    <w:rsid w:val="00E063CC"/>
    <w:rsid w:val="00E11F33"/>
    <w:rsid w:val="00E124A1"/>
    <w:rsid w:val="00E126ED"/>
    <w:rsid w:val="00E12780"/>
    <w:rsid w:val="00E14475"/>
    <w:rsid w:val="00E14FF3"/>
    <w:rsid w:val="00E1680F"/>
    <w:rsid w:val="00E22EA1"/>
    <w:rsid w:val="00E233CD"/>
    <w:rsid w:val="00E239A3"/>
    <w:rsid w:val="00E23F07"/>
    <w:rsid w:val="00E25741"/>
    <w:rsid w:val="00E25FD9"/>
    <w:rsid w:val="00E267C1"/>
    <w:rsid w:val="00E30D04"/>
    <w:rsid w:val="00E3238A"/>
    <w:rsid w:val="00E34967"/>
    <w:rsid w:val="00E34C9B"/>
    <w:rsid w:val="00E35B82"/>
    <w:rsid w:val="00E3610A"/>
    <w:rsid w:val="00E36396"/>
    <w:rsid w:val="00E37A7B"/>
    <w:rsid w:val="00E43ED3"/>
    <w:rsid w:val="00E45B95"/>
    <w:rsid w:val="00E468E1"/>
    <w:rsid w:val="00E46901"/>
    <w:rsid w:val="00E4797E"/>
    <w:rsid w:val="00E505B6"/>
    <w:rsid w:val="00E51120"/>
    <w:rsid w:val="00E51800"/>
    <w:rsid w:val="00E544F4"/>
    <w:rsid w:val="00E54A42"/>
    <w:rsid w:val="00E54CEA"/>
    <w:rsid w:val="00E54DD3"/>
    <w:rsid w:val="00E551CE"/>
    <w:rsid w:val="00E55F43"/>
    <w:rsid w:val="00E56097"/>
    <w:rsid w:val="00E567F0"/>
    <w:rsid w:val="00E5796F"/>
    <w:rsid w:val="00E61491"/>
    <w:rsid w:val="00E62B5C"/>
    <w:rsid w:val="00E64D7A"/>
    <w:rsid w:val="00E67848"/>
    <w:rsid w:val="00E721B4"/>
    <w:rsid w:val="00E72832"/>
    <w:rsid w:val="00E757D7"/>
    <w:rsid w:val="00E766BF"/>
    <w:rsid w:val="00E77C73"/>
    <w:rsid w:val="00E77D62"/>
    <w:rsid w:val="00E8003A"/>
    <w:rsid w:val="00E8104F"/>
    <w:rsid w:val="00E82230"/>
    <w:rsid w:val="00E82886"/>
    <w:rsid w:val="00E841B1"/>
    <w:rsid w:val="00E8458F"/>
    <w:rsid w:val="00E85A6C"/>
    <w:rsid w:val="00E865CF"/>
    <w:rsid w:val="00E87204"/>
    <w:rsid w:val="00E873B2"/>
    <w:rsid w:val="00E876E3"/>
    <w:rsid w:val="00E877F9"/>
    <w:rsid w:val="00E87B42"/>
    <w:rsid w:val="00E90254"/>
    <w:rsid w:val="00E908BF"/>
    <w:rsid w:val="00E90FD6"/>
    <w:rsid w:val="00E9192C"/>
    <w:rsid w:val="00E92212"/>
    <w:rsid w:val="00E926EA"/>
    <w:rsid w:val="00E93A4C"/>
    <w:rsid w:val="00E95726"/>
    <w:rsid w:val="00EA07C3"/>
    <w:rsid w:val="00EA0E4E"/>
    <w:rsid w:val="00EA132D"/>
    <w:rsid w:val="00EA1638"/>
    <w:rsid w:val="00EA2D0F"/>
    <w:rsid w:val="00EA2E26"/>
    <w:rsid w:val="00EA389D"/>
    <w:rsid w:val="00EA46A7"/>
    <w:rsid w:val="00EA471C"/>
    <w:rsid w:val="00EA4A8B"/>
    <w:rsid w:val="00EA5820"/>
    <w:rsid w:val="00EA65F9"/>
    <w:rsid w:val="00EA6E6C"/>
    <w:rsid w:val="00EA79E4"/>
    <w:rsid w:val="00EB12BA"/>
    <w:rsid w:val="00EB132E"/>
    <w:rsid w:val="00EB13CB"/>
    <w:rsid w:val="00EB24EE"/>
    <w:rsid w:val="00EB34A9"/>
    <w:rsid w:val="00EB3785"/>
    <w:rsid w:val="00EC02D0"/>
    <w:rsid w:val="00EC0AA0"/>
    <w:rsid w:val="00EC2285"/>
    <w:rsid w:val="00EC2519"/>
    <w:rsid w:val="00EC2E3D"/>
    <w:rsid w:val="00EC462C"/>
    <w:rsid w:val="00EC472D"/>
    <w:rsid w:val="00EC6ACD"/>
    <w:rsid w:val="00EC6F26"/>
    <w:rsid w:val="00ED0A40"/>
    <w:rsid w:val="00ED1B7F"/>
    <w:rsid w:val="00ED1EB9"/>
    <w:rsid w:val="00ED236A"/>
    <w:rsid w:val="00ED3525"/>
    <w:rsid w:val="00ED4B02"/>
    <w:rsid w:val="00ED4B3C"/>
    <w:rsid w:val="00ED593D"/>
    <w:rsid w:val="00ED7987"/>
    <w:rsid w:val="00EE1FEA"/>
    <w:rsid w:val="00EE2064"/>
    <w:rsid w:val="00EE25CA"/>
    <w:rsid w:val="00EE31E6"/>
    <w:rsid w:val="00EE522B"/>
    <w:rsid w:val="00EE5465"/>
    <w:rsid w:val="00EE72F3"/>
    <w:rsid w:val="00EF0C03"/>
    <w:rsid w:val="00EF15BC"/>
    <w:rsid w:val="00EF1D60"/>
    <w:rsid w:val="00EF1E1B"/>
    <w:rsid w:val="00EF2261"/>
    <w:rsid w:val="00EF24FE"/>
    <w:rsid w:val="00EF25B4"/>
    <w:rsid w:val="00EF271C"/>
    <w:rsid w:val="00EF2C2A"/>
    <w:rsid w:val="00EF3AD7"/>
    <w:rsid w:val="00EF425C"/>
    <w:rsid w:val="00EF430E"/>
    <w:rsid w:val="00EF66F6"/>
    <w:rsid w:val="00EF67B3"/>
    <w:rsid w:val="00EF7B52"/>
    <w:rsid w:val="00F00110"/>
    <w:rsid w:val="00F02286"/>
    <w:rsid w:val="00F03204"/>
    <w:rsid w:val="00F035FE"/>
    <w:rsid w:val="00F052A7"/>
    <w:rsid w:val="00F06C9C"/>
    <w:rsid w:val="00F07698"/>
    <w:rsid w:val="00F1037F"/>
    <w:rsid w:val="00F10458"/>
    <w:rsid w:val="00F10CA1"/>
    <w:rsid w:val="00F118C3"/>
    <w:rsid w:val="00F11BAB"/>
    <w:rsid w:val="00F1205B"/>
    <w:rsid w:val="00F1213A"/>
    <w:rsid w:val="00F122D8"/>
    <w:rsid w:val="00F1271F"/>
    <w:rsid w:val="00F13563"/>
    <w:rsid w:val="00F154E4"/>
    <w:rsid w:val="00F17DC7"/>
    <w:rsid w:val="00F211A8"/>
    <w:rsid w:val="00F21CF0"/>
    <w:rsid w:val="00F22342"/>
    <w:rsid w:val="00F223AD"/>
    <w:rsid w:val="00F2288C"/>
    <w:rsid w:val="00F230F6"/>
    <w:rsid w:val="00F24907"/>
    <w:rsid w:val="00F259D4"/>
    <w:rsid w:val="00F272F0"/>
    <w:rsid w:val="00F30749"/>
    <w:rsid w:val="00F310BF"/>
    <w:rsid w:val="00F31948"/>
    <w:rsid w:val="00F32A0D"/>
    <w:rsid w:val="00F32AEB"/>
    <w:rsid w:val="00F33C4A"/>
    <w:rsid w:val="00F34EE9"/>
    <w:rsid w:val="00F35BD7"/>
    <w:rsid w:val="00F36CDE"/>
    <w:rsid w:val="00F36DA0"/>
    <w:rsid w:val="00F370F1"/>
    <w:rsid w:val="00F373C4"/>
    <w:rsid w:val="00F37C60"/>
    <w:rsid w:val="00F40E5E"/>
    <w:rsid w:val="00F4211B"/>
    <w:rsid w:val="00F42647"/>
    <w:rsid w:val="00F42F94"/>
    <w:rsid w:val="00F4315B"/>
    <w:rsid w:val="00F44593"/>
    <w:rsid w:val="00F44EDC"/>
    <w:rsid w:val="00F457A6"/>
    <w:rsid w:val="00F46E93"/>
    <w:rsid w:val="00F475EA"/>
    <w:rsid w:val="00F4770F"/>
    <w:rsid w:val="00F5180C"/>
    <w:rsid w:val="00F527EB"/>
    <w:rsid w:val="00F5425E"/>
    <w:rsid w:val="00F54F30"/>
    <w:rsid w:val="00F55D8C"/>
    <w:rsid w:val="00F60239"/>
    <w:rsid w:val="00F62B23"/>
    <w:rsid w:val="00F63CE2"/>
    <w:rsid w:val="00F642A5"/>
    <w:rsid w:val="00F6473E"/>
    <w:rsid w:val="00F65036"/>
    <w:rsid w:val="00F65FC6"/>
    <w:rsid w:val="00F67F46"/>
    <w:rsid w:val="00F70888"/>
    <w:rsid w:val="00F71882"/>
    <w:rsid w:val="00F722FF"/>
    <w:rsid w:val="00F726DF"/>
    <w:rsid w:val="00F73A67"/>
    <w:rsid w:val="00F73D05"/>
    <w:rsid w:val="00F7577A"/>
    <w:rsid w:val="00F77E3A"/>
    <w:rsid w:val="00F77F5B"/>
    <w:rsid w:val="00F80180"/>
    <w:rsid w:val="00F83199"/>
    <w:rsid w:val="00F83E68"/>
    <w:rsid w:val="00F844A2"/>
    <w:rsid w:val="00F84F40"/>
    <w:rsid w:val="00F8523F"/>
    <w:rsid w:val="00F8604A"/>
    <w:rsid w:val="00F873D8"/>
    <w:rsid w:val="00F90188"/>
    <w:rsid w:val="00F91724"/>
    <w:rsid w:val="00F91AC9"/>
    <w:rsid w:val="00F94316"/>
    <w:rsid w:val="00F946C8"/>
    <w:rsid w:val="00F9603F"/>
    <w:rsid w:val="00F9610B"/>
    <w:rsid w:val="00F96127"/>
    <w:rsid w:val="00F968B5"/>
    <w:rsid w:val="00FA2A8F"/>
    <w:rsid w:val="00FA303A"/>
    <w:rsid w:val="00FA4017"/>
    <w:rsid w:val="00FA4855"/>
    <w:rsid w:val="00FA6CE4"/>
    <w:rsid w:val="00FB03CA"/>
    <w:rsid w:val="00FB06EF"/>
    <w:rsid w:val="00FB47A4"/>
    <w:rsid w:val="00FB61D6"/>
    <w:rsid w:val="00FB6CA6"/>
    <w:rsid w:val="00FB74BC"/>
    <w:rsid w:val="00FC0181"/>
    <w:rsid w:val="00FC051A"/>
    <w:rsid w:val="00FC188B"/>
    <w:rsid w:val="00FC2CB9"/>
    <w:rsid w:val="00FC2CFF"/>
    <w:rsid w:val="00FC3160"/>
    <w:rsid w:val="00FC4065"/>
    <w:rsid w:val="00FC514E"/>
    <w:rsid w:val="00FC57DF"/>
    <w:rsid w:val="00FC603F"/>
    <w:rsid w:val="00FD005B"/>
    <w:rsid w:val="00FD10BE"/>
    <w:rsid w:val="00FD13E0"/>
    <w:rsid w:val="00FD215A"/>
    <w:rsid w:val="00FD34F0"/>
    <w:rsid w:val="00FD49D8"/>
    <w:rsid w:val="00FD64D2"/>
    <w:rsid w:val="00FE0346"/>
    <w:rsid w:val="00FE0677"/>
    <w:rsid w:val="00FE0CF7"/>
    <w:rsid w:val="00FE2080"/>
    <w:rsid w:val="00FE28CE"/>
    <w:rsid w:val="00FE4323"/>
    <w:rsid w:val="00FE437A"/>
    <w:rsid w:val="00FE457E"/>
    <w:rsid w:val="00FE4F83"/>
    <w:rsid w:val="00FE51D8"/>
    <w:rsid w:val="00FF0F2A"/>
    <w:rsid w:val="00FF1BB4"/>
    <w:rsid w:val="00FF21AC"/>
    <w:rsid w:val="00FF3DF8"/>
    <w:rsid w:val="00FF44CD"/>
    <w:rsid w:val="00FF4D3A"/>
    <w:rsid w:val="00FF5807"/>
    <w:rsid w:val="00FF58DB"/>
    <w:rsid w:val="00FF5CE0"/>
    <w:rsid w:val="00FF609A"/>
    <w:rsid w:val="00FF657E"/>
    <w:rsid w:val="01033F3C"/>
    <w:rsid w:val="01C631F6"/>
    <w:rsid w:val="030105E4"/>
    <w:rsid w:val="089B4617"/>
    <w:rsid w:val="09BE680A"/>
    <w:rsid w:val="0C4A71B8"/>
    <w:rsid w:val="0D180B0A"/>
    <w:rsid w:val="0FE0787A"/>
    <w:rsid w:val="10995CCD"/>
    <w:rsid w:val="109D7C59"/>
    <w:rsid w:val="144733D0"/>
    <w:rsid w:val="176D19FF"/>
    <w:rsid w:val="19747289"/>
    <w:rsid w:val="1ABF0B7F"/>
    <w:rsid w:val="1B06751E"/>
    <w:rsid w:val="1BE70167"/>
    <w:rsid w:val="1D2026DC"/>
    <w:rsid w:val="1FDD1059"/>
    <w:rsid w:val="22502157"/>
    <w:rsid w:val="234207E5"/>
    <w:rsid w:val="24D11D12"/>
    <w:rsid w:val="257419FF"/>
    <w:rsid w:val="257C268E"/>
    <w:rsid w:val="27B0640A"/>
    <w:rsid w:val="375376EA"/>
    <w:rsid w:val="3ADE61A4"/>
    <w:rsid w:val="3C8D667D"/>
    <w:rsid w:val="3E7F295B"/>
    <w:rsid w:val="41813817"/>
    <w:rsid w:val="43C92044"/>
    <w:rsid w:val="486453B8"/>
    <w:rsid w:val="4FAA1F59"/>
    <w:rsid w:val="4FE912AB"/>
    <w:rsid w:val="51A862E4"/>
    <w:rsid w:val="52856670"/>
    <w:rsid w:val="55311752"/>
    <w:rsid w:val="554064E9"/>
    <w:rsid w:val="5B4823B9"/>
    <w:rsid w:val="5CED6ADF"/>
    <w:rsid w:val="5D441192"/>
    <w:rsid w:val="613B1817"/>
    <w:rsid w:val="63696555"/>
    <w:rsid w:val="65592C27"/>
    <w:rsid w:val="6B466195"/>
    <w:rsid w:val="6C7C2F9C"/>
    <w:rsid w:val="72B64F76"/>
    <w:rsid w:val="732F1A1F"/>
    <w:rsid w:val="75346CA4"/>
    <w:rsid w:val="77F47058"/>
    <w:rsid w:val="7CED1A2A"/>
    <w:rsid w:val="7DC120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宋体" w:cs="Times New Roman"/>
      <w:kern w:val="2"/>
      <w:sz w:val="24"/>
      <w:szCs w:val="22"/>
      <w:lang w:val="en-US" w:eastAsia="zh-CN" w:bidi="ar-SA"/>
    </w:rPr>
  </w:style>
  <w:style w:type="paragraph" w:styleId="2">
    <w:name w:val="heading 1"/>
    <w:basedOn w:val="1"/>
    <w:next w:val="1"/>
    <w:link w:val="27"/>
    <w:qFormat/>
    <w:uiPriority w:val="9"/>
    <w:pPr>
      <w:keepNext/>
      <w:keepLines/>
      <w:ind w:firstLine="0" w:firstLineChars="0"/>
      <w:jc w:val="center"/>
      <w:outlineLvl w:val="0"/>
    </w:pPr>
    <w:rPr>
      <w:rFonts w:eastAsia="黑体"/>
      <w:bCs/>
      <w:kern w:val="44"/>
      <w:sz w:val="28"/>
      <w:szCs w:val="44"/>
    </w:rPr>
  </w:style>
  <w:style w:type="paragraph" w:styleId="3">
    <w:name w:val="heading 2"/>
    <w:basedOn w:val="1"/>
    <w:next w:val="1"/>
    <w:link w:val="28"/>
    <w:qFormat/>
    <w:uiPriority w:val="9"/>
    <w:pPr>
      <w:keepNext/>
      <w:keepLines/>
      <w:ind w:firstLine="0" w:firstLineChars="0"/>
      <w:jc w:val="left"/>
      <w:outlineLvl w:val="1"/>
    </w:pPr>
    <w:rPr>
      <w:b/>
      <w:bCs/>
      <w:kern w:val="0"/>
      <w:szCs w:val="32"/>
    </w:rPr>
  </w:style>
  <w:style w:type="paragraph" w:styleId="4">
    <w:name w:val="heading 3"/>
    <w:basedOn w:val="1"/>
    <w:link w:val="29"/>
    <w:qFormat/>
    <w:uiPriority w:val="9"/>
    <w:pPr>
      <w:widowControl/>
      <w:spacing w:before="100" w:beforeAutospacing="1" w:after="100" w:afterAutospacing="1"/>
      <w:jc w:val="left"/>
      <w:outlineLvl w:val="2"/>
    </w:pPr>
    <w:rPr>
      <w:rFonts w:ascii="宋体" w:hAnsi="宋体"/>
      <w:b/>
      <w:bCs/>
      <w:kern w:val="0"/>
      <w:sz w:val="27"/>
      <w:szCs w:val="27"/>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link w:val="30"/>
    <w:qFormat/>
    <w:uiPriority w:val="0"/>
    <w:pPr>
      <w:widowControl/>
      <w:topLinePunct/>
      <w:adjustRightInd w:val="0"/>
      <w:snapToGrid w:val="0"/>
      <w:ind w:firstLine="0" w:firstLineChars="0"/>
      <w:jc w:val="center"/>
    </w:pPr>
    <w:rPr>
      <w:kern w:val="0"/>
      <w:sz w:val="21"/>
      <w:szCs w:val="20"/>
    </w:rPr>
  </w:style>
  <w:style w:type="paragraph" w:styleId="6">
    <w:name w:val="annotation text"/>
    <w:basedOn w:val="1"/>
    <w:link w:val="31"/>
    <w:unhideWhenUsed/>
    <w:qFormat/>
    <w:uiPriority w:val="99"/>
    <w:pPr>
      <w:jc w:val="left"/>
    </w:pPr>
    <w:rPr>
      <w:rFonts w:ascii="Calibri" w:hAnsi="Calibri"/>
      <w:sz w:val="21"/>
    </w:rPr>
  </w:style>
  <w:style w:type="paragraph" w:styleId="7">
    <w:name w:val="toc 3"/>
    <w:basedOn w:val="1"/>
    <w:next w:val="1"/>
    <w:unhideWhenUsed/>
    <w:qFormat/>
    <w:uiPriority w:val="39"/>
    <w:pPr>
      <w:ind w:left="840" w:leftChars="400"/>
    </w:pPr>
  </w:style>
  <w:style w:type="paragraph" w:styleId="8">
    <w:name w:val="Plain Text"/>
    <w:basedOn w:val="1"/>
    <w:link w:val="32"/>
    <w:unhideWhenUsed/>
    <w:qFormat/>
    <w:uiPriority w:val="0"/>
    <w:pPr>
      <w:adjustRightInd w:val="0"/>
      <w:spacing w:line="312" w:lineRule="atLeast"/>
    </w:pPr>
    <w:rPr>
      <w:rFonts w:hint="eastAsia" w:ascii="宋体" w:hAnsi="Courier New"/>
      <w:kern w:val="0"/>
      <w:sz w:val="20"/>
      <w:szCs w:val="20"/>
    </w:rPr>
  </w:style>
  <w:style w:type="paragraph" w:styleId="9">
    <w:name w:val="Date"/>
    <w:basedOn w:val="1"/>
    <w:next w:val="1"/>
    <w:link w:val="33"/>
    <w:unhideWhenUsed/>
    <w:qFormat/>
    <w:uiPriority w:val="99"/>
    <w:pPr>
      <w:ind w:left="100" w:leftChars="2500"/>
    </w:pPr>
  </w:style>
  <w:style w:type="paragraph" w:styleId="10">
    <w:name w:val="endnote text"/>
    <w:basedOn w:val="1"/>
    <w:link w:val="34"/>
    <w:unhideWhenUsed/>
    <w:qFormat/>
    <w:uiPriority w:val="99"/>
    <w:pPr>
      <w:snapToGrid w:val="0"/>
      <w:jc w:val="left"/>
    </w:pPr>
  </w:style>
  <w:style w:type="paragraph" w:styleId="11">
    <w:name w:val="Balloon Text"/>
    <w:basedOn w:val="1"/>
    <w:link w:val="35"/>
    <w:unhideWhenUsed/>
    <w:qFormat/>
    <w:uiPriority w:val="99"/>
    <w:rPr>
      <w:kern w:val="0"/>
      <w:sz w:val="18"/>
      <w:szCs w:val="18"/>
    </w:rPr>
  </w:style>
  <w:style w:type="paragraph" w:styleId="12">
    <w:name w:val="footer"/>
    <w:basedOn w:val="1"/>
    <w:link w:val="36"/>
    <w:unhideWhenUsed/>
    <w:qFormat/>
    <w:uiPriority w:val="99"/>
    <w:pPr>
      <w:tabs>
        <w:tab w:val="center" w:pos="4153"/>
        <w:tab w:val="right" w:pos="8306"/>
      </w:tabs>
      <w:snapToGrid w:val="0"/>
      <w:jc w:val="left"/>
    </w:pPr>
    <w:rPr>
      <w:kern w:val="0"/>
      <w:sz w:val="18"/>
      <w:szCs w:val="18"/>
    </w:rPr>
  </w:style>
  <w:style w:type="paragraph" w:styleId="13">
    <w:name w:val="header"/>
    <w:basedOn w:val="1"/>
    <w:link w:val="37"/>
    <w:unhideWhenUsed/>
    <w:qFormat/>
    <w:uiPriority w:val="99"/>
    <w:pPr>
      <w:pBdr>
        <w:bottom w:val="single" w:color="auto" w:sz="6" w:space="1"/>
      </w:pBdr>
      <w:tabs>
        <w:tab w:val="center" w:pos="4153"/>
        <w:tab w:val="right" w:pos="8306"/>
      </w:tabs>
      <w:snapToGrid w:val="0"/>
      <w:jc w:val="center"/>
    </w:pPr>
    <w:rPr>
      <w:kern w:val="0"/>
      <w:sz w:val="18"/>
      <w:szCs w:val="18"/>
    </w:rPr>
  </w:style>
  <w:style w:type="paragraph" w:styleId="14">
    <w:name w:val="toc 1"/>
    <w:basedOn w:val="1"/>
    <w:next w:val="1"/>
    <w:unhideWhenUsed/>
    <w:qFormat/>
    <w:uiPriority w:val="39"/>
  </w:style>
  <w:style w:type="paragraph" w:styleId="15">
    <w:name w:val="Subtitle"/>
    <w:basedOn w:val="1"/>
    <w:next w:val="1"/>
    <w:link w:val="48"/>
    <w:qFormat/>
    <w:uiPriority w:val="11"/>
    <w:pPr>
      <w:spacing w:before="240" w:after="60" w:line="312" w:lineRule="auto"/>
      <w:jc w:val="center"/>
      <w:outlineLvl w:val="1"/>
    </w:pPr>
    <w:rPr>
      <w:rFonts w:asciiTheme="majorHAnsi" w:hAnsiTheme="majorHAnsi" w:cstheme="majorBidi"/>
      <w:b/>
      <w:bCs/>
      <w:kern w:val="28"/>
      <w:sz w:val="32"/>
      <w:szCs w:val="32"/>
    </w:rPr>
  </w:style>
  <w:style w:type="paragraph" w:styleId="16">
    <w:name w:val="toc 2"/>
    <w:basedOn w:val="1"/>
    <w:next w:val="1"/>
    <w:unhideWhenUsed/>
    <w:qFormat/>
    <w:uiPriority w:val="39"/>
    <w:pPr>
      <w:ind w:left="420" w:leftChars="200"/>
    </w:pPr>
  </w:style>
  <w:style w:type="paragraph" w:styleId="17">
    <w:name w:val="Normal (Web)"/>
    <w:basedOn w:val="1"/>
    <w:unhideWhenUsed/>
    <w:qFormat/>
    <w:uiPriority w:val="99"/>
    <w:pPr>
      <w:widowControl/>
      <w:spacing w:before="100" w:beforeAutospacing="1" w:after="100" w:afterAutospacing="1"/>
      <w:jc w:val="left"/>
    </w:pPr>
    <w:rPr>
      <w:rFonts w:ascii="宋体" w:hAnsi="宋体" w:cs="宋体"/>
      <w:kern w:val="0"/>
      <w:szCs w:val="24"/>
    </w:rPr>
  </w:style>
  <w:style w:type="paragraph" w:styleId="18">
    <w:name w:val="annotation subject"/>
    <w:basedOn w:val="6"/>
    <w:next w:val="6"/>
    <w:link w:val="38"/>
    <w:unhideWhenUsed/>
    <w:qFormat/>
    <w:uiPriority w:val="0"/>
    <w:rPr>
      <w:rFonts w:ascii="Times New Roman" w:hAnsi="Times New Roman"/>
      <w:b/>
      <w:kern w:val="0"/>
      <w:sz w:val="20"/>
      <w:szCs w:val="20"/>
    </w:rPr>
  </w:style>
  <w:style w:type="table" w:styleId="20">
    <w:name w:val="Table Grid"/>
    <w:basedOn w:val="1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qFormat/>
    <w:uiPriority w:val="22"/>
    <w:rPr>
      <w:b/>
      <w:bCs/>
    </w:rPr>
  </w:style>
  <w:style w:type="character" w:styleId="23">
    <w:name w:val="endnote reference"/>
    <w:unhideWhenUsed/>
    <w:qFormat/>
    <w:uiPriority w:val="99"/>
    <w:rPr>
      <w:vertAlign w:val="superscript"/>
    </w:rPr>
  </w:style>
  <w:style w:type="character" w:styleId="24">
    <w:name w:val="FollowedHyperlink"/>
    <w:unhideWhenUsed/>
    <w:qFormat/>
    <w:uiPriority w:val="99"/>
    <w:rPr>
      <w:color w:val="954F72"/>
      <w:u w:val="single"/>
    </w:rPr>
  </w:style>
  <w:style w:type="character" w:styleId="25">
    <w:name w:val="Hyperlink"/>
    <w:unhideWhenUsed/>
    <w:qFormat/>
    <w:uiPriority w:val="99"/>
    <w:rPr>
      <w:color w:val="0563C1"/>
      <w:u w:val="single"/>
    </w:rPr>
  </w:style>
  <w:style w:type="character" w:styleId="26">
    <w:name w:val="annotation reference"/>
    <w:unhideWhenUsed/>
    <w:qFormat/>
    <w:uiPriority w:val="99"/>
    <w:rPr>
      <w:sz w:val="21"/>
      <w:szCs w:val="21"/>
    </w:rPr>
  </w:style>
  <w:style w:type="character" w:customStyle="1" w:styleId="27">
    <w:name w:val="标题 1 字符"/>
    <w:link w:val="2"/>
    <w:qFormat/>
    <w:uiPriority w:val="9"/>
    <w:rPr>
      <w:rFonts w:eastAsia="黑体"/>
      <w:bCs/>
      <w:kern w:val="44"/>
      <w:sz w:val="28"/>
      <w:szCs w:val="44"/>
    </w:rPr>
  </w:style>
  <w:style w:type="character" w:customStyle="1" w:styleId="28">
    <w:name w:val="标题 2 字符"/>
    <w:link w:val="3"/>
    <w:qFormat/>
    <w:uiPriority w:val="9"/>
    <w:rPr>
      <w:b/>
      <w:bCs/>
      <w:sz w:val="24"/>
      <w:szCs w:val="32"/>
    </w:rPr>
  </w:style>
  <w:style w:type="character" w:customStyle="1" w:styleId="29">
    <w:name w:val="标题 3 字符"/>
    <w:link w:val="4"/>
    <w:qFormat/>
    <w:uiPriority w:val="9"/>
    <w:rPr>
      <w:rFonts w:ascii="宋体" w:hAnsi="宋体" w:eastAsia="宋体" w:cs="宋体"/>
      <w:b/>
      <w:bCs/>
      <w:kern w:val="0"/>
      <w:sz w:val="27"/>
      <w:szCs w:val="27"/>
    </w:rPr>
  </w:style>
  <w:style w:type="character" w:customStyle="1" w:styleId="30">
    <w:name w:val="题注 字符"/>
    <w:link w:val="5"/>
    <w:qFormat/>
    <w:uiPriority w:val="0"/>
    <w:rPr>
      <w:sz w:val="21"/>
    </w:rPr>
  </w:style>
  <w:style w:type="character" w:customStyle="1" w:styleId="31">
    <w:name w:val="批注文字 字符"/>
    <w:link w:val="6"/>
    <w:qFormat/>
    <w:uiPriority w:val="0"/>
  </w:style>
  <w:style w:type="character" w:customStyle="1" w:styleId="32">
    <w:name w:val="纯文本 字符"/>
    <w:link w:val="8"/>
    <w:qFormat/>
    <w:uiPriority w:val="0"/>
    <w:rPr>
      <w:rFonts w:hint="eastAsia" w:ascii="宋体" w:hAnsi="Courier New" w:eastAsia="宋体" w:cs="Times New Roman"/>
      <w:kern w:val="0"/>
      <w:szCs w:val="20"/>
    </w:rPr>
  </w:style>
  <w:style w:type="character" w:customStyle="1" w:styleId="33">
    <w:name w:val="日期 字符"/>
    <w:link w:val="9"/>
    <w:semiHidden/>
    <w:qFormat/>
    <w:uiPriority w:val="99"/>
    <w:rPr>
      <w:kern w:val="2"/>
      <w:sz w:val="21"/>
      <w:szCs w:val="22"/>
    </w:rPr>
  </w:style>
  <w:style w:type="character" w:customStyle="1" w:styleId="34">
    <w:name w:val="尾注文本 字符"/>
    <w:link w:val="10"/>
    <w:semiHidden/>
    <w:qFormat/>
    <w:uiPriority w:val="99"/>
    <w:rPr>
      <w:kern w:val="2"/>
      <w:sz w:val="21"/>
      <w:szCs w:val="22"/>
    </w:rPr>
  </w:style>
  <w:style w:type="character" w:customStyle="1" w:styleId="35">
    <w:name w:val="批注框文本 字符"/>
    <w:link w:val="11"/>
    <w:semiHidden/>
    <w:qFormat/>
    <w:uiPriority w:val="99"/>
    <w:rPr>
      <w:sz w:val="18"/>
      <w:szCs w:val="18"/>
    </w:rPr>
  </w:style>
  <w:style w:type="character" w:customStyle="1" w:styleId="36">
    <w:name w:val="页脚 字符"/>
    <w:link w:val="12"/>
    <w:qFormat/>
    <w:uiPriority w:val="99"/>
    <w:rPr>
      <w:sz w:val="18"/>
      <w:szCs w:val="18"/>
    </w:rPr>
  </w:style>
  <w:style w:type="character" w:customStyle="1" w:styleId="37">
    <w:name w:val="页眉 字符"/>
    <w:link w:val="13"/>
    <w:qFormat/>
    <w:uiPriority w:val="99"/>
    <w:rPr>
      <w:sz w:val="18"/>
      <w:szCs w:val="18"/>
    </w:rPr>
  </w:style>
  <w:style w:type="character" w:customStyle="1" w:styleId="38">
    <w:name w:val="批注主题 字符"/>
    <w:link w:val="18"/>
    <w:qFormat/>
    <w:uiPriority w:val="0"/>
    <w:rPr>
      <w:b/>
    </w:rPr>
  </w:style>
  <w:style w:type="character" w:customStyle="1" w:styleId="39">
    <w:name w:val="无间距字符"/>
    <w:link w:val="40"/>
    <w:qFormat/>
    <w:uiPriority w:val="1"/>
    <w:rPr>
      <w:sz w:val="22"/>
      <w:szCs w:val="22"/>
      <w:lang w:val="en-US" w:eastAsia="zh-CN" w:bidi="ar-SA"/>
    </w:rPr>
  </w:style>
  <w:style w:type="paragraph" w:customStyle="1" w:styleId="40">
    <w:name w:val="无间距"/>
    <w:link w:val="39"/>
    <w:qFormat/>
    <w:uiPriority w:val="1"/>
    <w:rPr>
      <w:rFonts w:ascii="Times New Roman" w:hAnsi="Times New Roman" w:eastAsia="宋体" w:cs="Times New Roman"/>
      <w:sz w:val="22"/>
      <w:szCs w:val="22"/>
      <w:lang w:val="en-US" w:eastAsia="zh-CN" w:bidi="ar-SA"/>
    </w:rPr>
  </w:style>
  <w:style w:type="character" w:customStyle="1" w:styleId="41">
    <w:name w:val="apple-converted-space"/>
    <w:qFormat/>
    <w:uiPriority w:val="0"/>
  </w:style>
  <w:style w:type="character" w:customStyle="1" w:styleId="42">
    <w:name w:val="apple-style-span"/>
    <w:qFormat/>
    <w:uiPriority w:val="0"/>
  </w:style>
  <w:style w:type="character" w:customStyle="1" w:styleId="43">
    <w:name w:val="font61"/>
    <w:qFormat/>
    <w:uiPriority w:val="0"/>
    <w:rPr>
      <w:rFonts w:hint="eastAsia" w:ascii="宋体" w:hAnsi="宋体" w:eastAsia="宋体" w:cs="宋体"/>
      <w:color w:val="auto"/>
      <w:sz w:val="28"/>
      <w:szCs w:val="28"/>
      <w:u w:val="none"/>
    </w:rPr>
  </w:style>
  <w:style w:type="paragraph" w:customStyle="1" w:styleId="44">
    <w:name w:val="彩色列表 - 强调文字颜色 11"/>
    <w:basedOn w:val="1"/>
    <w:qFormat/>
    <w:uiPriority w:val="34"/>
    <w:pPr>
      <w:ind w:firstLine="420"/>
    </w:pPr>
  </w:style>
  <w:style w:type="paragraph" w:customStyle="1" w:styleId="45">
    <w:name w:val="style5"/>
    <w:basedOn w:val="1"/>
    <w:qFormat/>
    <w:uiPriority w:val="0"/>
    <w:pPr>
      <w:widowControl/>
      <w:spacing w:before="100" w:beforeAutospacing="1" w:after="100" w:afterAutospacing="1"/>
      <w:jc w:val="left"/>
    </w:pPr>
    <w:rPr>
      <w:rFonts w:ascii="宋体" w:hAnsi="宋体" w:cs="宋体"/>
      <w:kern w:val="0"/>
      <w:szCs w:val="24"/>
    </w:rPr>
  </w:style>
  <w:style w:type="paragraph" w:customStyle="1" w:styleId="46">
    <w:name w:val="font10"/>
    <w:basedOn w:val="1"/>
    <w:qFormat/>
    <w:uiPriority w:val="0"/>
    <w:pPr>
      <w:widowControl/>
      <w:spacing w:before="100" w:beforeAutospacing="1" w:after="100" w:afterAutospacing="1"/>
      <w:jc w:val="left"/>
    </w:pPr>
    <w:rPr>
      <w:rFonts w:ascii="宋体" w:hAnsi="宋体" w:cs="宋体"/>
      <w:kern w:val="0"/>
      <w:szCs w:val="24"/>
    </w:rPr>
  </w:style>
  <w:style w:type="paragraph" w:customStyle="1" w:styleId="47">
    <w:name w:val="列出段落2"/>
    <w:basedOn w:val="1"/>
    <w:qFormat/>
    <w:uiPriority w:val="0"/>
    <w:pPr>
      <w:ind w:firstLine="420"/>
    </w:pPr>
    <w:rPr>
      <w:rFonts w:ascii="Calibri" w:hAnsi="Calibri"/>
      <w:sz w:val="21"/>
    </w:rPr>
  </w:style>
  <w:style w:type="character" w:customStyle="1" w:styleId="48">
    <w:name w:val="副标题 字符"/>
    <w:basedOn w:val="21"/>
    <w:link w:val="15"/>
    <w:qFormat/>
    <w:uiPriority w:val="11"/>
    <w:rPr>
      <w:rFonts w:asciiTheme="majorHAnsi" w:hAnsiTheme="majorHAnsi" w:cstheme="majorBidi"/>
      <w:b/>
      <w:bCs/>
      <w:kern w:val="28"/>
      <w:sz w:val="32"/>
      <w:szCs w:val="32"/>
    </w:rPr>
  </w:style>
  <w:style w:type="paragraph" w:customStyle="1" w:styleId="49">
    <w:name w:val="正文1"/>
    <w:qFormat/>
    <w:uiPriority w:val="0"/>
    <w:pPr>
      <w:jc w:val="both"/>
    </w:pPr>
    <w:rPr>
      <w:rFonts w:ascii="等线" w:hAnsi="等线" w:eastAsia="宋体" w:cs="宋体"/>
      <w:kern w:val="2"/>
      <w:sz w:val="21"/>
      <w:szCs w:val="21"/>
      <w:lang w:val="en-US" w:eastAsia="zh-CN" w:bidi="ar-SA"/>
    </w:rPr>
  </w:style>
  <w:style w:type="paragraph" w:styleId="50">
    <w:name w:val="List Paragraph"/>
    <w:basedOn w:val="1"/>
    <w:qFormat/>
    <w:uiPriority w:val="99"/>
    <w:pPr>
      <w:ind w:firstLine="420"/>
    </w:pPr>
  </w:style>
  <w:style w:type="table" w:customStyle="1" w:styleId="51">
    <w:name w:val="网格型1"/>
    <w:basedOn w:val="19"/>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2">
    <w:name w:val="Placeholder Text"/>
    <w:basedOn w:val="21"/>
    <w:unhideWhenUsed/>
    <w:qFormat/>
    <w:uiPriority w:val="99"/>
    <w:rPr>
      <w:color w:val="808080"/>
    </w:rPr>
  </w:style>
  <w:style w:type="table" w:customStyle="1" w:styleId="53">
    <w:name w:val="网格型2"/>
    <w:basedOn w:val="19"/>
    <w:uiPriority w:val="99"/>
    <w:pPr>
      <w:widowControl w:val="0"/>
      <w:jc w:val="both"/>
    </w:pPr>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4">
    <w:name w:val="网格型3"/>
    <w:basedOn w:val="19"/>
    <w:uiPriority w:val="99"/>
    <w:pPr>
      <w:widowControl w:val="0"/>
      <w:jc w:val="both"/>
    </w:pPr>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5">
    <w:name w:val="网格型4"/>
    <w:basedOn w:val="19"/>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6">
    <w:name w:val="列表段落1"/>
    <w:basedOn w:val="1"/>
    <w:uiPriority w:val="0"/>
    <w:pPr>
      <w:ind w:firstLine="420"/>
    </w:pPr>
    <w:rPr>
      <w:rFonts w:ascii="等线" w:hAnsi="等线" w:eastAsia="等线"/>
      <w:sz w:val="21"/>
      <w:szCs w:val="21"/>
    </w:rPr>
  </w:style>
  <w:style w:type="paragraph" w:customStyle="1" w:styleId="57">
    <w:name w:val="msonormal"/>
    <w:basedOn w:val="1"/>
    <w:uiPriority w:val="0"/>
    <w:pPr>
      <w:widowControl/>
      <w:spacing w:before="100" w:beforeAutospacing="1" w:after="100" w:afterAutospacing="1"/>
      <w:ind w:firstLine="0" w:firstLineChars="0"/>
      <w:jc w:val="left"/>
    </w:pPr>
    <w:rPr>
      <w:rFonts w:ascii="宋体" w:hAnsi="宋体" w:cs="宋体"/>
      <w:kern w:val="0"/>
      <w:szCs w:val="24"/>
    </w:rPr>
  </w:style>
  <w:style w:type="character" w:customStyle="1" w:styleId="58">
    <w:name w:val="10"/>
    <w:basedOn w:val="21"/>
    <w:uiPriority w:val="0"/>
    <w:rPr>
      <w:rFonts w:hint="eastAsia" w:ascii="仿宋" w:hAnsi="仿宋" w:eastAsia="仿宋"/>
    </w:rPr>
  </w:style>
  <w:style w:type="character" w:customStyle="1" w:styleId="59">
    <w:name w:val="15"/>
    <w:basedOn w:val="21"/>
    <w:uiPriority w:val="0"/>
    <w:rPr>
      <w:rFonts w:hint="eastAsia" w:ascii="宋体" w:hAnsi="宋体" w:eastAsia="宋体"/>
      <w:color w:val="000000"/>
      <w:sz w:val="24"/>
      <w:szCs w:val="24"/>
    </w:rPr>
  </w:style>
  <w:style w:type="character" w:customStyle="1" w:styleId="60">
    <w:name w:val="16"/>
    <w:basedOn w:val="21"/>
    <w:uiPriority w:val="0"/>
    <w:rPr>
      <w:rFonts w:hint="eastAsia" w:ascii="仿宋" w:hAnsi="仿宋" w:eastAsia="仿宋"/>
      <w:color w:val="000000"/>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image" Target="media/image18.jpeg"/><Relationship Id="rId35" Type="http://schemas.openxmlformats.org/officeDocument/2006/relationships/image" Target="media/image17.jpeg"/><Relationship Id="rId34" Type="http://schemas.openxmlformats.org/officeDocument/2006/relationships/image" Target="media/image16.png"/><Relationship Id="rId33" Type="http://schemas.openxmlformats.org/officeDocument/2006/relationships/image" Target="media/image15.jpeg"/><Relationship Id="rId32" Type="http://schemas.openxmlformats.org/officeDocument/2006/relationships/image" Target="media/image14.jpeg"/><Relationship Id="rId31" Type="http://schemas.openxmlformats.org/officeDocument/2006/relationships/image" Target="media/image13.jpeg"/><Relationship Id="rId30" Type="http://schemas.openxmlformats.org/officeDocument/2006/relationships/chart" Target="charts/chart6.xml"/><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jpeg"/><Relationship Id="rId26" Type="http://schemas.openxmlformats.org/officeDocument/2006/relationships/image" Target="media/image9.emf"/><Relationship Id="rId25" Type="http://schemas.openxmlformats.org/officeDocument/2006/relationships/image" Target="media/image8.png"/><Relationship Id="rId24" Type="http://schemas.openxmlformats.org/officeDocument/2006/relationships/chart" Target="charts/chart5.xml"/><Relationship Id="rId23" Type="http://schemas.openxmlformats.org/officeDocument/2006/relationships/chart" Target="charts/chart4.xml"/><Relationship Id="rId22" Type="http://schemas.openxmlformats.org/officeDocument/2006/relationships/chart" Target="charts/chart3.xml"/><Relationship Id="rId21" Type="http://schemas.openxmlformats.org/officeDocument/2006/relationships/chart" Target="charts/chart2.xml"/><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chart" Target="charts/chart1.xml"/><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package" Target="../embeddings/Workbook3.xlsx"/></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_rels/chart3.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package" Target="../embeddings/Workbook2.xlsx"/></Relationships>
</file>

<file path=word/charts/_rels/chart4.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package" Target="../embeddings/Workbook4.xlsx"/></Relationships>
</file>

<file path=word/charts/_rels/chart5.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package" Target="../embeddings/Workbook5.xlsx"/></Relationships>
</file>

<file path=word/charts/_rels/chart6.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package" Target="../embeddings/Workbook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Sheet2!$G$5</c:f>
              <c:strCache>
                <c:ptCount val="1"/>
                <c:pt idx="0">
                  <c:v>总体碳排放量 </c:v>
                </c:pt>
              </c:strCache>
            </c:strRef>
          </c:tx>
          <c:spPr>
            <a:ln w="28575" cap="rnd">
              <a:solidFill>
                <a:schemeClr val="accent1"/>
              </a:solidFill>
              <a:round/>
            </a:ln>
            <a:effectLst/>
          </c:spPr>
          <c:marker>
            <c:symbol val="none"/>
          </c:marker>
          <c:dLbls>
            <c:delete val="1"/>
          </c:dLbls>
          <c:cat>
            <c:numRef>
              <c:f>Sheet2!$H$4:$R$4</c:f>
              <c:numCache>
                <c:formatCode>General</c:formatCode>
                <c:ptCount val="11"/>
                <c:pt idx="0">
                  <c:v>2010</c:v>
                </c:pt>
                <c:pt idx="1">
                  <c:v>2011</c:v>
                </c:pt>
                <c:pt idx="2">
                  <c:v>2012</c:v>
                </c:pt>
                <c:pt idx="3">
                  <c:v>2013</c:v>
                </c:pt>
                <c:pt idx="4">
                  <c:v>2014</c:v>
                </c:pt>
                <c:pt idx="5">
                  <c:v>2015</c:v>
                </c:pt>
                <c:pt idx="6">
                  <c:v>2016</c:v>
                </c:pt>
                <c:pt idx="7">
                  <c:v>2017</c:v>
                </c:pt>
                <c:pt idx="8">
                  <c:v>2018</c:v>
                </c:pt>
                <c:pt idx="9">
                  <c:v>2019</c:v>
                </c:pt>
                <c:pt idx="10">
                  <c:v>2020</c:v>
                </c:pt>
              </c:numCache>
            </c:numRef>
          </c:cat>
          <c:val>
            <c:numRef>
              <c:f>Sheet2!$H$5:$R$5</c:f>
              <c:numCache>
                <c:formatCode>0.00;[Red]0.00</c:formatCode>
                <c:ptCount val="11"/>
                <c:pt idx="0">
                  <c:v>148519.480923313</c:v>
                </c:pt>
                <c:pt idx="1">
                  <c:v>167243.470514906</c:v>
                </c:pt>
                <c:pt idx="2">
                  <c:v>167707.947181064</c:v>
                </c:pt>
                <c:pt idx="3">
                  <c:v>177959.301572417</c:v>
                </c:pt>
                <c:pt idx="4">
                  <c:v>169612.247777244</c:v>
                </c:pt>
                <c:pt idx="5">
                  <c:v>172435.656019133</c:v>
                </c:pt>
                <c:pt idx="6">
                  <c:v>176649.828131416</c:v>
                </c:pt>
                <c:pt idx="7">
                  <c:v>174572.305794424</c:v>
                </c:pt>
                <c:pt idx="8">
                  <c:v>175016.689536899</c:v>
                </c:pt>
                <c:pt idx="9">
                  <c:v>184015.444499172</c:v>
                </c:pt>
                <c:pt idx="10">
                  <c:v>177221.486241622</c:v>
                </c:pt>
              </c:numCache>
            </c:numRef>
          </c:val>
          <c:smooth val="0"/>
        </c:ser>
        <c:dLbls>
          <c:showLegendKey val="0"/>
          <c:showVal val="0"/>
          <c:showCatName val="0"/>
          <c:showSerName val="0"/>
          <c:showPercent val="0"/>
          <c:showBubbleSize val="0"/>
        </c:dLbls>
        <c:marker val="0"/>
        <c:smooth val="0"/>
        <c:axId val="1173936528"/>
        <c:axId val="1047569568"/>
      </c:lineChart>
      <c:catAx>
        <c:axId val="11739365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047569568"/>
        <c:crosses val="autoZero"/>
        <c:auto val="1"/>
        <c:lblAlgn val="ctr"/>
        <c:lblOffset val="100"/>
        <c:noMultiLvlLbl val="0"/>
      </c:catAx>
      <c:valAx>
        <c:axId val="1047569568"/>
        <c:scaling>
          <c:orientation val="minMax"/>
        </c:scaling>
        <c:delete val="0"/>
        <c:axPos val="l"/>
        <c:majorGridlines>
          <c:spPr>
            <a:ln w="9525" cap="flat" cmpd="sng" algn="ctr">
              <a:solidFill>
                <a:schemeClr val="tx1">
                  <a:lumMod val="15000"/>
                  <a:lumOff val="85000"/>
                </a:schemeClr>
              </a:solidFill>
              <a:round/>
            </a:ln>
            <a:effectLst/>
          </c:spPr>
        </c:majorGridlines>
        <c:numFmt formatCode="0.00;[Red]0.00"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Verdana" panose="020B0604030504040204" pitchFamily="34" charset="0"/>
                <a:cs typeface="+mn-cs"/>
              </a:defRPr>
            </a:pPr>
          </a:p>
        </c:txPr>
        <c:crossAx val="1173936528"/>
        <c:crosses val="autoZero"/>
        <c:crossBetween val="between"/>
      </c:valAx>
      <c:spPr>
        <a:noFill/>
        <a:ln>
          <a:noFill/>
        </a:ln>
        <a:effectLst/>
      </c:spPr>
    </c:plotArea>
    <c:plotVisOnly val="1"/>
    <c:dispBlanksAs val="gap"/>
    <c:showDLblsOverMax val="0"/>
    <c:extLst>
      <c:ext uri="{0b15fc19-7d7d-44ad-8c2d-2c3a37ce22c3}">
        <chartProps xmlns="https://web.wps.cn/et/2018/main" chartId="{1e5d9e0f-a5eb-461b-981d-f4800c72b4a3}"/>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Sheet3!$A$2</c:f>
              <c:strCache>
                <c:ptCount val="1"/>
                <c:pt idx="0">
                  <c:v>人口总数</c:v>
                </c:pt>
              </c:strCache>
            </c:strRef>
          </c:tx>
          <c:spPr>
            <a:solidFill>
              <a:schemeClr val="accent1"/>
            </a:solidFill>
            <a:ln>
              <a:noFill/>
            </a:ln>
            <a:effectLst/>
          </c:spPr>
          <c:invertIfNegative val="0"/>
          <c:dLbls>
            <c:delete val="1"/>
          </c:dLbls>
          <c:cat>
            <c:numRef>
              <c:f>Sheet3!$B$1:$L$1</c:f>
              <c:numCache>
                <c:formatCode>General</c:formatCode>
                <c:ptCount val="11"/>
                <c:pt idx="0">
                  <c:v>2010</c:v>
                </c:pt>
                <c:pt idx="1">
                  <c:v>2011</c:v>
                </c:pt>
                <c:pt idx="2">
                  <c:v>2012</c:v>
                </c:pt>
                <c:pt idx="3">
                  <c:v>2013</c:v>
                </c:pt>
                <c:pt idx="4">
                  <c:v>2014</c:v>
                </c:pt>
                <c:pt idx="5">
                  <c:v>2015</c:v>
                </c:pt>
                <c:pt idx="6">
                  <c:v>2016</c:v>
                </c:pt>
                <c:pt idx="7">
                  <c:v>2017</c:v>
                </c:pt>
                <c:pt idx="8">
                  <c:v>2018</c:v>
                </c:pt>
                <c:pt idx="9">
                  <c:v>2019</c:v>
                </c:pt>
                <c:pt idx="10">
                  <c:v>2020</c:v>
                </c:pt>
              </c:numCache>
            </c:numRef>
          </c:cat>
          <c:val>
            <c:numRef>
              <c:f>Sheet3!$B$2:$L$2</c:f>
              <c:numCache>
                <c:formatCode>0.00</c:formatCode>
                <c:ptCount val="11"/>
                <c:pt idx="0">
                  <c:v>7869.34</c:v>
                </c:pt>
                <c:pt idx="1">
                  <c:v>8022.99</c:v>
                </c:pt>
                <c:pt idx="2">
                  <c:v>8119.81</c:v>
                </c:pt>
                <c:pt idx="3">
                  <c:v>8192.44</c:v>
                </c:pt>
                <c:pt idx="4">
                  <c:v>8281.09</c:v>
                </c:pt>
                <c:pt idx="5">
                  <c:v>8315.11</c:v>
                </c:pt>
                <c:pt idx="6">
                  <c:v>8381.47</c:v>
                </c:pt>
                <c:pt idx="7">
                  <c:v>8423.5</c:v>
                </c:pt>
                <c:pt idx="8">
                  <c:v>8446.19</c:v>
                </c:pt>
                <c:pt idx="9">
                  <c:v>8469.09</c:v>
                </c:pt>
                <c:pt idx="10">
                  <c:v>8477.26</c:v>
                </c:pt>
              </c:numCache>
            </c:numRef>
          </c:val>
        </c:ser>
        <c:dLbls>
          <c:showLegendKey val="0"/>
          <c:showVal val="0"/>
          <c:showCatName val="0"/>
          <c:showSerName val="0"/>
          <c:showPercent val="0"/>
          <c:showBubbleSize val="0"/>
        </c:dLbls>
        <c:gapWidth val="219"/>
        <c:overlap val="-27"/>
        <c:axId val="1579069472"/>
        <c:axId val="1293900656"/>
      </c:barChart>
      <c:lineChart>
        <c:grouping val="standard"/>
        <c:varyColors val="0"/>
        <c:ser>
          <c:idx val="1"/>
          <c:order val="1"/>
          <c:tx>
            <c:strRef>
              <c:f>Sheet3!$A$3</c:f>
              <c:strCache>
                <c:ptCount val="1"/>
                <c:pt idx="0">
                  <c:v>增长率</c:v>
                </c:pt>
              </c:strCache>
            </c:strRef>
          </c:tx>
          <c:spPr>
            <a:ln w="28575" cap="rnd">
              <a:solidFill>
                <a:schemeClr val="accent2"/>
              </a:solidFill>
              <a:round/>
            </a:ln>
            <a:effectLst/>
          </c:spPr>
          <c:marker>
            <c:symbol val="none"/>
          </c:marker>
          <c:dLbls>
            <c:delete val="1"/>
          </c:dLbls>
          <c:cat>
            <c:numRef>
              <c:f>Sheet3!$B$1:$L$1</c:f>
              <c:numCache>
                <c:formatCode>General</c:formatCode>
                <c:ptCount val="11"/>
                <c:pt idx="0">
                  <c:v>2010</c:v>
                </c:pt>
                <c:pt idx="1">
                  <c:v>2011</c:v>
                </c:pt>
                <c:pt idx="2">
                  <c:v>2012</c:v>
                </c:pt>
                <c:pt idx="3">
                  <c:v>2013</c:v>
                </c:pt>
                <c:pt idx="4">
                  <c:v>2014</c:v>
                </c:pt>
                <c:pt idx="5">
                  <c:v>2015</c:v>
                </c:pt>
                <c:pt idx="6">
                  <c:v>2016</c:v>
                </c:pt>
                <c:pt idx="7">
                  <c:v>2017</c:v>
                </c:pt>
                <c:pt idx="8">
                  <c:v>2018</c:v>
                </c:pt>
                <c:pt idx="9">
                  <c:v>2019</c:v>
                </c:pt>
                <c:pt idx="10">
                  <c:v>2020</c:v>
                </c:pt>
              </c:numCache>
            </c:numRef>
          </c:cat>
          <c:val>
            <c:numRef>
              <c:f>Sheet3!$B$3:$L$3</c:f>
              <c:numCache>
                <c:formatCode>General</c:formatCode>
                <c:ptCount val="11"/>
                <c:pt idx="1" c:formatCode="0.00%">
                  <c:v>0.0195251444212602</c:v>
                </c:pt>
                <c:pt idx="2" c:formatCode="0.00%">
                  <c:v>0.012067820101982</c:v>
                </c:pt>
                <c:pt idx="3" c:formatCode="0.00%">
                  <c:v>0.00894479058007516</c:v>
                </c:pt>
                <c:pt idx="4" c:formatCode="0.00%">
                  <c:v>0.0108209519996484</c:v>
                </c:pt>
                <c:pt idx="5" c:formatCode="0.00%">
                  <c:v>0.00410815484435025</c:v>
                </c:pt>
                <c:pt idx="6" c:formatCode="0.00%">
                  <c:v>0.00798065208999024</c:v>
                </c:pt>
                <c:pt idx="7" c:formatCode="0.00%">
                  <c:v>0.00501463347121694</c:v>
                </c:pt>
                <c:pt idx="8" c:formatCode="0.00%">
                  <c:v>0.00269365465661548</c:v>
                </c:pt>
                <c:pt idx="9" c:formatCode="0.00%">
                  <c:v>0.00271128165480526</c:v>
                </c:pt>
                <c:pt idx="10" c:formatCode="0.00%">
                  <c:v>0.000964684517462924</c:v>
                </c:pt>
              </c:numCache>
            </c:numRef>
          </c:val>
          <c:smooth val="0"/>
        </c:ser>
        <c:dLbls>
          <c:showLegendKey val="0"/>
          <c:showVal val="0"/>
          <c:showCatName val="0"/>
          <c:showSerName val="0"/>
          <c:showPercent val="0"/>
          <c:showBubbleSize val="0"/>
        </c:dLbls>
        <c:marker val="0"/>
        <c:smooth val="0"/>
        <c:axId val="1643521648"/>
        <c:axId val="1293902576"/>
      </c:lineChart>
      <c:catAx>
        <c:axId val="15790694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93900656"/>
        <c:crosses val="autoZero"/>
        <c:auto val="1"/>
        <c:lblAlgn val="ctr"/>
        <c:lblOffset val="100"/>
        <c:noMultiLvlLbl val="0"/>
      </c:catAx>
      <c:valAx>
        <c:axId val="129390065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579069472"/>
        <c:crosses val="autoZero"/>
        <c:crossBetween val="between"/>
      </c:valAx>
      <c:catAx>
        <c:axId val="1643521648"/>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93902576"/>
        <c:crosses val="autoZero"/>
        <c:auto val="1"/>
        <c:lblAlgn val="ctr"/>
        <c:lblOffset val="100"/>
        <c:noMultiLvlLbl val="0"/>
      </c:catAx>
      <c:valAx>
        <c:axId val="1293902576"/>
        <c:scaling>
          <c:orientation val="minMax"/>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643521648"/>
        <c:crosses val="max"/>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b3220cd4-a1d8-4880-90e1-268aa5920a72}"/>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Sheet4!$D$3</c:f>
              <c:strCache>
                <c:ptCount val="1"/>
                <c:pt idx="0">
                  <c:v>GDP总值</c:v>
                </c:pt>
              </c:strCache>
            </c:strRef>
          </c:tx>
          <c:spPr>
            <a:solidFill>
              <a:schemeClr val="accent1"/>
            </a:solidFill>
            <a:ln>
              <a:noFill/>
            </a:ln>
            <a:effectLst/>
          </c:spPr>
          <c:invertIfNegative val="0"/>
          <c:dLbls>
            <c:delete val="1"/>
          </c:dLbls>
          <c:cat>
            <c:numRef>
              <c:f>Sheet4!$E$2:$O$2</c:f>
              <c:numCache>
                <c:formatCode>General</c:formatCode>
                <c:ptCount val="11"/>
                <c:pt idx="0">
                  <c:v>2010</c:v>
                </c:pt>
                <c:pt idx="1">
                  <c:v>2011</c:v>
                </c:pt>
                <c:pt idx="2">
                  <c:v>2012</c:v>
                </c:pt>
                <c:pt idx="3">
                  <c:v>2013</c:v>
                </c:pt>
                <c:pt idx="4">
                  <c:v>2014</c:v>
                </c:pt>
                <c:pt idx="5">
                  <c:v>2015</c:v>
                </c:pt>
                <c:pt idx="6">
                  <c:v>2016</c:v>
                </c:pt>
                <c:pt idx="7">
                  <c:v>2017</c:v>
                </c:pt>
                <c:pt idx="8">
                  <c:v>2018</c:v>
                </c:pt>
                <c:pt idx="9">
                  <c:v>2019</c:v>
                </c:pt>
                <c:pt idx="10">
                  <c:v>2020</c:v>
                </c:pt>
              </c:numCache>
            </c:numRef>
          </c:cat>
          <c:val>
            <c:numRef>
              <c:f>Sheet4!$E$3:$O$3</c:f>
              <c:numCache>
                <c:formatCode>0.00</c:formatCode>
                <c:ptCount val="11"/>
                <c:pt idx="0">
                  <c:v>41383.87</c:v>
                </c:pt>
                <c:pt idx="1">
                  <c:v>45952.65</c:v>
                </c:pt>
                <c:pt idx="2">
                  <c:v>50660.2</c:v>
                </c:pt>
                <c:pt idx="3">
                  <c:v>55580.11</c:v>
                </c:pt>
                <c:pt idx="4">
                  <c:v>60359.43</c:v>
                </c:pt>
                <c:pt idx="5">
                  <c:v>65552</c:v>
                </c:pt>
                <c:pt idx="6">
                  <c:v>70665.7068288913</c:v>
                </c:pt>
                <c:pt idx="7">
                  <c:v>75752.2014922828</c:v>
                </c:pt>
                <c:pt idx="8">
                  <c:v>80827.711934712</c:v>
                </c:pt>
                <c:pt idx="9">
                  <c:v>85556.1338740509</c:v>
                </c:pt>
                <c:pt idx="10">
                  <c:v>88683.2146287334</c:v>
                </c:pt>
              </c:numCache>
            </c:numRef>
          </c:val>
        </c:ser>
        <c:ser>
          <c:idx val="1"/>
          <c:order val="1"/>
          <c:tx>
            <c:strRef>
              <c:f>Sheet4!$D$4</c:f>
              <c:strCache>
                <c:ptCount val="1"/>
                <c:pt idx="0">
                  <c:v>第一产业GDP</c:v>
                </c:pt>
              </c:strCache>
            </c:strRef>
          </c:tx>
          <c:spPr>
            <a:solidFill>
              <a:schemeClr val="accent2"/>
            </a:solidFill>
            <a:ln>
              <a:noFill/>
            </a:ln>
            <a:effectLst/>
          </c:spPr>
          <c:invertIfNegative val="0"/>
          <c:dLbls>
            <c:delete val="1"/>
          </c:dLbls>
          <c:cat>
            <c:numRef>
              <c:f>Sheet4!$E$2:$O$2</c:f>
              <c:numCache>
                <c:formatCode>General</c:formatCode>
                <c:ptCount val="11"/>
                <c:pt idx="0">
                  <c:v>2010</c:v>
                </c:pt>
                <c:pt idx="1">
                  <c:v>2011</c:v>
                </c:pt>
                <c:pt idx="2">
                  <c:v>2012</c:v>
                </c:pt>
                <c:pt idx="3">
                  <c:v>2013</c:v>
                </c:pt>
                <c:pt idx="4">
                  <c:v>2014</c:v>
                </c:pt>
                <c:pt idx="5">
                  <c:v>2015</c:v>
                </c:pt>
                <c:pt idx="6">
                  <c:v>2016</c:v>
                </c:pt>
                <c:pt idx="7">
                  <c:v>2017</c:v>
                </c:pt>
                <c:pt idx="8">
                  <c:v>2018</c:v>
                </c:pt>
                <c:pt idx="9">
                  <c:v>2019</c:v>
                </c:pt>
                <c:pt idx="10">
                  <c:v>2020</c:v>
                </c:pt>
              </c:numCache>
            </c:numRef>
          </c:cat>
          <c:val>
            <c:numRef>
              <c:f>Sheet4!$E$4:$O$4</c:f>
              <c:numCache>
                <c:formatCode>0.00</c:formatCode>
                <c:ptCount val="11"/>
                <c:pt idx="0">
                  <c:v>2409.24</c:v>
                </c:pt>
                <c:pt idx="1">
                  <c:v>2736.8614125208</c:v>
                </c:pt>
                <c:pt idx="2">
                  <c:v>3057.82336058003</c:v>
                </c:pt>
                <c:pt idx="3">
                  <c:v>3228.53880811789</c:v>
                </c:pt>
                <c:pt idx="4">
                  <c:v>3358.61321748047</c:v>
                </c:pt>
                <c:pt idx="5">
                  <c:v>3636.08072254478</c:v>
                </c:pt>
                <c:pt idx="6">
                  <c:v>3690.60959462002</c:v>
                </c:pt>
                <c:pt idx="7">
                  <c:v>3568.54118828937</c:v>
                </c:pt>
                <c:pt idx="8">
                  <c:v>3591.60757682308</c:v>
                </c:pt>
                <c:pt idx="9">
                  <c:v>3726.60745328023</c:v>
                </c:pt>
                <c:pt idx="10">
                  <c:v>3916.81180508673</c:v>
                </c:pt>
              </c:numCache>
            </c:numRef>
          </c:val>
        </c:ser>
        <c:ser>
          <c:idx val="2"/>
          <c:order val="2"/>
          <c:tx>
            <c:strRef>
              <c:f>Sheet4!$D$5</c:f>
              <c:strCache>
                <c:ptCount val="1"/>
                <c:pt idx="0">
                  <c:v>第二产业GDP</c:v>
                </c:pt>
              </c:strCache>
            </c:strRef>
          </c:tx>
          <c:spPr>
            <a:solidFill>
              <a:schemeClr val="accent3"/>
            </a:solidFill>
            <a:ln>
              <a:noFill/>
            </a:ln>
            <a:effectLst/>
          </c:spPr>
          <c:invertIfNegative val="0"/>
          <c:dLbls>
            <c:delete val="1"/>
          </c:dLbls>
          <c:cat>
            <c:numRef>
              <c:f>Sheet4!$E$2:$O$2</c:f>
              <c:numCache>
                <c:formatCode>General</c:formatCode>
                <c:ptCount val="11"/>
                <c:pt idx="0">
                  <c:v>2010</c:v>
                </c:pt>
                <c:pt idx="1">
                  <c:v>2011</c:v>
                </c:pt>
                <c:pt idx="2">
                  <c:v>2012</c:v>
                </c:pt>
                <c:pt idx="3">
                  <c:v>2013</c:v>
                </c:pt>
                <c:pt idx="4">
                  <c:v>2014</c:v>
                </c:pt>
                <c:pt idx="5">
                  <c:v>2015</c:v>
                </c:pt>
                <c:pt idx="6">
                  <c:v>2016</c:v>
                </c:pt>
                <c:pt idx="7">
                  <c:v>2017</c:v>
                </c:pt>
                <c:pt idx="8">
                  <c:v>2018</c:v>
                </c:pt>
                <c:pt idx="9">
                  <c:v>2019</c:v>
                </c:pt>
                <c:pt idx="10">
                  <c:v>2020</c:v>
                </c:pt>
              </c:numCache>
            </c:numRef>
          </c:cat>
          <c:val>
            <c:numRef>
              <c:f>Sheet4!$E$5:$O$5</c:f>
              <c:numCache>
                <c:formatCode>0.00</c:formatCode>
                <c:ptCount val="11"/>
                <c:pt idx="0">
                  <c:v>21853.6</c:v>
                </c:pt>
                <c:pt idx="1">
                  <c:v>23739.9614409508</c:v>
                </c:pt>
                <c:pt idx="2">
                  <c:v>25612.909652951</c:v>
                </c:pt>
                <c:pt idx="3">
                  <c:v>27298.1310182561</c:v>
                </c:pt>
                <c:pt idx="4">
                  <c:v>28907.5357352765</c:v>
                </c:pt>
                <c:pt idx="5">
                  <c:v>30700.4100155594</c:v>
                </c:pt>
                <c:pt idx="6">
                  <c:v>32013.0222979554</c:v>
                </c:pt>
                <c:pt idx="7">
                  <c:v>34514.3326815661</c:v>
                </c:pt>
                <c:pt idx="8">
                  <c:v>36533.7419806753</c:v>
                </c:pt>
                <c:pt idx="9">
                  <c:v>37730.144365177</c:v>
                </c:pt>
                <c:pt idx="10">
                  <c:v>38183.225572846</c:v>
                </c:pt>
              </c:numCache>
            </c:numRef>
          </c:val>
        </c:ser>
        <c:ser>
          <c:idx val="3"/>
          <c:order val="3"/>
          <c:tx>
            <c:strRef>
              <c:f>Sheet4!$D$6</c:f>
              <c:strCache>
                <c:ptCount val="1"/>
                <c:pt idx="0">
                  <c:v>第三产业GDP</c:v>
                </c:pt>
              </c:strCache>
            </c:strRef>
          </c:tx>
          <c:spPr>
            <a:solidFill>
              <a:schemeClr val="accent4"/>
            </a:solidFill>
            <a:ln>
              <a:noFill/>
            </a:ln>
            <a:effectLst/>
          </c:spPr>
          <c:invertIfNegative val="0"/>
          <c:dLbls>
            <c:delete val="1"/>
          </c:dLbls>
          <c:cat>
            <c:numRef>
              <c:f>Sheet4!$E$2:$O$2</c:f>
              <c:numCache>
                <c:formatCode>General</c:formatCode>
                <c:ptCount val="11"/>
                <c:pt idx="0">
                  <c:v>2010</c:v>
                </c:pt>
                <c:pt idx="1">
                  <c:v>2011</c:v>
                </c:pt>
                <c:pt idx="2">
                  <c:v>2012</c:v>
                </c:pt>
                <c:pt idx="3">
                  <c:v>2013</c:v>
                </c:pt>
                <c:pt idx="4">
                  <c:v>2014</c:v>
                </c:pt>
                <c:pt idx="5">
                  <c:v>2015</c:v>
                </c:pt>
                <c:pt idx="6">
                  <c:v>2016</c:v>
                </c:pt>
                <c:pt idx="7">
                  <c:v>2017</c:v>
                </c:pt>
                <c:pt idx="8">
                  <c:v>2018</c:v>
                </c:pt>
                <c:pt idx="9">
                  <c:v>2019</c:v>
                </c:pt>
                <c:pt idx="10">
                  <c:v>2020</c:v>
                </c:pt>
              </c:numCache>
            </c:numRef>
          </c:cat>
          <c:val>
            <c:numRef>
              <c:f>Sheet4!$E$6:$O$6</c:f>
              <c:numCache>
                <c:formatCode>0.00</c:formatCode>
                <c:ptCount val="11"/>
                <c:pt idx="0">
                  <c:v>17121.03</c:v>
                </c:pt>
                <c:pt idx="1">
                  <c:v>19475.8271465284</c:v>
                </c:pt>
                <c:pt idx="2">
                  <c:v>21989.466986469</c:v>
                </c:pt>
                <c:pt idx="3">
                  <c:v>25053.440173626</c:v>
                </c:pt>
                <c:pt idx="4">
                  <c:v>28093.281047243</c:v>
                </c:pt>
                <c:pt idx="5">
                  <c:v>31215.5092618958</c:v>
                </c:pt>
                <c:pt idx="6">
                  <c:v>34962.0749363159</c:v>
                </c:pt>
                <c:pt idx="7">
                  <c:v>37669.3276224274</c:v>
                </c:pt>
                <c:pt idx="8">
                  <c:v>40702.3623772135</c:v>
                </c:pt>
                <c:pt idx="9">
                  <c:v>44099.3820555936</c:v>
                </c:pt>
                <c:pt idx="10">
                  <c:v>46583.1772508007</c:v>
                </c:pt>
              </c:numCache>
            </c:numRef>
          </c:val>
        </c:ser>
        <c:dLbls>
          <c:showLegendKey val="0"/>
          <c:showVal val="0"/>
          <c:showCatName val="0"/>
          <c:showSerName val="0"/>
          <c:showPercent val="0"/>
          <c:showBubbleSize val="0"/>
        </c:dLbls>
        <c:gapWidth val="219"/>
        <c:overlap val="-27"/>
        <c:axId val="1577173168"/>
        <c:axId val="1575228592"/>
      </c:barChart>
      <c:lineChart>
        <c:grouping val="standard"/>
        <c:varyColors val="0"/>
        <c:ser>
          <c:idx val="4"/>
          <c:order val="4"/>
          <c:tx>
            <c:strRef>
              <c:f>Sheet4!$D$7</c:f>
              <c:strCache>
                <c:ptCount val="1"/>
                <c:pt idx="0">
                  <c:v>GDP总值增长率</c:v>
                </c:pt>
              </c:strCache>
            </c:strRef>
          </c:tx>
          <c:spPr>
            <a:ln w="28575" cap="rnd">
              <a:solidFill>
                <a:schemeClr val="accent5"/>
              </a:solidFill>
              <a:round/>
            </a:ln>
            <a:effectLst/>
          </c:spPr>
          <c:marker>
            <c:symbol val="none"/>
          </c:marker>
          <c:dLbls>
            <c:delete val="1"/>
          </c:dLbls>
          <c:cat>
            <c:numRef>
              <c:f>Sheet4!$E$2:$O$2</c:f>
              <c:numCache>
                <c:formatCode>General</c:formatCode>
                <c:ptCount val="11"/>
                <c:pt idx="0">
                  <c:v>2010</c:v>
                </c:pt>
                <c:pt idx="1">
                  <c:v>2011</c:v>
                </c:pt>
                <c:pt idx="2">
                  <c:v>2012</c:v>
                </c:pt>
                <c:pt idx="3">
                  <c:v>2013</c:v>
                </c:pt>
                <c:pt idx="4">
                  <c:v>2014</c:v>
                </c:pt>
                <c:pt idx="5">
                  <c:v>2015</c:v>
                </c:pt>
                <c:pt idx="6">
                  <c:v>2016</c:v>
                </c:pt>
                <c:pt idx="7">
                  <c:v>2017</c:v>
                </c:pt>
                <c:pt idx="8">
                  <c:v>2018</c:v>
                </c:pt>
                <c:pt idx="9">
                  <c:v>2019</c:v>
                </c:pt>
                <c:pt idx="10">
                  <c:v>2020</c:v>
                </c:pt>
              </c:numCache>
            </c:numRef>
          </c:cat>
          <c:val>
            <c:numRef>
              <c:f>Sheet4!$E$7:$O$7</c:f>
              <c:numCache>
                <c:formatCode>General</c:formatCode>
                <c:ptCount val="11"/>
                <c:pt idx="1">
                  <c:v>0.110400018171331</c:v>
                </c:pt>
                <c:pt idx="2">
                  <c:v>0.102443493465556</c:v>
                </c:pt>
                <c:pt idx="3">
                  <c:v>0.0971158818954525</c:v>
                </c:pt>
                <c:pt idx="4">
                  <c:v>0.0859897542484173</c:v>
                </c:pt>
                <c:pt idx="5">
                  <c:v>0.0860274856803651</c:v>
                </c:pt>
                <c:pt idx="6">
                  <c:v>0.0780099284368334</c:v>
                </c:pt>
                <c:pt idx="7">
                  <c:v>0.0719796757387263</c:v>
                </c:pt>
                <c:pt idx="8">
                  <c:v>0.0670014909460588</c:v>
                </c:pt>
                <c:pt idx="9">
                  <c:v>0.0585000097882053</c:v>
                </c:pt>
                <c:pt idx="10">
                  <c:v>0.0365500474727616</c:v>
                </c:pt>
              </c:numCache>
            </c:numRef>
          </c:val>
          <c:smooth val="0"/>
        </c:ser>
        <c:ser>
          <c:idx val="5"/>
          <c:order val="5"/>
          <c:tx>
            <c:strRef>
              <c:f>Sheet4!$D$8</c:f>
              <c:strCache>
                <c:ptCount val="1"/>
                <c:pt idx="0">
                  <c:v>第一产业GDP增加率</c:v>
                </c:pt>
              </c:strCache>
            </c:strRef>
          </c:tx>
          <c:spPr>
            <a:ln w="28575" cap="rnd">
              <a:solidFill>
                <a:schemeClr val="accent6"/>
              </a:solidFill>
              <a:round/>
            </a:ln>
            <a:effectLst/>
          </c:spPr>
          <c:marker>
            <c:symbol val="none"/>
          </c:marker>
          <c:dLbls>
            <c:delete val="1"/>
          </c:dLbls>
          <c:cat>
            <c:numRef>
              <c:f>Sheet4!$E$2:$O$2</c:f>
              <c:numCache>
                <c:formatCode>General</c:formatCode>
                <c:ptCount val="11"/>
                <c:pt idx="0">
                  <c:v>2010</c:v>
                </c:pt>
                <c:pt idx="1">
                  <c:v>2011</c:v>
                </c:pt>
                <c:pt idx="2">
                  <c:v>2012</c:v>
                </c:pt>
                <c:pt idx="3">
                  <c:v>2013</c:v>
                </c:pt>
                <c:pt idx="4">
                  <c:v>2014</c:v>
                </c:pt>
                <c:pt idx="5">
                  <c:v>2015</c:v>
                </c:pt>
                <c:pt idx="6">
                  <c:v>2016</c:v>
                </c:pt>
                <c:pt idx="7">
                  <c:v>2017</c:v>
                </c:pt>
                <c:pt idx="8">
                  <c:v>2018</c:v>
                </c:pt>
                <c:pt idx="9">
                  <c:v>2019</c:v>
                </c:pt>
                <c:pt idx="10">
                  <c:v>2020</c:v>
                </c:pt>
              </c:numCache>
            </c:numRef>
          </c:cat>
          <c:val>
            <c:numRef>
              <c:f>Sheet4!$E$8:$O$8</c:f>
              <c:numCache>
                <c:formatCode>General</c:formatCode>
                <c:ptCount val="11"/>
                <c:pt idx="1">
                  <c:v>0.135985378177683</c:v>
                </c:pt>
                <c:pt idx="2">
                  <c:v>0.117273730628401</c:v>
                </c:pt>
                <c:pt idx="3">
                  <c:v>0.0558290742816083</c:v>
                </c:pt>
                <c:pt idx="4">
                  <c:v>0.0402889409399445</c:v>
                </c:pt>
                <c:pt idx="5">
                  <c:v>0.0826137119988046</c:v>
                </c:pt>
                <c:pt idx="6">
                  <c:v>0.0149966065761809</c:v>
                </c:pt>
                <c:pt idx="7">
                  <c:v>-0.0330754048080823</c:v>
                </c:pt>
                <c:pt idx="8">
                  <c:v>0.00646381457201761</c:v>
                </c:pt>
                <c:pt idx="9">
                  <c:v>0.0375875909518386</c:v>
                </c:pt>
                <c:pt idx="10">
                  <c:v>0.0510395458043424</c:v>
                </c:pt>
              </c:numCache>
            </c:numRef>
          </c:val>
          <c:smooth val="0"/>
        </c:ser>
        <c:ser>
          <c:idx val="6"/>
          <c:order val="6"/>
          <c:tx>
            <c:strRef>
              <c:f>Sheet4!$D$9</c:f>
              <c:strCache>
                <c:ptCount val="1"/>
                <c:pt idx="0">
                  <c:v>第二产业GDP增长率</c:v>
                </c:pt>
              </c:strCache>
            </c:strRef>
          </c:tx>
          <c:spPr>
            <a:ln w="28575" cap="rnd">
              <a:solidFill>
                <a:schemeClr val="accent1">
                  <a:lumMod val="60000"/>
                </a:schemeClr>
              </a:solidFill>
              <a:round/>
            </a:ln>
            <a:effectLst/>
          </c:spPr>
          <c:marker>
            <c:symbol val="none"/>
          </c:marker>
          <c:dLbls>
            <c:delete val="1"/>
          </c:dLbls>
          <c:cat>
            <c:numRef>
              <c:f>Sheet4!$E$2:$O$2</c:f>
              <c:numCache>
                <c:formatCode>General</c:formatCode>
                <c:ptCount val="11"/>
                <c:pt idx="0">
                  <c:v>2010</c:v>
                </c:pt>
                <c:pt idx="1">
                  <c:v>2011</c:v>
                </c:pt>
                <c:pt idx="2">
                  <c:v>2012</c:v>
                </c:pt>
                <c:pt idx="3">
                  <c:v>2013</c:v>
                </c:pt>
                <c:pt idx="4">
                  <c:v>2014</c:v>
                </c:pt>
                <c:pt idx="5">
                  <c:v>2015</c:v>
                </c:pt>
                <c:pt idx="6">
                  <c:v>2016</c:v>
                </c:pt>
                <c:pt idx="7">
                  <c:v>2017</c:v>
                </c:pt>
                <c:pt idx="8">
                  <c:v>2018</c:v>
                </c:pt>
                <c:pt idx="9">
                  <c:v>2019</c:v>
                </c:pt>
                <c:pt idx="10">
                  <c:v>2020</c:v>
                </c:pt>
              </c:numCache>
            </c:numRef>
          </c:cat>
          <c:val>
            <c:numRef>
              <c:f>Sheet4!$E$9:$O$9</c:f>
              <c:numCache>
                <c:formatCode>General</c:formatCode>
                <c:ptCount val="11"/>
                <c:pt idx="1">
                  <c:v>0.086318109645587</c:v>
                </c:pt>
                <c:pt idx="2">
                  <c:v>0.0788943240981602</c:v>
                </c:pt>
                <c:pt idx="3">
                  <c:v>0.065795779868022</c:v>
                </c:pt>
                <c:pt idx="4">
                  <c:v>0.0589565899564363</c:v>
                </c:pt>
                <c:pt idx="5">
                  <c:v>0.0620210002229632</c:v>
                </c:pt>
                <c:pt idx="6">
                  <c:v>0.0427555293799252</c:v>
                </c:pt>
                <c:pt idx="7">
                  <c:v>0.0781341530434149</c:v>
                </c:pt>
                <c:pt idx="8">
                  <c:v>0.0585092957682406</c:v>
                </c:pt>
                <c:pt idx="9">
                  <c:v>0.0327478741469884</c:v>
                </c:pt>
                <c:pt idx="10">
                  <c:v>0.0120084673751519</c:v>
                </c:pt>
              </c:numCache>
            </c:numRef>
          </c:val>
          <c:smooth val="0"/>
        </c:ser>
        <c:ser>
          <c:idx val="7"/>
          <c:order val="7"/>
          <c:tx>
            <c:strRef>
              <c:f>Sheet4!$D$10</c:f>
              <c:strCache>
                <c:ptCount val="1"/>
                <c:pt idx="0">
                  <c:v>第三产业GDP增长率</c:v>
                </c:pt>
              </c:strCache>
            </c:strRef>
          </c:tx>
          <c:spPr>
            <a:ln w="28575" cap="rnd">
              <a:solidFill>
                <a:schemeClr val="accent2">
                  <a:lumMod val="60000"/>
                </a:schemeClr>
              </a:solidFill>
              <a:round/>
            </a:ln>
            <a:effectLst/>
          </c:spPr>
          <c:marker>
            <c:symbol val="none"/>
          </c:marker>
          <c:dLbls>
            <c:delete val="1"/>
          </c:dLbls>
          <c:cat>
            <c:numRef>
              <c:f>Sheet4!$E$2:$O$2</c:f>
              <c:numCache>
                <c:formatCode>General</c:formatCode>
                <c:ptCount val="11"/>
                <c:pt idx="0">
                  <c:v>2010</c:v>
                </c:pt>
                <c:pt idx="1">
                  <c:v>2011</c:v>
                </c:pt>
                <c:pt idx="2">
                  <c:v>2012</c:v>
                </c:pt>
                <c:pt idx="3">
                  <c:v>2013</c:v>
                </c:pt>
                <c:pt idx="4">
                  <c:v>2014</c:v>
                </c:pt>
                <c:pt idx="5">
                  <c:v>2015</c:v>
                </c:pt>
                <c:pt idx="6">
                  <c:v>2016</c:v>
                </c:pt>
                <c:pt idx="7">
                  <c:v>2017</c:v>
                </c:pt>
                <c:pt idx="8">
                  <c:v>2018</c:v>
                </c:pt>
                <c:pt idx="9">
                  <c:v>2019</c:v>
                </c:pt>
                <c:pt idx="10">
                  <c:v>2020</c:v>
                </c:pt>
              </c:numCache>
            </c:numRef>
          </c:cat>
          <c:val>
            <c:numRef>
              <c:f>Sheet4!$E$10:$O$10</c:f>
              <c:numCache>
                <c:formatCode>General</c:formatCode>
                <c:ptCount val="11"/>
                <c:pt idx="1">
                  <c:v>0.13753828750539</c:v>
                </c:pt>
                <c:pt idx="2">
                  <c:v>0.129064599979707</c:v>
                </c:pt>
                <c:pt idx="3">
                  <c:v>0.139338219932406</c:v>
                </c:pt>
                <c:pt idx="4">
                  <c:v>0.121334269966528</c:v>
                </c:pt>
                <c:pt idx="5">
                  <c:v>0.1111378983965</c:v>
                </c:pt>
                <c:pt idx="6">
                  <c:v>0.120022570927377</c:v>
                </c:pt>
                <c:pt idx="7">
                  <c:v>0.0774339821375824</c:v>
                </c:pt>
                <c:pt idx="8">
                  <c:v>0.0805173584510786</c:v>
                </c:pt>
                <c:pt idx="9">
                  <c:v>0.0834600126375432</c:v>
                </c:pt>
                <c:pt idx="10">
                  <c:v>0.0563226757253858</c:v>
                </c:pt>
              </c:numCache>
            </c:numRef>
          </c:val>
          <c:smooth val="0"/>
        </c:ser>
        <c:dLbls>
          <c:showLegendKey val="0"/>
          <c:showVal val="0"/>
          <c:showCatName val="0"/>
          <c:showSerName val="0"/>
          <c:showPercent val="0"/>
          <c:showBubbleSize val="0"/>
        </c:dLbls>
        <c:marker val="0"/>
        <c:smooth val="0"/>
        <c:axId val="1296302752"/>
        <c:axId val="1164135504"/>
      </c:lineChart>
      <c:catAx>
        <c:axId val="15771731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575228592"/>
        <c:crosses val="autoZero"/>
        <c:auto val="1"/>
        <c:lblAlgn val="ctr"/>
        <c:lblOffset val="100"/>
        <c:noMultiLvlLbl val="0"/>
      </c:catAx>
      <c:valAx>
        <c:axId val="157522859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icrosoft JhengHei UI Light" panose="020B0304030504040204" pitchFamily="34" charset="-120"/>
                <a:cs typeface="+mn-cs"/>
              </a:defRPr>
            </a:pPr>
          </a:p>
        </c:txPr>
        <c:crossAx val="1577173168"/>
        <c:crosses val="autoZero"/>
        <c:crossBetween val="between"/>
      </c:valAx>
      <c:catAx>
        <c:axId val="1296302752"/>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164135504"/>
        <c:crosses val="autoZero"/>
        <c:auto val="1"/>
        <c:lblAlgn val="ctr"/>
        <c:lblOffset val="100"/>
        <c:noMultiLvlLbl val="0"/>
      </c:catAx>
      <c:valAx>
        <c:axId val="1164135504"/>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96302752"/>
        <c:crosses val="max"/>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062143f4-d796-4270-9136-989bfbf07f7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能源消费量变化!$D$4</c:f>
              <c:strCache>
                <c:ptCount val="1"/>
                <c:pt idx="0">
                  <c:v>总量</c:v>
                </c:pt>
              </c:strCache>
            </c:strRef>
          </c:tx>
          <c:spPr>
            <a:solidFill>
              <a:schemeClr val="accent1"/>
            </a:solidFill>
            <a:ln>
              <a:noFill/>
            </a:ln>
            <a:effectLst/>
          </c:spPr>
          <c:invertIfNegative val="0"/>
          <c:dLbls>
            <c:delete val="1"/>
          </c:dLbls>
          <c:cat>
            <c:numRef>
              <c:f>能源消费量变化!$E$3:$O$3</c:f>
              <c:numCache>
                <c:formatCode>General</c:formatCode>
                <c:ptCount val="11"/>
                <c:pt idx="0">
                  <c:v>2010</c:v>
                </c:pt>
                <c:pt idx="1">
                  <c:v>2011</c:v>
                </c:pt>
                <c:pt idx="2">
                  <c:v>2012</c:v>
                </c:pt>
                <c:pt idx="3">
                  <c:v>2013</c:v>
                </c:pt>
                <c:pt idx="4">
                  <c:v>2014</c:v>
                </c:pt>
                <c:pt idx="5">
                  <c:v>2015</c:v>
                </c:pt>
                <c:pt idx="6">
                  <c:v>2016</c:v>
                </c:pt>
                <c:pt idx="7">
                  <c:v>2017</c:v>
                </c:pt>
                <c:pt idx="8">
                  <c:v>2018</c:v>
                </c:pt>
                <c:pt idx="9">
                  <c:v>2019</c:v>
                </c:pt>
                <c:pt idx="10">
                  <c:v>2020</c:v>
                </c:pt>
              </c:numCache>
            </c:numRef>
          </c:cat>
          <c:val>
            <c:numRef>
              <c:f>能源消费量变化!$E$4:$O$4</c:f>
              <c:numCache>
                <c:formatCode>0.00</c:formatCode>
                <c:ptCount val="11"/>
                <c:pt idx="0">
                  <c:v>23539.3144312995</c:v>
                </c:pt>
                <c:pt idx="1">
                  <c:v>26860.0258116624</c:v>
                </c:pt>
                <c:pt idx="2">
                  <c:v>27999.2181084627</c:v>
                </c:pt>
                <c:pt idx="3">
                  <c:v>28203.1042748867</c:v>
                </c:pt>
                <c:pt idx="4">
                  <c:v>28170.5057646771</c:v>
                </c:pt>
                <c:pt idx="5">
                  <c:v>29033.6080683821</c:v>
                </c:pt>
                <c:pt idx="6">
                  <c:v>29947.9766182135</c:v>
                </c:pt>
                <c:pt idx="7">
                  <c:v>30669.8864567355</c:v>
                </c:pt>
                <c:pt idx="8">
                  <c:v>31373.1266491435</c:v>
                </c:pt>
                <c:pt idx="9">
                  <c:v>32227.5053853735</c:v>
                </c:pt>
                <c:pt idx="10">
                  <c:v>31437.9975544481</c:v>
                </c:pt>
              </c:numCache>
            </c:numRef>
          </c:val>
        </c:ser>
        <c:ser>
          <c:idx val="1"/>
          <c:order val="1"/>
          <c:tx>
            <c:strRef>
              <c:f>能源消费量变化!$D$5</c:f>
              <c:strCache>
                <c:ptCount val="1"/>
                <c:pt idx="0">
                  <c:v>工业消费部门</c:v>
                </c:pt>
              </c:strCache>
            </c:strRef>
          </c:tx>
          <c:spPr>
            <a:solidFill>
              <a:schemeClr val="accent2"/>
            </a:solidFill>
            <a:ln>
              <a:noFill/>
            </a:ln>
            <a:effectLst/>
          </c:spPr>
          <c:invertIfNegative val="0"/>
          <c:dLbls>
            <c:delete val="1"/>
          </c:dLbls>
          <c:cat>
            <c:numRef>
              <c:f>能源消费量变化!$E$3:$O$3</c:f>
              <c:numCache>
                <c:formatCode>General</c:formatCode>
                <c:ptCount val="11"/>
                <c:pt idx="0">
                  <c:v>2010</c:v>
                </c:pt>
                <c:pt idx="1">
                  <c:v>2011</c:v>
                </c:pt>
                <c:pt idx="2">
                  <c:v>2012</c:v>
                </c:pt>
                <c:pt idx="3">
                  <c:v>2013</c:v>
                </c:pt>
                <c:pt idx="4">
                  <c:v>2014</c:v>
                </c:pt>
                <c:pt idx="5">
                  <c:v>2015</c:v>
                </c:pt>
                <c:pt idx="6">
                  <c:v>2016</c:v>
                </c:pt>
                <c:pt idx="7">
                  <c:v>2017</c:v>
                </c:pt>
                <c:pt idx="8">
                  <c:v>2018</c:v>
                </c:pt>
                <c:pt idx="9">
                  <c:v>2019</c:v>
                </c:pt>
                <c:pt idx="10">
                  <c:v>2020</c:v>
                </c:pt>
              </c:numCache>
            </c:numRef>
          </c:cat>
          <c:val>
            <c:numRef>
              <c:f>能源消费量变化!$E$5:$O$5</c:f>
              <c:numCache>
                <c:formatCode>0.00</c:formatCode>
                <c:ptCount val="11"/>
                <c:pt idx="0">
                  <c:v>14312.6792032951</c:v>
                </c:pt>
                <c:pt idx="1">
                  <c:v>15171.8565891225</c:v>
                </c:pt>
                <c:pt idx="2">
                  <c:v>15494.5922429731</c:v>
                </c:pt>
                <c:pt idx="3">
                  <c:v>16347.8093008019</c:v>
                </c:pt>
                <c:pt idx="4">
                  <c:v>17018.5287899782</c:v>
                </c:pt>
                <c:pt idx="5">
                  <c:v>17242.1899995931</c:v>
                </c:pt>
                <c:pt idx="6">
                  <c:v>17724.5526430005</c:v>
                </c:pt>
                <c:pt idx="7">
                  <c:v>17832.3201745844</c:v>
                </c:pt>
                <c:pt idx="8">
                  <c:v>18123.6590114367</c:v>
                </c:pt>
                <c:pt idx="9">
                  <c:v>19109.5523605921</c:v>
                </c:pt>
                <c:pt idx="10">
                  <c:v>18872.7432996153</c:v>
                </c:pt>
              </c:numCache>
            </c:numRef>
          </c:val>
        </c:ser>
        <c:ser>
          <c:idx val="2"/>
          <c:order val="2"/>
          <c:tx>
            <c:strRef>
              <c:f>能源消费量变化!$D$6</c:f>
              <c:strCache>
                <c:ptCount val="1"/>
                <c:pt idx="0">
                  <c:v>能源供应部门</c:v>
                </c:pt>
              </c:strCache>
            </c:strRef>
          </c:tx>
          <c:spPr>
            <a:solidFill>
              <a:schemeClr val="accent3"/>
            </a:solidFill>
            <a:ln>
              <a:noFill/>
            </a:ln>
            <a:effectLst/>
          </c:spPr>
          <c:invertIfNegative val="0"/>
          <c:dLbls>
            <c:delete val="1"/>
          </c:dLbls>
          <c:cat>
            <c:numRef>
              <c:f>能源消费量变化!$E$3:$O$3</c:f>
              <c:numCache>
                <c:formatCode>General</c:formatCode>
                <c:ptCount val="11"/>
                <c:pt idx="0">
                  <c:v>2010</c:v>
                </c:pt>
                <c:pt idx="1">
                  <c:v>2011</c:v>
                </c:pt>
                <c:pt idx="2">
                  <c:v>2012</c:v>
                </c:pt>
                <c:pt idx="3">
                  <c:v>2013</c:v>
                </c:pt>
                <c:pt idx="4">
                  <c:v>2014</c:v>
                </c:pt>
                <c:pt idx="5">
                  <c:v>2015</c:v>
                </c:pt>
                <c:pt idx="6">
                  <c:v>2016</c:v>
                </c:pt>
                <c:pt idx="7">
                  <c:v>2017</c:v>
                </c:pt>
                <c:pt idx="8">
                  <c:v>2018</c:v>
                </c:pt>
                <c:pt idx="9">
                  <c:v>2019</c:v>
                </c:pt>
                <c:pt idx="10">
                  <c:v>2020</c:v>
                </c:pt>
              </c:numCache>
            </c:numRef>
          </c:cat>
          <c:val>
            <c:numRef>
              <c:f>能源消费量变化!$E$6:$O$6</c:f>
              <c:numCache>
                <c:formatCode>0.00</c:formatCode>
                <c:ptCount val="11"/>
                <c:pt idx="0">
                  <c:v>20113.0721835018</c:v>
                </c:pt>
                <c:pt idx="1">
                  <c:v>23145.4679532364</c:v>
                </c:pt>
                <c:pt idx="2">
                  <c:v>23869.2173402831</c:v>
                </c:pt>
                <c:pt idx="3">
                  <c:v>23889.1366318986</c:v>
                </c:pt>
                <c:pt idx="4">
                  <c:v>23670.1334859105</c:v>
                </c:pt>
                <c:pt idx="5">
                  <c:v>24261.9626813005</c:v>
                </c:pt>
                <c:pt idx="6">
                  <c:v>24929.6747663399</c:v>
                </c:pt>
                <c:pt idx="7">
                  <c:v>25317.5558522113</c:v>
                </c:pt>
                <c:pt idx="8">
                  <c:v>25580.6555087394</c:v>
                </c:pt>
                <c:pt idx="9">
                  <c:v>26196.1168064751</c:v>
                </c:pt>
                <c:pt idx="10">
                  <c:v>25325.9930623834</c:v>
                </c:pt>
              </c:numCache>
            </c:numRef>
          </c:val>
        </c:ser>
        <c:dLbls>
          <c:showLegendKey val="0"/>
          <c:showVal val="0"/>
          <c:showCatName val="0"/>
          <c:showSerName val="0"/>
          <c:showPercent val="0"/>
          <c:showBubbleSize val="0"/>
        </c:dLbls>
        <c:gapWidth val="219"/>
        <c:overlap val="-27"/>
        <c:axId val="1320773024"/>
        <c:axId val="1315780800"/>
      </c:barChart>
      <c:lineChart>
        <c:grouping val="standard"/>
        <c:varyColors val="0"/>
        <c:ser>
          <c:idx val="3"/>
          <c:order val="3"/>
          <c:tx>
            <c:strRef>
              <c:f>能源消费量变化!$D$7</c:f>
              <c:strCache>
                <c:ptCount val="1"/>
                <c:pt idx="0">
                  <c:v>总量增长率</c:v>
                </c:pt>
              </c:strCache>
            </c:strRef>
          </c:tx>
          <c:spPr>
            <a:ln w="28575" cap="rnd">
              <a:solidFill>
                <a:schemeClr val="accent4"/>
              </a:solidFill>
              <a:round/>
            </a:ln>
            <a:effectLst/>
          </c:spPr>
          <c:marker>
            <c:symbol val="none"/>
          </c:marker>
          <c:dLbls>
            <c:delete val="1"/>
          </c:dLbls>
          <c:cat>
            <c:numRef>
              <c:f>能源消费量变化!$E$3:$O$3</c:f>
              <c:numCache>
                <c:formatCode>General</c:formatCode>
                <c:ptCount val="11"/>
                <c:pt idx="0">
                  <c:v>2010</c:v>
                </c:pt>
                <c:pt idx="1">
                  <c:v>2011</c:v>
                </c:pt>
                <c:pt idx="2">
                  <c:v>2012</c:v>
                </c:pt>
                <c:pt idx="3">
                  <c:v>2013</c:v>
                </c:pt>
                <c:pt idx="4">
                  <c:v>2014</c:v>
                </c:pt>
                <c:pt idx="5">
                  <c:v>2015</c:v>
                </c:pt>
                <c:pt idx="6">
                  <c:v>2016</c:v>
                </c:pt>
                <c:pt idx="7">
                  <c:v>2017</c:v>
                </c:pt>
                <c:pt idx="8">
                  <c:v>2018</c:v>
                </c:pt>
                <c:pt idx="9">
                  <c:v>2019</c:v>
                </c:pt>
                <c:pt idx="10">
                  <c:v>2020</c:v>
                </c:pt>
              </c:numCache>
            </c:numRef>
          </c:cat>
          <c:val>
            <c:numRef>
              <c:f>能源消费量变化!$E$7:$O$7</c:f>
              <c:numCache>
                <c:formatCode>General</c:formatCode>
                <c:ptCount val="11"/>
                <c:pt idx="1" c:formatCode="0.00%">
                  <c:v>0.141070862112596</c:v>
                </c:pt>
                <c:pt idx="2" c:formatCode="0.00%">
                  <c:v>0.0424121817599175</c:v>
                </c:pt>
                <c:pt idx="3" c:formatCode="0.00%">
                  <c:v>0.00728185214437739</c:v>
                </c:pt>
                <c:pt idx="4" c:formatCode="0.00%">
                  <c:v>-0.0011558483027923</c:v>
                </c:pt>
                <c:pt idx="5" c:formatCode="0.00%">
                  <c:v>0.0306385093301108</c:v>
                </c:pt>
                <c:pt idx="6" c:formatCode="0.00%">
                  <c:v>0.0314934522666908</c:v>
                </c:pt>
                <c:pt idx="7" c:formatCode="0.00%">
                  <c:v>0.0241054628740079</c:v>
                </c:pt>
                <c:pt idx="8" c:formatCode="0.00%">
                  <c:v>0.0229293379810853</c:v>
                </c:pt>
                <c:pt idx="9" c:formatCode="0.00%">
                  <c:v>0.027232820808229</c:v>
                </c:pt>
                <c:pt idx="10" c:formatCode="0.00%">
                  <c:v>-0.0244979504769153</c:v>
                </c:pt>
              </c:numCache>
            </c:numRef>
          </c:val>
          <c:smooth val="0"/>
        </c:ser>
        <c:ser>
          <c:idx val="4"/>
          <c:order val="4"/>
          <c:tx>
            <c:strRef>
              <c:f>能源消费量变化!$D$8</c:f>
              <c:strCache>
                <c:ptCount val="1"/>
                <c:pt idx="0">
                  <c:v>工业消费部门增长率</c:v>
                </c:pt>
              </c:strCache>
            </c:strRef>
          </c:tx>
          <c:spPr>
            <a:ln w="28575" cap="rnd">
              <a:solidFill>
                <a:schemeClr val="accent5"/>
              </a:solidFill>
              <a:round/>
            </a:ln>
            <a:effectLst/>
          </c:spPr>
          <c:marker>
            <c:symbol val="none"/>
          </c:marker>
          <c:dLbls>
            <c:delete val="1"/>
          </c:dLbls>
          <c:cat>
            <c:numRef>
              <c:f>能源消费量变化!$E$3:$O$3</c:f>
              <c:numCache>
                <c:formatCode>General</c:formatCode>
                <c:ptCount val="11"/>
                <c:pt idx="0">
                  <c:v>2010</c:v>
                </c:pt>
                <c:pt idx="1">
                  <c:v>2011</c:v>
                </c:pt>
                <c:pt idx="2">
                  <c:v>2012</c:v>
                </c:pt>
                <c:pt idx="3">
                  <c:v>2013</c:v>
                </c:pt>
                <c:pt idx="4">
                  <c:v>2014</c:v>
                </c:pt>
                <c:pt idx="5">
                  <c:v>2015</c:v>
                </c:pt>
                <c:pt idx="6">
                  <c:v>2016</c:v>
                </c:pt>
                <c:pt idx="7">
                  <c:v>2017</c:v>
                </c:pt>
                <c:pt idx="8">
                  <c:v>2018</c:v>
                </c:pt>
                <c:pt idx="9">
                  <c:v>2019</c:v>
                </c:pt>
                <c:pt idx="10">
                  <c:v>2020</c:v>
                </c:pt>
              </c:numCache>
            </c:numRef>
          </c:cat>
          <c:val>
            <c:numRef>
              <c:f>能源消费量变化!$E$8:$O$8</c:f>
              <c:numCache>
                <c:formatCode>General</c:formatCode>
                <c:ptCount val="11"/>
                <c:pt idx="1" c:formatCode="0.00%">
                  <c:v>0.060029109408782</c:v>
                </c:pt>
                <c:pt idx="2" c:formatCode="0.00%">
                  <c:v>0.0212719947591638</c:v>
                </c:pt>
                <c:pt idx="3" c:formatCode="0.00%">
                  <c:v>0.055065473453536</c:v>
                </c:pt>
                <c:pt idx="4" c:formatCode="0.00%">
                  <c:v>0.0410280959873566</c:v>
                </c:pt>
                <c:pt idx="5" c:formatCode="0.00%">
                  <c:v>0.0131422176602368</c:v>
                </c:pt>
                <c:pt idx="6" c:formatCode="0.00%">
                  <c:v>0.0279757179000337</c:v>
                </c:pt>
                <c:pt idx="7" c:formatCode="0.00%">
                  <c:v>0.00608012702799912</c:v>
                </c:pt>
                <c:pt idx="8" c:formatCode="0.00%">
                  <c:v>0.0163376853937117</c:v>
                </c:pt>
                <c:pt idx="9" c:formatCode="0.00%">
                  <c:v>0.0543981404932231</c:v>
                </c:pt>
                <c:pt idx="10" c:formatCode="0.00%">
                  <c:v>-0.0123921825330221</c:v>
                </c:pt>
              </c:numCache>
            </c:numRef>
          </c:val>
          <c:smooth val="0"/>
        </c:ser>
        <c:ser>
          <c:idx val="5"/>
          <c:order val="5"/>
          <c:tx>
            <c:strRef>
              <c:f>能源消费量变化!$D$9</c:f>
              <c:strCache>
                <c:ptCount val="1"/>
                <c:pt idx="0">
                  <c:v>能源供应部门增长率</c:v>
                </c:pt>
              </c:strCache>
            </c:strRef>
          </c:tx>
          <c:spPr>
            <a:ln w="28575" cap="rnd">
              <a:solidFill>
                <a:schemeClr val="accent6"/>
              </a:solidFill>
              <a:round/>
            </a:ln>
            <a:effectLst/>
          </c:spPr>
          <c:marker>
            <c:symbol val="none"/>
          </c:marker>
          <c:dLbls>
            <c:delete val="1"/>
          </c:dLbls>
          <c:cat>
            <c:numRef>
              <c:f>能源消费量变化!$E$3:$O$3</c:f>
              <c:numCache>
                <c:formatCode>General</c:formatCode>
                <c:ptCount val="11"/>
                <c:pt idx="0">
                  <c:v>2010</c:v>
                </c:pt>
                <c:pt idx="1">
                  <c:v>2011</c:v>
                </c:pt>
                <c:pt idx="2">
                  <c:v>2012</c:v>
                </c:pt>
                <c:pt idx="3">
                  <c:v>2013</c:v>
                </c:pt>
                <c:pt idx="4">
                  <c:v>2014</c:v>
                </c:pt>
                <c:pt idx="5">
                  <c:v>2015</c:v>
                </c:pt>
                <c:pt idx="6">
                  <c:v>2016</c:v>
                </c:pt>
                <c:pt idx="7">
                  <c:v>2017</c:v>
                </c:pt>
                <c:pt idx="8">
                  <c:v>2018</c:v>
                </c:pt>
                <c:pt idx="9">
                  <c:v>2019</c:v>
                </c:pt>
                <c:pt idx="10">
                  <c:v>2020</c:v>
                </c:pt>
              </c:numCache>
            </c:numRef>
          </c:cat>
          <c:val>
            <c:numRef>
              <c:f>能源消费量变化!$E$9:$O$9</c:f>
              <c:numCache>
                <c:formatCode>General</c:formatCode>
                <c:ptCount val="11"/>
                <c:pt idx="1" c:formatCode="0.00%">
                  <c:v>0.150767408482827</c:v>
                </c:pt>
                <c:pt idx="2" c:formatCode="0.00%">
                  <c:v>0.0312695940522343</c:v>
                </c:pt>
                <c:pt idx="3" c:formatCode="0.00%">
                  <c:v>0.000834518004152726</c:v>
                </c:pt>
                <c:pt idx="4" c:formatCode="0.00%">
                  <c:v>-0.00916747848039303</c:v>
                </c:pt>
                <c:pt idx="5" c:formatCode="0.00%">
                  <c:v>0.0250032048083837</c:v>
                </c:pt>
                <c:pt idx="6" c:formatCode="0.00%">
                  <c:v>0.0275209427122739</c:v>
                </c:pt>
                <c:pt idx="7" c:formatCode="0.00%">
                  <c:v>0.0155590110784404</c:v>
                </c:pt>
                <c:pt idx="8" c:formatCode="0.00%">
                  <c:v>0.0103919848370799</c:v>
                </c:pt>
                <c:pt idx="9" c:formatCode="0.00%">
                  <c:v>0.0240596374680638</c:v>
                </c:pt>
                <c:pt idx="10" c:formatCode="0.00%">
                  <c:v>-0.033215752949942</c:v>
                </c:pt>
              </c:numCache>
            </c:numRef>
          </c:val>
          <c:smooth val="0"/>
        </c:ser>
        <c:dLbls>
          <c:showLegendKey val="0"/>
          <c:showVal val="0"/>
          <c:showCatName val="0"/>
          <c:showSerName val="0"/>
          <c:showPercent val="0"/>
          <c:showBubbleSize val="0"/>
        </c:dLbls>
        <c:marker val="0"/>
        <c:smooth val="0"/>
        <c:axId val="1578388576"/>
        <c:axId val="1315779360"/>
      </c:lineChart>
      <c:catAx>
        <c:axId val="1320773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315780800"/>
        <c:crosses val="autoZero"/>
        <c:auto val="1"/>
        <c:lblAlgn val="ctr"/>
        <c:lblOffset val="100"/>
        <c:noMultiLvlLbl val="0"/>
      </c:catAx>
      <c:valAx>
        <c:axId val="131578080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320773024"/>
        <c:crosses val="autoZero"/>
        <c:crossBetween val="between"/>
      </c:valAx>
      <c:catAx>
        <c:axId val="1578388576"/>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315779360"/>
        <c:crosses val="autoZero"/>
        <c:auto val="1"/>
        <c:lblAlgn val="ctr"/>
        <c:lblOffset val="100"/>
        <c:noMultiLvlLbl val="0"/>
      </c:catAx>
      <c:valAx>
        <c:axId val="1315779360"/>
        <c:scaling>
          <c:orientation val="minMax"/>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578388576"/>
        <c:crosses val="max"/>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2b7bdf2-f3f9-4201-a48b-15788d87c451}"/>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areaChart>
        <c:grouping val="stacked"/>
        <c:varyColors val="0"/>
        <c:ser>
          <c:idx val="0"/>
          <c:order val="0"/>
          <c:tx>
            <c:strRef>
              <c:f>能源消费量变化!$D$31</c:f>
              <c:strCache>
                <c:ptCount val="1"/>
                <c:pt idx="0">
                  <c:v>化石能源消费比重</c:v>
                </c:pt>
              </c:strCache>
            </c:strRef>
          </c:tx>
          <c:spPr>
            <a:solidFill>
              <a:schemeClr val="accent1"/>
            </a:solidFill>
            <a:ln>
              <a:noFill/>
            </a:ln>
            <a:effectLst/>
          </c:spPr>
          <c:dLbls>
            <c:delete val="1"/>
          </c:dLbls>
          <c:cat>
            <c:numRef>
              <c:f>能源消费量变化!$E$30:$O$30</c:f>
              <c:numCache>
                <c:formatCode>General</c:formatCode>
                <c:ptCount val="11"/>
                <c:pt idx="0">
                  <c:v>2010</c:v>
                </c:pt>
                <c:pt idx="1">
                  <c:v>2011</c:v>
                </c:pt>
                <c:pt idx="2">
                  <c:v>2012</c:v>
                </c:pt>
                <c:pt idx="3">
                  <c:v>2013</c:v>
                </c:pt>
                <c:pt idx="4">
                  <c:v>2014</c:v>
                </c:pt>
                <c:pt idx="5">
                  <c:v>2015</c:v>
                </c:pt>
                <c:pt idx="6">
                  <c:v>2016</c:v>
                </c:pt>
                <c:pt idx="7">
                  <c:v>2017</c:v>
                </c:pt>
                <c:pt idx="8">
                  <c:v>2018</c:v>
                </c:pt>
                <c:pt idx="9">
                  <c:v>2019</c:v>
                </c:pt>
                <c:pt idx="10">
                  <c:v>2020</c:v>
                </c:pt>
              </c:numCache>
            </c:numRef>
          </c:cat>
          <c:val>
            <c:numRef>
              <c:f>能源消费量变化!$E$31:$O$31</c:f>
              <c:numCache>
                <c:formatCode>General</c:formatCode>
                <c:ptCount val="11"/>
                <c:pt idx="0">
                  <c:v>0.982990624988408</c:v>
                </c:pt>
                <c:pt idx="1">
                  <c:v>0.984195144905904</c:v>
                </c:pt>
                <c:pt idx="2">
                  <c:v>0.981970003515631</c:v>
                </c:pt>
                <c:pt idx="3">
                  <c:v>0.980422147218913</c:v>
                </c:pt>
                <c:pt idx="4">
                  <c:v>0.975649447333653</c:v>
                </c:pt>
                <c:pt idx="5">
                  <c:v>0.977321514893126</c:v>
                </c:pt>
                <c:pt idx="6">
                  <c:v>0.976877432419412</c:v>
                </c:pt>
                <c:pt idx="7">
                  <c:v>0.972685470721604</c:v>
                </c:pt>
                <c:pt idx="8">
                  <c:v>0.965763370864535</c:v>
                </c:pt>
                <c:pt idx="9">
                  <c:v>0.96124609238632</c:v>
                </c:pt>
                <c:pt idx="10">
                  <c:v>0.958105509623128</c:v>
                </c:pt>
              </c:numCache>
            </c:numRef>
          </c:val>
        </c:ser>
        <c:ser>
          <c:idx val="1"/>
          <c:order val="1"/>
          <c:tx>
            <c:strRef>
              <c:f>能源消费量变化!$D$32</c:f>
              <c:strCache>
                <c:ptCount val="1"/>
                <c:pt idx="0">
                  <c:v>非化石能源消费比重</c:v>
                </c:pt>
              </c:strCache>
            </c:strRef>
          </c:tx>
          <c:spPr>
            <a:solidFill>
              <a:schemeClr val="accent2"/>
            </a:solidFill>
            <a:ln>
              <a:noFill/>
            </a:ln>
            <a:effectLst/>
          </c:spPr>
          <c:dLbls>
            <c:delete val="1"/>
          </c:dLbls>
          <c:cat>
            <c:numRef>
              <c:f>能源消费量变化!$E$30:$O$30</c:f>
              <c:numCache>
                <c:formatCode>General</c:formatCode>
                <c:ptCount val="11"/>
                <c:pt idx="0">
                  <c:v>2010</c:v>
                </c:pt>
                <c:pt idx="1">
                  <c:v>2011</c:v>
                </c:pt>
                <c:pt idx="2">
                  <c:v>2012</c:v>
                </c:pt>
                <c:pt idx="3">
                  <c:v>2013</c:v>
                </c:pt>
                <c:pt idx="4">
                  <c:v>2014</c:v>
                </c:pt>
                <c:pt idx="5">
                  <c:v>2015</c:v>
                </c:pt>
                <c:pt idx="6">
                  <c:v>2016</c:v>
                </c:pt>
                <c:pt idx="7">
                  <c:v>2017</c:v>
                </c:pt>
                <c:pt idx="8">
                  <c:v>2018</c:v>
                </c:pt>
                <c:pt idx="9">
                  <c:v>2019</c:v>
                </c:pt>
                <c:pt idx="10">
                  <c:v>2020</c:v>
                </c:pt>
              </c:numCache>
            </c:numRef>
          </c:cat>
          <c:val>
            <c:numRef>
              <c:f>能源消费量变化!$E$32:$O$32</c:f>
              <c:numCache>
                <c:formatCode>General</c:formatCode>
                <c:ptCount val="11"/>
                <c:pt idx="0">
                  <c:v>0.0170093750115918</c:v>
                </c:pt>
                <c:pt idx="1">
                  <c:v>0.015804855094096</c:v>
                </c:pt>
                <c:pt idx="2">
                  <c:v>0.0180299964843691</c:v>
                </c:pt>
                <c:pt idx="3">
                  <c:v>0.0195778527810867</c:v>
                </c:pt>
                <c:pt idx="4">
                  <c:v>0.0243505526663472</c:v>
                </c:pt>
                <c:pt idx="5">
                  <c:v>0.0226784851068744</c:v>
                </c:pt>
                <c:pt idx="6">
                  <c:v>0.0231225675805881</c:v>
                </c:pt>
                <c:pt idx="7">
                  <c:v>0.0273145292783963</c:v>
                </c:pt>
                <c:pt idx="8">
                  <c:v>0.0342366291354651</c:v>
                </c:pt>
                <c:pt idx="9">
                  <c:v>0.0387539076136805</c:v>
                </c:pt>
                <c:pt idx="10">
                  <c:v>0.0418944903768719</c:v>
                </c:pt>
              </c:numCache>
            </c:numRef>
          </c:val>
        </c:ser>
        <c:dLbls>
          <c:showLegendKey val="0"/>
          <c:showVal val="0"/>
          <c:showCatName val="0"/>
          <c:showSerName val="0"/>
          <c:showPercent val="0"/>
          <c:showBubbleSize val="0"/>
        </c:dLbls>
        <c:axId val="1302276512"/>
        <c:axId val="1643354768"/>
      </c:areaChart>
      <c:catAx>
        <c:axId val="1302276512"/>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643354768"/>
        <c:crosses val="autoZero"/>
        <c:auto val="1"/>
        <c:lblAlgn val="ctr"/>
        <c:lblOffset val="100"/>
        <c:noMultiLvlLbl val="0"/>
      </c:catAx>
      <c:valAx>
        <c:axId val="16433547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302276512"/>
        <c:crosses val="autoZero"/>
        <c:crossBetween val="midCat"/>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zero"/>
    <c:showDLblsOverMax val="0"/>
    <c:extLst>
      <c:ext uri="{0b15fc19-7d7d-44ad-8c2d-2c3a37ce22c3}">
        <chartProps xmlns="https://web.wps.cn/et/2018/main" chartId="{53c80132-2281-47d8-906c-7ede02dadbad}"/>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Sheet1!$D$1</c:f>
              <c:strCache>
                <c:ptCount val="1"/>
                <c:pt idx="0">
                  <c:v>能源消费量</c:v>
                </c:pt>
              </c:strCache>
            </c:strRef>
          </c:tx>
          <c:spPr>
            <a:ln w="28575" cap="rnd">
              <a:solidFill>
                <a:schemeClr val="accent2"/>
              </a:solidFill>
              <a:round/>
            </a:ln>
            <a:effectLst/>
          </c:spPr>
          <c:marker>
            <c:symbol val="none"/>
          </c:marker>
          <c:dLbls>
            <c:delete val="1"/>
          </c:dLbls>
          <c:cat>
            <c:numRef>
              <c:f>Sheet1!$C$2:$C$40</c:f>
              <c:numCache>
                <c:formatCode>General</c:formatCode>
                <c:ptCount val="39"/>
                <c:pt idx="0">
                  <c:v>2021</c:v>
                </c:pt>
                <c:pt idx="1">
                  <c:v>2022</c:v>
                </c:pt>
                <c:pt idx="2">
                  <c:v>2023</c:v>
                </c:pt>
                <c:pt idx="3">
                  <c:v>2024</c:v>
                </c:pt>
                <c:pt idx="4">
                  <c:v>2025</c:v>
                </c:pt>
                <c:pt idx="5">
                  <c:v>2026</c:v>
                </c:pt>
                <c:pt idx="6">
                  <c:v>2027</c:v>
                </c:pt>
                <c:pt idx="7">
                  <c:v>2028</c:v>
                </c:pt>
                <c:pt idx="8">
                  <c:v>2029</c:v>
                </c:pt>
                <c:pt idx="9">
                  <c:v>2030</c:v>
                </c:pt>
                <c:pt idx="10">
                  <c:v>2031</c:v>
                </c:pt>
                <c:pt idx="11">
                  <c:v>2032</c:v>
                </c:pt>
                <c:pt idx="12">
                  <c:v>2033</c:v>
                </c:pt>
                <c:pt idx="13">
                  <c:v>2034</c:v>
                </c:pt>
                <c:pt idx="14">
                  <c:v>2035</c:v>
                </c:pt>
                <c:pt idx="15">
                  <c:v>2036</c:v>
                </c:pt>
                <c:pt idx="16">
                  <c:v>2037</c:v>
                </c:pt>
                <c:pt idx="17">
                  <c:v>2038</c:v>
                </c:pt>
                <c:pt idx="18">
                  <c:v>2039</c:v>
                </c:pt>
                <c:pt idx="19">
                  <c:v>2040</c:v>
                </c:pt>
                <c:pt idx="20">
                  <c:v>2041</c:v>
                </c:pt>
                <c:pt idx="21">
                  <c:v>2042</c:v>
                </c:pt>
                <c:pt idx="22">
                  <c:v>2043</c:v>
                </c:pt>
                <c:pt idx="23">
                  <c:v>2045</c:v>
                </c:pt>
                <c:pt idx="24">
                  <c:v>2046</c:v>
                </c:pt>
                <c:pt idx="25">
                  <c:v>2047</c:v>
                </c:pt>
                <c:pt idx="26">
                  <c:v>2048</c:v>
                </c:pt>
                <c:pt idx="27">
                  <c:v>2049</c:v>
                </c:pt>
                <c:pt idx="28">
                  <c:v>2050</c:v>
                </c:pt>
                <c:pt idx="29">
                  <c:v>2051</c:v>
                </c:pt>
                <c:pt idx="30">
                  <c:v>2052</c:v>
                </c:pt>
                <c:pt idx="31">
                  <c:v>2053</c:v>
                </c:pt>
                <c:pt idx="32">
                  <c:v>2054</c:v>
                </c:pt>
                <c:pt idx="33">
                  <c:v>2055</c:v>
                </c:pt>
                <c:pt idx="34">
                  <c:v>2056</c:v>
                </c:pt>
                <c:pt idx="35">
                  <c:v>2057</c:v>
                </c:pt>
                <c:pt idx="36">
                  <c:v>2058</c:v>
                </c:pt>
                <c:pt idx="37">
                  <c:v>2059</c:v>
                </c:pt>
                <c:pt idx="38">
                  <c:v>2060</c:v>
                </c:pt>
              </c:numCache>
            </c:numRef>
          </c:cat>
          <c:val>
            <c:numRef>
              <c:f>Sheet1!$D$2:$D$40</c:f>
              <c:numCache>
                <c:formatCode>General</c:formatCode>
                <c:ptCount val="39"/>
                <c:pt idx="0">
                  <c:v>33073.34</c:v>
                </c:pt>
                <c:pt idx="1">
                  <c:v>33739.79</c:v>
                </c:pt>
                <c:pt idx="2">
                  <c:v>34408.12</c:v>
                </c:pt>
                <c:pt idx="3">
                  <c:v>35078.35</c:v>
                </c:pt>
                <c:pt idx="4">
                  <c:v>35750.5</c:v>
                </c:pt>
                <c:pt idx="5">
                  <c:v>36516.68556989</c:v>
                </c:pt>
                <c:pt idx="6">
                  <c:v>37373.9566446467</c:v>
                </c:pt>
                <c:pt idx="7">
                  <c:v>38231.2277194033</c:v>
                </c:pt>
                <c:pt idx="8">
                  <c:v>39088.49879416</c:v>
                </c:pt>
                <c:pt idx="9">
                  <c:v>40945.7698689167</c:v>
                </c:pt>
                <c:pt idx="10">
                  <c:v>41803.0409436733</c:v>
                </c:pt>
                <c:pt idx="11">
                  <c:v>42660.31201843</c:v>
                </c:pt>
                <c:pt idx="12">
                  <c:v>43517.5830931867</c:v>
                </c:pt>
                <c:pt idx="13">
                  <c:v>44374.8541679433</c:v>
                </c:pt>
                <c:pt idx="14">
                  <c:v>45232.1252427</c:v>
                </c:pt>
                <c:pt idx="15">
                  <c:v>46260.850532408</c:v>
                </c:pt>
                <c:pt idx="16">
                  <c:v>47289.575822116</c:v>
                </c:pt>
                <c:pt idx="17">
                  <c:v>48318.301111824</c:v>
                </c:pt>
                <c:pt idx="18">
                  <c:v>49347.026401532</c:v>
                </c:pt>
                <c:pt idx="19">
                  <c:v>50375.75169124</c:v>
                </c:pt>
                <c:pt idx="20">
                  <c:v>51404.476980948</c:v>
                </c:pt>
                <c:pt idx="21">
                  <c:v>52433.202270656</c:v>
                </c:pt>
                <c:pt idx="22">
                  <c:v>53461.927560364</c:v>
                </c:pt>
                <c:pt idx="23">
                  <c:v>54490.652850072</c:v>
                </c:pt>
                <c:pt idx="24">
                  <c:v>55519.37813978</c:v>
                </c:pt>
                <c:pt idx="25">
                  <c:v>56548.103429488</c:v>
                </c:pt>
                <c:pt idx="26">
                  <c:v>57576.828719196</c:v>
                </c:pt>
                <c:pt idx="27">
                  <c:v>58605.554008904</c:v>
                </c:pt>
                <c:pt idx="28">
                  <c:v>59634.279298612</c:v>
                </c:pt>
                <c:pt idx="29">
                  <c:v>60663.00458832</c:v>
                </c:pt>
                <c:pt idx="30">
                  <c:v>61691.729878028</c:v>
                </c:pt>
                <c:pt idx="31">
                  <c:v>62720.455167736</c:v>
                </c:pt>
                <c:pt idx="32">
                  <c:v>63749.180457444</c:v>
                </c:pt>
                <c:pt idx="33">
                  <c:v>64777.905747152</c:v>
                </c:pt>
                <c:pt idx="34">
                  <c:v>65806.63103686</c:v>
                </c:pt>
                <c:pt idx="35">
                  <c:v>41200.06</c:v>
                </c:pt>
                <c:pt idx="36">
                  <c:v>40734.36</c:v>
                </c:pt>
                <c:pt idx="37">
                  <c:v>40192.59</c:v>
                </c:pt>
                <c:pt idx="38">
                  <c:v>39580.11</c:v>
                </c:pt>
              </c:numCache>
            </c:numRef>
          </c:val>
          <c:smooth val="0"/>
        </c:ser>
        <c:dLbls>
          <c:showLegendKey val="0"/>
          <c:showVal val="0"/>
          <c:showCatName val="0"/>
          <c:showSerName val="0"/>
          <c:showPercent val="0"/>
          <c:showBubbleSize val="0"/>
        </c:dLbls>
        <c:marker val="0"/>
        <c:smooth val="0"/>
        <c:axId val="212988368"/>
        <c:axId val="216701520"/>
      </c:lineChart>
      <c:catAx>
        <c:axId val="2129883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16701520"/>
        <c:crosses val="autoZero"/>
        <c:auto val="1"/>
        <c:lblAlgn val="ctr"/>
        <c:lblOffset val="100"/>
        <c:noMultiLvlLbl val="0"/>
      </c:catAx>
      <c:valAx>
        <c:axId val="2167015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12988368"/>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999d99a5-8417-4ddc-8b51-533097db5e07}"/>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D13B05EB-53B9-4E86-858F-301E40DD64F0}">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34</Pages>
  <Words>3935</Words>
  <Characters>4453</Characters>
  <Lines>259</Lines>
  <Paragraphs>73</Paragraphs>
  <TotalTime>0</TotalTime>
  <ScaleCrop>false</ScaleCrop>
  <LinksUpToDate>false</LinksUpToDate>
  <CharactersWithSpaces>4564</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2023-09-25T13:32:00Z</dcterms:created>
  <dc:creator>Jessica</dc:creator>
  <cp:lastModifiedBy>qzuser</cp:lastModifiedBy>
  <cp:lastPrinted>2023-09-12T00:52:00Z</cp:lastPrinted>
  <dcterms:modified xsi:type="dcterms:W3CDTF">2025-05-21T09:15:58Z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(4)E3BzA9idHJ3fMsb1peQDBLAn9cfTq1XQ1SSk/kRKfHKrsZlNDH3Hde08wmWyC02dd69+H2cB_x000d_
mx6vOKzq9+pmMRCwMqb0JBqGnQKRTvN48ylYWonHDkJq8Qk04H4Ld8h8cReYVtSvJn83TRxb_x000d_
jXJzZ25R4VFk9XgukOzEGZoyRcjuZbR2DWExs2eRiyPN8+j5Mdj90CNtDlTWZ/04ToD0IZbh_x000d_
Lx+YXscxMPAz3mzS2c</vt:lpwstr>
  </property>
  <property fmtid="{D5CDD505-2E9C-101B-9397-08002B2CF9AE}" pid="3" name="_ms_pID_725343_00">
    <vt:lpwstr>_ms_pID_725343</vt:lpwstr>
  </property>
  <property fmtid="{D5CDD505-2E9C-101B-9397-08002B2CF9AE}" pid="4" name="_ms_pID_7253431">
    <vt:lpwstr>emdB8XKXYoavASNt+xklCJOcwnDPst/f8TEzKn3xWF3VENqZCHNGLk_x000d_
h9arA1zZPdnxPPKWjGc/tTZCDj9GGbwDHRJskOdgcmpcFwfmwAgdYJw1bMn7E6VVN17v9K/2_x000d_
w7lovRjeerbNo9IM6Wm/1nWgZe1YYEH39OwNOjuxuwOJzcs6GOhhpGZN32XuEGBhnscUOwML_x000d_
eaEWqb3wakMC+Lt+e79Hf748ovH2NYAszI2V</vt:lpwstr>
  </property>
  <property fmtid="{D5CDD505-2E9C-101B-9397-08002B2CF9AE}" pid="5" name="_ms_pID_7253431_00">
    <vt:lpwstr>_ms_pID_7253431</vt:lpwstr>
  </property>
  <property fmtid="{D5CDD505-2E9C-101B-9397-08002B2CF9AE}" pid="6" name="sflag">
    <vt:lpwstr>1369883589</vt:lpwstr>
  </property>
  <property fmtid="{D5CDD505-2E9C-101B-9397-08002B2CF9AE}" pid="7" name="_ms_pID_7253432">
    <vt:lpwstr>vp3+wMAcniTjVjpgzbHLRN+8tEBL+7KW1y6g_x000d_
9mlyWYYSSj8rXOLbQmJ2dXIwaGLCSqR9TU9uhgNR/sJLUshrdmrOjY4Ydh7MDa7vsiP6xi+1_x000d_
0in2VwsEaz/NkPwq2qnHnSmfJxbREJHF7OB1Im3OuXJMddyOclCwOlQ4YbSgLpVCbLF1q6b0_x000d_
hx35CuIMIFAC/zYRt3tSDY0kGlW2N1zDUPdny77CrNdTC/tVBQlEju</vt:lpwstr>
  </property>
  <property fmtid="{D5CDD505-2E9C-101B-9397-08002B2CF9AE}" pid="8" name="_ms_pID_7253432_00">
    <vt:lpwstr>_ms_pID_7253432</vt:lpwstr>
  </property>
  <property fmtid="{D5CDD505-2E9C-101B-9397-08002B2CF9AE}" pid="9" name="_ms_pID_7253433">
    <vt:lpwstr>0IErcXIEjunFYD/3Oh_x000d_
B5+uMH6D47Og84mRQ9pZLUfLRBxcrU8cHx9qQAZtW43FneyDTFqKmbNFAxelrb/4RMbSzduM_x000d_
o37WCwnvUdbRnayhgBLyVmCGoSXpyx8KQVaJu82H</vt:lpwstr>
  </property>
  <property fmtid="{D5CDD505-2E9C-101B-9397-08002B2CF9AE}" pid="10" name="_ms_pID_7253433_00">
    <vt:lpwstr>_ms_pID_7253433</vt:lpwstr>
  </property>
  <property fmtid="{D5CDD505-2E9C-101B-9397-08002B2CF9AE}" pid="11" name="KSOProductBuildVer">
    <vt:lpwstr>2052-12.1.0.21171</vt:lpwstr>
  </property>
  <property fmtid="{D5CDD505-2E9C-101B-9397-08002B2CF9AE}" pid="12" name="ICV">
    <vt:lpwstr>C95695136DD34DF9AC7C7F17020CCDB3_13</vt:lpwstr>
  </property>
  <property fmtid="{D5CDD505-2E9C-101B-9397-08002B2CF9AE}" pid="13" name="KSOTemplateDocerSaveRecord">
    <vt:lpwstr>eyJoZGlkIjoiN2VkNWQ5YTdjZDJiYzA3MzJlYmY0MWE4MzI1YjM5ZGQiLCJ1c2VySWQiOiIyOTQ3NDM5NzAifQ==</vt:lpwstr>
  </property>
</Properties>
</file>