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IV. 实验与结果分析</w:t>
      </w:r>
    </w:p>
    <w:p>
      <w:r>
        <w:rPr>
          <w:b w:val="0"/>
        </w:rPr>
        <w:t>【编辑说明：本文件是按原PPT方法编写的可填数章节稿，不是已经完成的实验报告。所有“—”表示尚未填写，不是0；所有【】须依据真实记录替换。只有实际完成并核验的配置才能留在投稿稿中。表1–6是建议的新编号，需同步修改全文交叉引用。】</w:t>
      </w:r>
    </w:p>
    <w:p>
      <w:pPr>
        <w:pStyle w:val="Heading1"/>
      </w:pPr>
      <w:r>
        <w:rPr>
          <w:b w:val="0"/>
        </w:rPr>
        <w:t>A. 数据集、评价指标与实施细节</w:t>
      </w:r>
    </w:p>
    <w:p>
      <w:r>
        <w:rPr>
          <w:b w:val="0"/>
        </w:rPr>
        <w:t>本文在BRIGHT标准数据划分上开展光学–SAR建筑损毁评估。输入为配对的灾前光学影像和灾后SAR影像，输出为背景、完好、受损和毁坏四类像素标签。训练集、验证集和测试集分别包含2918、450和878幅影像。训练集用于模型学习和历史支持库构建，验证集用于配置与检查点选择，测试集用于方案固定后的最终评价。验证和测试影像及其真实标签不参与支持库构建，也不作为查询分区、检索排序或Reader的输入。</w:t>
      </w:r>
    </w:p>
    <w:p>
      <w:r>
        <w:rPr>
          <w:b w:val="0"/>
        </w:rPr>
        <w:t>我们首先累计整个评价划分的混淆矩阵，再计算各类交并比。四类mIoU取背景、完好、受损和毁坏四类IoU的均值；前景mIoU仅取后三类的均值。本文同时报告各损毁类别IoU，以区分总体改善与类别间取舍。逐事件指标在各事件内部累计混淆矩阵后独立计算，其等权平均作为事件层分析，不与全划分mIoU混用。无有效并集类别的处理规则为【填写统一规则】，分类F1与定位F1的定义见【附录位置；若未报告则删除此句】。</w:t>
      </w:r>
    </w:p>
    <w:p>
      <w:r>
        <w:rPr>
          <w:b w:val="0"/>
        </w:rPr>
        <w:t>训练由区域前端学习、Train支持库构建、检索投影拟合和联合读出学习四个阶段组成，具体设置见表1。结构消融共享同一像素前端与区域模块初始化协议，并分别训练对应区域配置；信息来源和检索消融则固定同一份区域前端与支持库。各项比较使用统一的训练预算、优化设置和检查点选择规则。</w:t>
      </w:r>
    </w:p>
    <w:p>
      <w:pPr>
        <w:keepNext/>
      </w:pPr>
      <w:r>
        <w:rPr>
          <w:b/>
        </w:rPr>
        <w:t>表1 数据与分阶段训练协议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rPr>
          <w:cantSplit/>
          <w:tblHeader w:val="true"/>
        </w:trPr>
        <w:tc>
          <w:tcPr>
            <w:tcW w:type="dxa" w:w="5008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008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设置</w:t>
            </w:r>
          </w:p>
        </w:tc>
        <w:tc>
          <w:tcPr>
            <w:tcW w:type="dxa" w:w="5008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需在定稿前确认的记录</w:t>
            </w:r>
          </w:p>
        </w:tc>
      </w:tr>
      <w:tr>
        <w:trPr>
          <w:cantSplit/>
        </w:trPr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输入与标签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灾前RGB、灾后SAR；四类像素标签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预处理、分辨率、无效标签与类别映射</w:t>
            </w:r>
          </w:p>
        </w:tc>
      </w:tr>
      <w:tr>
        <w:trPr>
          <w:cantSplit/>
        </w:trPr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数据划分</w:t>
            </w:r>
          </w:p>
        </w:tc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Train2918／Val450／Test878</w:t>
            </w:r>
          </w:p>
        </w:tc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使用清单及划分版本</w:t>
            </w:r>
          </w:p>
        </w:tc>
      </w:tr>
      <w:tr>
        <w:trPr>
          <w:cantSplit/>
        </w:trPr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像素前端A1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区域学习与联合读出阶段冻结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实际checkpoint与训练来源</w:t>
            </w:r>
          </w:p>
        </w:tc>
      </w:tr>
      <w:tr>
        <w:trPr>
          <w:cantSplit/>
        </w:trPr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区域前端</w:t>
            </w:r>
          </w:p>
        </w:tc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训练描述解码器、Q、结构Adapter、区域嵌入及辅助头</w:t>
            </w:r>
          </w:p>
        </w:tc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【优化器、学习率日程、batch、更新步数】</w:t>
            </w:r>
          </w:p>
        </w:tc>
      </w:tr>
      <w:tr>
        <w:trPr>
          <w:cantSplit/>
        </w:trPr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区域配置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【核对后填入；初稿为种子步长8、至多9个候选、3轮、T128】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区域有效性和尺度定义</w:t>
            </w:r>
          </w:p>
        </w:tc>
      </w:tr>
      <w:tr>
        <w:trPr>
          <w:cantSplit/>
        </w:trPr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支持库</w:t>
            </w:r>
          </w:p>
        </w:tc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Train-only；按事件×主类别抽样，保留软标签</w:t>
            </w:r>
          </w:p>
        </w:tc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【容量、实际成员数、来源图像数、抽样种子】</w:t>
            </w:r>
          </w:p>
        </w:tc>
      </w:tr>
      <w:tr>
        <w:trPr>
          <w:cantSplit/>
        </w:trPr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检索投影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固定区域表示，只更新Wm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【纯度条件、配对规则、优化器、更新步数】</w:t>
            </w:r>
          </w:p>
        </w:tc>
      </w:tr>
      <w:tr>
        <w:trPr>
          <w:cantSplit/>
        </w:trPr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Reader与联合头</w:t>
            </w:r>
          </w:p>
        </w:tc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固定前端、库与Wm，训练读取器和联合分类参数</w:t>
            </w:r>
          </w:p>
        </w:tc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【训练预算与选模规则】</w:t>
            </w:r>
          </w:p>
        </w:tc>
      </w:tr>
      <w:tr>
        <w:trPr>
          <w:cantSplit/>
        </w:trPr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支持数量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【核对后填写；原方法为Top8】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同图／同事件排除、缺支持填充规则</w:t>
            </w:r>
          </w:p>
        </w:tc>
      </w:tr>
      <w:tr>
        <w:trPr>
          <w:cantSplit/>
        </w:trPr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训练损失</w:t>
            </w:r>
          </w:p>
        </w:tc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【实际使用的NLL与Lovász及归一化设置】</w:t>
            </w:r>
          </w:p>
        </w:tc>
        <w:tc>
          <w:tcPr>
            <w:tcW w:type="dxa" w:w="500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有效像素和类别处理</w:t>
            </w:r>
          </w:p>
        </w:tc>
      </w:tr>
      <w:tr>
        <w:trPr>
          <w:cantSplit/>
        </w:trPr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重复与评估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【配对种子数及种子；评估频率；预定终点/Val选模规则】</w:t>
            </w:r>
          </w:p>
        </w:tc>
        <w:tc>
          <w:tcPr>
            <w:tcW w:type="dxa" w:w="500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各组必须一致</w:t>
            </w:r>
          </w:p>
        </w:tc>
      </w:tr>
      <w:tr>
        <w:trPr>
          <w:cantSplit/>
        </w:trPr>
        <w:tc>
          <w:tcPr>
            <w:tcW w:type="dxa" w:w="5008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运行环境</w:t>
            </w:r>
          </w:p>
        </w:tc>
        <w:tc>
          <w:tcPr>
            <w:tcW w:type="dxa" w:w="5008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【GPU、PyTorch/CUDA版本、精度、推理尺寸】</w:t>
            </w:r>
          </w:p>
        </w:tc>
        <w:tc>
          <w:tcPr>
            <w:tcW w:type="dxa" w:w="5008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耗时与显存的测量设置</w:t>
            </w:r>
          </w:p>
        </w:tc>
      </w:tr>
    </w:tbl>
    <w:p>
      <w:pPr>
        <w:spacing w:after="0"/>
      </w:pPr>
    </w:p>
    <w:p>
      <w:r>
        <w:rPr>
          <w:b w:val="0"/>
        </w:rPr>
        <w:t>注：详细超参数列于附录表A1，权重、代码及支持成员版本保存于实验记录。表中的编辑提示应在定稿时替换为实际配置。</w:t>
      </w:r>
    </w:p>
    <w:p>
      <w:r>
        <w:rPr>
          <w:b w:val="0"/>
        </w:rPr>
        <w:t>支持库在对应区域前端固定后构建。改变Q或区域编码时，使用该配置重新生成Train区域特征、类别组成与支持记录；同一检索对照内部则固定库成员和读取内容。该设置避免查询表示与历史支持来自不同编码规则。主要比较报告【配对种子数】个种子的均值与标准差，配对差值的计算方式为【填写】。</w:t>
      </w:r>
    </w:p>
    <w:p>
      <w:pPr>
        <w:pStyle w:val="Heading1"/>
      </w:pPr>
      <w:r>
        <w:rPr>
          <w:b w:val="0"/>
        </w:rPr>
        <w:t>B. 与现有方法的总体比较</w:t>
      </w:r>
    </w:p>
    <w:p>
      <w:r>
        <w:rPr>
          <w:b w:val="0"/>
        </w:rPr>
        <w:t>表2比较完整方法与采用相同输入和评价协议的代表性方法，同时列出与本文区域模块同源的像素前端A1。外部方法用于评价完整系统的性能水平，A1用于区分像素前端与新增区域及历史支持路径的总体贡献。公开报告值与本地复现值在“来源”列分别标注；协议不一致的结果不参与直接排名。</w:t>
      </w:r>
    </w:p>
    <w:p>
      <w:pPr>
        <w:keepNext/>
      </w:pPr>
      <w:r>
        <w:rPr>
          <w:b/>
        </w:rPr>
        <w:t>表2 BRIGHT标准协议下的总体比较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4"/>
        <w:gridCol w:w="2404"/>
        <w:gridCol w:w="1703"/>
        <w:gridCol w:w="1703"/>
        <w:gridCol w:w="1703"/>
        <w:gridCol w:w="1703"/>
        <w:gridCol w:w="1703"/>
        <w:gridCol w:w="1703"/>
      </w:tblGrid>
      <w:tr>
        <w:trPr>
          <w:cantSplit/>
          <w:tblHeader w:val="true"/>
        </w:trPr>
        <w:tc>
          <w:tcPr>
            <w:tcW w:type="dxa" w:w="240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40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703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四类mIoU</w:t>
            </w:r>
          </w:p>
        </w:tc>
        <w:tc>
          <w:tcPr>
            <w:tcW w:type="dxa" w:w="1703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前景mIoU</w:t>
            </w:r>
          </w:p>
        </w:tc>
        <w:tc>
          <w:tcPr>
            <w:tcW w:type="dxa" w:w="1703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背景IoU</w:t>
            </w:r>
          </w:p>
        </w:tc>
        <w:tc>
          <w:tcPr>
            <w:tcW w:type="dxa" w:w="1703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完好IoU</w:t>
            </w:r>
          </w:p>
        </w:tc>
        <w:tc>
          <w:tcPr>
            <w:tcW w:type="dxa" w:w="1703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受损IoU</w:t>
            </w:r>
          </w:p>
        </w:tc>
        <w:tc>
          <w:tcPr>
            <w:tcW w:type="dxa" w:w="1703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毁坏IoU</w:t>
            </w:r>
          </w:p>
        </w:tc>
      </w:tr>
      <w:tr>
        <w:trPr>
          <w:cantSplit/>
        </w:trPr>
        <w:tc>
          <w:tcPr>
            <w:tcW w:type="dxa" w:w="24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DeepLabV3+</w:t>
            </w:r>
          </w:p>
        </w:tc>
        <w:tc>
          <w:tcPr>
            <w:tcW w:type="dxa" w:w="24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【公开/复现】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4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SiamAttnUNet</w:t>
            </w:r>
          </w:p>
        </w:tc>
        <w:tc>
          <w:tcPr>
            <w:tcW w:type="dxa" w:w="24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【公开/复现】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4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SiamCRNN</w:t>
            </w:r>
          </w:p>
        </w:tc>
        <w:tc>
          <w:tcPr>
            <w:tcW w:type="dxa" w:w="24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【公开/复现】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4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ChangeOS</w:t>
            </w:r>
          </w:p>
        </w:tc>
        <w:tc>
          <w:tcPr>
            <w:tcW w:type="dxa" w:w="24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【公开/复现】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4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DamageFormer</w:t>
            </w:r>
          </w:p>
        </w:tc>
        <w:tc>
          <w:tcPr>
            <w:tcW w:type="dxa" w:w="24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【公开/复现】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4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ChangeMamba</w:t>
            </w:r>
          </w:p>
        </w:tc>
        <w:tc>
          <w:tcPr>
            <w:tcW w:type="dxa" w:w="24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【公开/复现】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4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同源像素前端A1</w:t>
            </w:r>
          </w:p>
        </w:tc>
        <w:tc>
          <w:tcPr>
            <w:tcW w:type="dxa" w:w="24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本地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404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本文完整J3</w:t>
            </w:r>
          </w:p>
        </w:tc>
        <w:tc>
          <w:tcPr>
            <w:tcW w:type="dxa" w:w="2404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本地</w:t>
            </w:r>
          </w:p>
        </w:tc>
        <w:tc>
          <w:tcPr>
            <w:tcW w:type="dxa" w:w="1703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03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rPr>
          <w:b w:val="0"/>
        </w:rPr>
        <w:t>注：指标单位为百分比，数值越大越好。重复训练结果按【均值±标准差】报告；公开单次结果如无重复统计则明确标记。方法行仅保留能核实输入、划分和指标口径的比较对象。“—”仅用于当前编辑稿，不应以其替代最终报告。</w:t>
      </w:r>
    </w:p>
    <w:p>
      <w:r>
        <w:rPr>
          <w:b w:val="0"/>
        </w:rPr>
        <w:t>相对同源A1，完整方法的四类mIoU变化为【Δ4】个百分点，前景mIoU变化为【Δfg】个百分点。Intact、Damaged和Destroyed的IoU分别变化【ΔI】、【ΔD】和【ΔX】个百分点，表明主要差异出现在【依据真实结果填写的类别或错误类型】。其中【填写下降的类别/指标；如无下降则删除】体现了类别间取舍，因此总体指标变化不能解释为所有损毁等级均等受益。</w:t>
      </w:r>
    </w:p>
    <w:p>
      <w:r>
        <w:rPr>
          <w:b w:val="0"/>
        </w:rPr>
        <w:t>与【同协议代表方法】相比，完整方法在【主指标】上的差值为【待填】。这一比较反映整体系统的性能水平，三个设计环节的独立作用由下述控制实验检验，不能仅凭主表分解。</w:t>
      </w:r>
    </w:p>
    <w:p>
      <w:pPr>
        <w:pStyle w:val="Heading1"/>
      </w:pPr>
      <w:r>
        <w:rPr>
          <w:b w:val="0"/>
        </w:rPr>
        <w:t>C. 建筑相容项与结构适配的作用</w:t>
      </w:r>
    </w:p>
    <w:p>
      <w:r>
        <w:rPr>
          <w:b w:val="0"/>
        </w:rPr>
        <w:t>为区分区域成员组织与区域内容处理，我们设置建筑相容项和结构Adapter的二因素实验。表3(a)中的四组共享像素前端、名义种子数、区域输出维度和训练协议，并统一采用J1式无真实历史支持的读出。关闭Q中的建筑相容项仅将对应系数置零，前端建筑调制和Adapter中的B输入仍予保留；关闭结构Adapter时保留必要的内容投影、统计旁路和几何路径。</w:t>
      </w:r>
    </w:p>
    <w:p>
      <w:pPr>
        <w:keepNext/>
      </w:pPr>
      <w:r>
        <w:rPr>
          <w:b/>
        </w:rPr>
        <w:t>表3 建筑相容项与结构条件适配的消融</w:t>
      </w:r>
    </w:p>
    <w:p>
      <w:pPr>
        <w:keepNext/>
      </w:pPr>
      <w:r>
        <w:rPr>
          <w:b w:val="0"/>
        </w:rPr>
        <w:t>表3(a) 结构二因素与容量对照：无真实历史支持，统一J1读出。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1824"/>
        <w:gridCol w:w="1824"/>
        <w:gridCol w:w="1824"/>
        <w:gridCol w:w="1824"/>
      </w:tblGrid>
      <w:tr>
        <w:trPr>
          <w:cantSplit/>
          <w:tblHeader w:val="true"/>
        </w:trPr>
        <w:tc>
          <w:tcPr>
            <w:tcW w:type="dxa" w:w="2575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设置</w:t>
            </w:r>
          </w:p>
        </w:tc>
        <w:tc>
          <w:tcPr>
            <w:tcW w:type="dxa" w:w="2575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B相容项进入Q</w:t>
            </w:r>
          </w:p>
        </w:tc>
        <w:tc>
          <w:tcPr>
            <w:tcW w:type="dxa" w:w="2575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内容适配</w:t>
            </w:r>
          </w:p>
        </w:tc>
        <w:tc>
          <w:tcPr>
            <w:tcW w:type="dxa" w:w="182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四类mIoU</w:t>
            </w:r>
          </w:p>
        </w:tc>
        <w:tc>
          <w:tcPr>
            <w:tcW w:type="dxa" w:w="182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前景mIoU</w:t>
            </w:r>
          </w:p>
        </w:tc>
        <w:tc>
          <w:tcPr>
            <w:tcW w:type="dxa" w:w="182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受损IoU</w:t>
            </w:r>
          </w:p>
        </w:tc>
        <w:tc>
          <w:tcPr>
            <w:tcW w:type="dxa" w:w="182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毁坏IoU</w:t>
            </w:r>
          </w:p>
        </w:tc>
      </w:tr>
      <w:tr>
        <w:trPr>
          <w:cantSplit/>
        </w:trPr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S00</w:t>
            </w:r>
          </w:p>
        </w:tc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关</w:t>
            </w:r>
          </w:p>
        </w:tc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无结构残差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S10</w:t>
            </w:r>
          </w:p>
        </w:tc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开</w:t>
            </w:r>
          </w:p>
        </w:tc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无结构残差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S01</w:t>
            </w:r>
          </w:p>
        </w:tc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关</w:t>
            </w:r>
          </w:p>
        </w:tc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B、b(Q)、H(Q)条件Adapter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S11</w:t>
            </w:r>
          </w:p>
        </w:tc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开</w:t>
            </w:r>
          </w:p>
        </w:tc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B、b(Q)、H(Q)条件Adapter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75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S1C</w:t>
            </w:r>
          </w:p>
        </w:tc>
        <w:tc>
          <w:tcPr>
            <w:tcW w:type="dxa" w:w="2575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开</w:t>
            </w:r>
          </w:p>
        </w:tc>
        <w:tc>
          <w:tcPr>
            <w:tcW w:type="dxa" w:w="2575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仅内容F的普通Adapter</w:t>
            </w:r>
          </w:p>
        </w:tc>
        <w:tc>
          <w:tcPr>
            <w:tcW w:type="dxa" w:w="1824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rPr>
          <w:b w:val="0"/>
        </w:rPr>
        <w:t>注：普通内容Adapter与完整Adapter尽量匹配深度、输出维度和参数规模，实际参数量在附录列出。无结构残差不等于删除整个区域编码器。该表的结论限定在所声明的统一读出条件内。</w:t>
      </w:r>
    </w:p>
    <w:p>
      <w:r>
        <w:rPr>
          <w:b w:val="0"/>
        </w:rPr>
        <w:t>S10−S00与S11−S01分别为两种Adapter条件下建筑相容项的效应，其配对差值为【待填】和【待填】。S01−S00与S11−S10为两种Q设置下结构Adapter的效应，差值为【待填】和【待填】。二因素交互量S11−S10−S01+S00为【待填】。这些结果支持【按真实结果选择：独立增量／条件依赖的增量／尚未观察到稳定增量】，不能在仅联用有效时将其描述为两项各自独立的提升。</w:t>
      </w:r>
    </w:p>
    <w:p>
      <w:pPr>
        <w:keepNext/>
      </w:pPr>
      <w:r>
        <w:rPr>
          <w:b w:val="0"/>
        </w:rPr>
        <w:t>表3(b)进一步固定建筑相容项，删除Adapter中的不同条件，检验条件量的实际作用。删除条件采用固定占位并保持接口维度，随后按相同协议重新训练。</w:t>
      </w:r>
    </w:p>
    <w:p>
      <w:pPr>
        <w:keepNext/>
      </w:pPr>
      <w:r>
        <w:rPr>
          <w:b w:val="0"/>
        </w:rPr>
        <w:t>表3(b) 结构条件删除对照。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31"/>
        <w:gridCol w:w="2076"/>
        <w:gridCol w:w="2076"/>
        <w:gridCol w:w="2076"/>
        <w:gridCol w:w="2931"/>
        <w:gridCol w:w="2931"/>
      </w:tblGrid>
      <w:tr>
        <w:trPr>
          <w:cantSplit/>
          <w:tblHeader w:val="true"/>
        </w:trPr>
        <w:tc>
          <w:tcPr>
            <w:tcW w:type="dxa" w:w="2931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Adapter条件</w:t>
            </w:r>
          </w:p>
        </w:tc>
        <w:tc>
          <w:tcPr>
            <w:tcW w:type="dxa" w:w="2076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四类mIoU</w:t>
            </w:r>
          </w:p>
        </w:tc>
        <w:tc>
          <w:tcPr>
            <w:tcW w:type="dxa" w:w="2076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前景mIoU</w:t>
            </w:r>
          </w:p>
        </w:tc>
        <w:tc>
          <w:tcPr>
            <w:tcW w:type="dxa" w:w="2076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受损IoU</w:t>
            </w:r>
          </w:p>
        </w:tc>
        <w:tc>
          <w:tcPr>
            <w:tcW w:type="dxa" w:w="2931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边界带错误率↓</w:t>
            </w:r>
          </w:p>
        </w:tc>
        <w:tc>
          <w:tcPr>
            <w:tcW w:type="dxa" w:w="2931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固定评价区域说明</w:t>
            </w:r>
          </w:p>
        </w:tc>
      </w:tr>
      <w:tr>
        <w:trPr>
          <w:cantSplit/>
        </w:trPr>
        <w:tc>
          <w:tcPr>
            <w:tcW w:type="dxa" w:w="293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B＋b(Q)＋H(Q)</w:t>
            </w:r>
          </w:p>
        </w:tc>
        <w:tc>
          <w:tcPr>
            <w:tcW w:type="dxa" w:w="2076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076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076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3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3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【边界宽度与分辨率】</w:t>
            </w:r>
          </w:p>
        </w:tc>
      </w:tr>
      <w:tr>
        <w:trPr>
          <w:cantSplit/>
        </w:trPr>
        <w:tc>
          <w:tcPr>
            <w:tcW w:type="dxa" w:w="2931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去B</w:t>
            </w:r>
          </w:p>
        </w:tc>
        <w:tc>
          <w:tcPr>
            <w:tcW w:type="dxa" w:w="2076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31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31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同上</w:t>
            </w:r>
          </w:p>
        </w:tc>
      </w:tr>
      <w:tr>
        <w:trPr>
          <w:cantSplit/>
        </w:trPr>
        <w:tc>
          <w:tcPr>
            <w:tcW w:type="dxa" w:w="293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去b(Q)</w:t>
            </w:r>
          </w:p>
        </w:tc>
        <w:tc>
          <w:tcPr>
            <w:tcW w:type="dxa" w:w="2076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076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076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3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3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同上</w:t>
            </w:r>
          </w:p>
        </w:tc>
      </w:tr>
      <w:tr>
        <w:trPr>
          <w:cantSplit/>
        </w:trPr>
        <w:tc>
          <w:tcPr>
            <w:tcW w:type="dxa" w:w="2931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去H(Q)</w:t>
            </w:r>
          </w:p>
        </w:tc>
        <w:tc>
          <w:tcPr>
            <w:tcW w:type="dxa" w:w="2076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076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31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31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同上</w:t>
            </w:r>
          </w:p>
        </w:tc>
      </w:tr>
    </w:tbl>
    <w:p>
      <w:pPr>
        <w:spacing w:after="0"/>
      </w:pPr>
    </w:p>
    <w:p>
      <w:r>
        <w:rPr>
          <w:b w:val="0"/>
        </w:rPr>
        <w:t>注：空间不足时，表3(b)移至附录表A2，正文保留对应结论。GT边界和混合程度仅用于事后评价，不进入前向推理。不同Q定义的混合区域集合不完全相同，因此配对错误评价还使用固定图像窗口或统一GT边界带。</w:t>
      </w:r>
    </w:p>
    <w:p>
      <w:r>
        <w:rPr>
          <w:b w:val="0"/>
        </w:rPr>
        <w:t>完整条件与普通内容Adapter的差值为【待填】，说明【结构条件有额外信息／尚未排除容量与优化因素】。删除B、b(Q)、H(Q)后的变化分别为【待填】；它们与【边界带、低B建筑或混合区域】中的错误变化【一致/不一致，填写依据】。按本文定义，b(Q)反映局部软归属重合情况，也受分布分散影响，不能将它视为真实建筑边界或与H(Q)完全独立的信号。</w:t>
      </w:r>
    </w:p>
    <w:p>
      <w:pPr>
        <w:pStyle w:val="Heading1"/>
      </w:pPr>
      <w:r>
        <w:rPr>
          <w:b w:val="0"/>
        </w:rPr>
        <w:t>D. 历史支持与跨事件检索的作用</w:t>
      </w:r>
    </w:p>
    <w:p>
      <w:pPr>
        <w:pStyle w:val="Heading2"/>
      </w:pPr>
      <w:r>
        <w:rPr>
          <w:b w:val="0"/>
        </w:rPr>
        <w:t>1) 不同信息来源的贡献</w:t>
      </w:r>
    </w:p>
    <w:p>
      <w:r>
        <w:rPr>
          <w:b w:val="0"/>
        </w:rPr>
        <w:t>表4保持同一区域前端，逐步比较像素训练、当前区域与真实历史支持。J0只更新像素分类头，用于控制额外训练预算；J1加入当前区域并以可学习支持槽位替代外部案例；J2使用原T的余弦Top8；J3使用学习投影选择的Top8。J1、J2和J3保持相同Reader骨架和联合分类初始化。J0是训练预算对照，不能据此称其与Reader严格等参数。</w:t>
      </w:r>
    </w:p>
    <w:p>
      <w:pPr>
        <w:keepNext/>
      </w:pPr>
      <w:r>
        <w:rPr>
          <w:b/>
        </w:rPr>
        <w:t>表4 当前区域与历史支持的信息来源消融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1824"/>
        <w:gridCol w:w="1824"/>
        <w:gridCol w:w="1824"/>
        <w:gridCol w:w="1824"/>
      </w:tblGrid>
      <w:tr>
        <w:trPr>
          <w:cantSplit/>
          <w:tblHeader w:val="true"/>
        </w:trPr>
        <w:tc>
          <w:tcPr>
            <w:tcW w:type="dxa" w:w="2575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设置</w:t>
            </w:r>
          </w:p>
        </w:tc>
        <w:tc>
          <w:tcPr>
            <w:tcW w:type="dxa" w:w="2575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参考内容</w:t>
            </w:r>
          </w:p>
        </w:tc>
        <w:tc>
          <w:tcPr>
            <w:tcW w:type="dxa" w:w="2575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邻居规则</w:t>
            </w:r>
          </w:p>
        </w:tc>
        <w:tc>
          <w:tcPr>
            <w:tcW w:type="dxa" w:w="182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四类mIoU</w:t>
            </w:r>
          </w:p>
        </w:tc>
        <w:tc>
          <w:tcPr>
            <w:tcW w:type="dxa" w:w="182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前景mIoU</w:t>
            </w:r>
          </w:p>
        </w:tc>
        <w:tc>
          <w:tcPr>
            <w:tcW w:type="dxa" w:w="182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受损IoU</w:t>
            </w:r>
          </w:p>
        </w:tc>
        <w:tc>
          <w:tcPr>
            <w:tcW w:type="dxa" w:w="182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毁坏IoU</w:t>
            </w:r>
          </w:p>
        </w:tc>
      </w:tr>
      <w:tr>
        <w:trPr>
          <w:cantSplit/>
        </w:trPr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原像素预测</w:t>
            </w:r>
          </w:p>
        </w:tc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J0</w:t>
            </w:r>
          </w:p>
        </w:tc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同预算像素头</w:t>
            </w:r>
          </w:p>
        </w:tc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J1</w:t>
            </w:r>
          </w:p>
        </w:tc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当前区域＋学习支持槽位</w:t>
            </w:r>
          </w:p>
        </w:tc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无真实历史支持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J2</w:t>
            </w:r>
          </w:p>
        </w:tc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Train区域＋软标签＋元数据</w:t>
            </w:r>
          </w:p>
        </w:tc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原T余弦Top8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J3</w:t>
            </w:r>
          </w:p>
        </w:tc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与J2相同支持内容</w:t>
            </w:r>
          </w:p>
        </w:tc>
        <w:tc>
          <w:tcPr>
            <w:tcW w:type="dxa" w:w="2575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学习投影Top8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J3-random</w:t>
            </w:r>
          </w:p>
        </w:tc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正确配对的Train支持内容</w:t>
            </w:r>
          </w:p>
        </w:tc>
        <w:tc>
          <w:tcPr>
            <w:tcW w:type="dxa" w:w="2575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随机合法Top8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75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J3-noLabel</w:t>
            </w:r>
          </w:p>
        </w:tc>
        <w:tc>
          <w:tcPr>
            <w:tcW w:type="dxa" w:w="2575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与J3相同特征和元数据，去标签</w:t>
            </w:r>
          </w:p>
        </w:tc>
        <w:tc>
          <w:tcPr>
            <w:tcW w:type="dxa" w:w="2575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与J3相同ID规则</w:t>
            </w:r>
          </w:p>
        </w:tc>
        <w:tc>
          <w:tcPr>
            <w:tcW w:type="dxa" w:w="1824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rPr>
          <w:b w:val="0"/>
        </w:rPr>
        <w:t>注：随机支持与去标签行采用匹配训练；所有历史支持排除同图与同事件。仅推理时的标签扰动另列于附录，不与上述行混写。软/硬支持标签和各元数据删除见附录表A3。</w:t>
      </w:r>
    </w:p>
    <w:p>
      <w:r>
        <w:rPr>
          <w:b w:val="0"/>
        </w:rPr>
        <w:t>J0相对A1的变化为【待填】，用于衡量单纯增加读出训练的影响。J1相对J0变化【待填】，反映当前区域及新增读出结构的总体作用；J2相对J1变化【待填】，反映真实历史支持相对学习槽位的增量。J3与J2的差值为【待填】，其中同时包含排序变化与Reader训练适应，因此还需固定Reader验证。</w:t>
      </w:r>
    </w:p>
    <w:p>
      <w:r>
        <w:rPr>
          <w:b w:val="0"/>
        </w:rPr>
        <w:t>随机合法支持相对检索支持的变化为【待填】，去标签后的变化为【待填】。这两项分别支持【检索选择的作用范围】和【标注内容的作用范围】。若差值未超过重复波动，应写为“当前设置下尚未观察到稳定增量”，而不从模块存在本身推断其有效。</w:t>
      </w:r>
    </w:p>
    <w:p>
      <w:pPr>
        <w:pStyle w:val="Heading2"/>
      </w:pPr>
      <w:r>
        <w:rPr>
          <w:b w:val="0"/>
        </w:rPr>
        <w:t>2) 检索监督与Reader适应</w:t>
      </w:r>
    </w:p>
    <w:p>
      <w:pPr>
        <w:keepNext/>
      </w:pPr>
      <w:r>
        <w:rPr>
          <w:b w:val="0"/>
        </w:rPr>
        <w:t>表5(a)固定区域表示、库成员、Top8数量和候选排除规则，比较原始余弦、普通类别监督投影和跨事件类别监督投影。普通投影与跨事件投影使用相同的参数规模、损失形式和优化预算，仅改变训练配对是否必须来自不同事件；两者均排除同图配对。评价阶段的三种检索器均排除同图与同事件支持。</w:t>
      </w:r>
    </w:p>
    <w:p>
      <w:pPr>
        <w:keepNext/>
      </w:pPr>
      <w:r>
        <w:rPr>
          <w:b/>
        </w:rPr>
        <w:t>表5 检索约束、邻居质量与固定Reader验证</w:t>
      </w:r>
    </w:p>
    <w:p>
      <w:pPr>
        <w:keepNext/>
      </w:pPr>
      <w:r>
        <w:rPr>
          <w:b w:val="0"/>
        </w:rPr>
        <w:t>表5(a) 检索设置比较。分类列使用同一份固定Reader【填写来源与checkpoint】。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1"/>
        <w:gridCol w:w="2341"/>
        <w:gridCol w:w="2341"/>
        <w:gridCol w:w="2341"/>
        <w:gridCol w:w="2341"/>
        <w:gridCol w:w="1658"/>
        <w:gridCol w:w="1658"/>
      </w:tblGrid>
      <w:tr>
        <w:trPr>
          <w:cantSplit/>
          <w:tblHeader w:val="true"/>
        </w:trPr>
        <w:tc>
          <w:tcPr>
            <w:tcW w:type="dxa" w:w="2341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排序设置</w:t>
            </w:r>
          </w:p>
        </w:tc>
        <w:tc>
          <w:tcPr>
            <w:tcW w:type="dxa" w:w="2341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前景查询P@8</w:t>
            </w:r>
          </w:p>
        </w:tc>
        <w:tc>
          <w:tcPr>
            <w:tcW w:type="dxa" w:w="2341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Damaged查询P@8</w:t>
            </w:r>
          </w:p>
        </w:tc>
        <w:tc>
          <w:tcPr>
            <w:tcW w:type="dxa" w:w="2341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软分布相容性</w:t>
            </w:r>
          </w:p>
        </w:tc>
        <w:tc>
          <w:tcPr>
            <w:tcW w:type="dxa" w:w="2341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真实支持覆盖率</w:t>
            </w:r>
          </w:p>
        </w:tc>
        <w:tc>
          <w:tcPr>
            <w:tcW w:type="dxa" w:w="1658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四类mIoU</w:t>
            </w:r>
          </w:p>
        </w:tc>
        <w:tc>
          <w:tcPr>
            <w:tcW w:type="dxa" w:w="1658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18"/>
              </w:rPr>
              <w:t>前景mIoU</w:t>
            </w:r>
          </w:p>
        </w:tc>
      </w:tr>
      <w:tr>
        <w:trPr>
          <w:cantSplit/>
        </w:trPr>
        <w:tc>
          <w:tcPr>
            <w:tcW w:type="dxa" w:w="234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原始T余弦</w:t>
            </w:r>
          </w:p>
        </w:tc>
        <w:tc>
          <w:tcPr>
            <w:tcW w:type="dxa" w:w="234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4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4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41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8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41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普通类别监督投影</w:t>
            </w:r>
          </w:p>
        </w:tc>
        <w:tc>
          <w:tcPr>
            <w:tcW w:type="dxa" w:w="2341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41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41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41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8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41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跨事件类别监督投影</w:t>
            </w:r>
          </w:p>
        </w:tc>
        <w:tc>
          <w:tcPr>
            <w:tcW w:type="dxa" w:w="2341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41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41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41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8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658"/>
            <w:shd w:fill="EDF3F7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rPr>
          <w:b w:val="0"/>
        </w:rPr>
        <w:t>注：P@8在有真实合法支持的查询上计算邻居主类别匹配比例，不足8个时使用实际合法邻居数，并另报不足率。类别分层由GT事后确定；GT不改变候选选择。软分布相容性公式为【填写并统一】，其数值范围为【填写】，不将其称为分类准确率。learned填充槽不计入真实支持覆盖率。</w:t>
      </w:r>
    </w:p>
    <w:p>
      <w:r>
        <w:rPr>
          <w:b w:val="0"/>
        </w:rPr>
        <w:t>跨事件投影相对原始余弦的【检索指标】变化为【待填】，相对普通监督投影变化为【待填】。在固定Reader下，对应分类指标变化为【待填】。只有支持相关性与分类结果共同提供证据时，才将结论扩展至“检索改善了最终损毁判断”；若仅检索指标提高，则结论限于支持选择。</w:t>
      </w:r>
    </w:p>
    <w:p>
      <w:r>
        <w:rPr>
          <w:b w:val="0"/>
        </w:rPr>
        <w:t>为检查Reader对训练邻居分布的适应，我们进一步固定两份已训练Reader，并仅替换支持ID，结果见表5(b)。特征内容、标签、元数据和像素路径均保持不变。</w:t>
      </w:r>
    </w:p>
    <w:p>
      <w:pPr>
        <w:keepNext/>
      </w:pPr>
      <w:r>
        <w:rPr>
          <w:b w:val="0"/>
        </w:rPr>
        <w:t>表5(b) 固定Reader的双向邻居替换；每格按“四类mIoU／前景mIoU”填写。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rPr>
          <w:cantSplit/>
          <w:tblHeader w:val="true"/>
        </w:trPr>
        <w:tc>
          <w:tcPr>
            <w:tcW w:type="dxa" w:w="3756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固定Reader权重</w:t>
            </w:r>
          </w:p>
        </w:tc>
        <w:tc>
          <w:tcPr>
            <w:tcW w:type="dxa" w:w="3756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余弦Top8评价</w:t>
            </w:r>
          </w:p>
        </w:tc>
        <w:tc>
          <w:tcPr>
            <w:tcW w:type="dxa" w:w="3756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学习投影Top8评价</w:t>
            </w:r>
          </w:p>
        </w:tc>
        <w:tc>
          <w:tcPr>
            <w:tcW w:type="dxa" w:w="3756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行内配对差值</w:t>
            </w:r>
          </w:p>
        </w:tc>
      </w:tr>
      <w:tr>
        <w:trPr>
          <w:cantSplit/>
        </w:trPr>
        <w:tc>
          <w:tcPr>
            <w:tcW w:type="dxa" w:w="3756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余弦邻居训练的Reader</w:t>
            </w:r>
          </w:p>
        </w:tc>
        <w:tc>
          <w:tcPr>
            <w:tcW w:type="dxa" w:w="3756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—／—</w:t>
            </w:r>
          </w:p>
        </w:tc>
        <w:tc>
          <w:tcPr>
            <w:tcW w:type="dxa" w:w="3756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—／—</w:t>
            </w:r>
          </w:p>
        </w:tc>
        <w:tc>
          <w:tcPr>
            <w:tcW w:type="dxa" w:w="3756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—／—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学习投影邻居训练的Reader</w:t>
            </w:r>
          </w:p>
        </w:tc>
        <w:tc>
          <w:tcPr>
            <w:tcW w:type="dxa" w:w="3756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—／—</w:t>
            </w:r>
          </w:p>
        </w:tc>
        <w:tc>
          <w:tcPr>
            <w:tcW w:type="dxa" w:w="3756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—／—</w:t>
            </w:r>
          </w:p>
        </w:tc>
        <w:tc>
          <w:tcPr>
            <w:tcW w:type="dxa" w:w="3756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—／—</w:t>
            </w:r>
          </w:p>
        </w:tc>
      </w:tr>
    </w:tbl>
    <w:p>
      <w:pPr>
        <w:spacing w:after="0"/>
      </w:pPr>
    </w:p>
    <w:p>
      <w:r>
        <w:rPr>
          <w:b w:val="0"/>
        </w:rPr>
        <w:t>同一排序替换在两份Reader中的变化分别为【待填】和【待填】，趋势【一致/不一致】。该结果表明【排序作用具有一定跨Reader一致性／结果受到训练邻居分布适应的影响】。固定权重替换可能产生分布失配，因此不将单次替换下降等同于该检索方案在匹配训练下无效。</w:t>
      </w:r>
    </w:p>
    <w:p>
      <w:pPr>
        <w:pStyle w:val="Heading1"/>
      </w:pPr>
      <w:r>
        <w:rPr>
          <w:b w:val="0"/>
        </w:rPr>
        <w:t>E. 逐事件表现与可视化分析</w:t>
      </w:r>
    </w:p>
    <w:p>
      <w:r>
        <w:rPr>
          <w:b w:val="0"/>
        </w:rPr>
        <w:t>为检查总体差值是否由少数事件主导，我们报告完整方法相对【同源对照】的逐事件变化，见图5；完整数值列于附录表A4。模型在【待填】个事件上改善，在【待填】个事件上下降。事件等权平均差值为【待填】，全划分混淆矩阵计算的差值为【待填】。两者【一致/不同】，反映总体变化与各事件规模、类别组成之间的关系。这一分析针对标准划分中的跨事件支持使用，不构成未见事件泛化证明。</w:t>
      </w:r>
    </w:p>
    <w:p>
      <w:r>
        <w:rPr>
          <w:b w:val="0"/>
        </w:rPr>
        <w:t>【图5待插入：逐事件配对差值图。固定纵轴、明确误差区间含义，标明同源对照。】</w:t>
      </w:r>
    </w:p>
    <w:p>
      <w:r>
        <w:rPr>
          <w:b w:val="0"/>
        </w:rPr>
        <w:t>图5 完整方法相对同源对照的逐事件表现变化。</w:t>
      </w:r>
    </w:p>
    <w:p>
      <w:r>
        <w:rPr>
          <w:b w:val="0"/>
        </w:rPr>
        <w:t>图6在相同图像、相同窗口和统一颜色编码下比较A1、J1、J2与J3。样例覆盖【填写预先确定的事件/类别分层】，同时包含改善、变化有限和退化情况。所选窗口中，【真实类别】由【对照预测】变为【完整模型预测】，与表【编号】的【对应分层结果】一致；在失败案例中，【填写可观察的错误】，说明【有依据的限制】仍未解决。</w:t>
      </w:r>
    </w:p>
    <w:p>
      <w:r>
        <w:rPr>
          <w:b w:val="0"/>
        </w:rPr>
        <w:t>【图6待插入：RGB、SAR、GT、A1、J1、J2、J3及错误图。同窗含成功和失败，不能把旧Ours(A1)列重命名为J3。】</w:t>
      </w:r>
    </w:p>
    <w:p>
      <w:r>
        <w:rPr>
          <w:b w:val="0"/>
        </w:rPr>
        <w:t>图6 完整框架与信息来源对照的同窗口预测比较。</w:t>
      </w:r>
    </w:p>
    <w:p>
      <w:r>
        <w:rPr>
          <w:b w:val="0"/>
        </w:rPr>
        <w:t>图7进一步展示建筑相容项对Q的影响，以及B、b(Q)、H(Q)与内容适配的关系。Q的argmax图仅用于显示软归属的空间分布，实际前向仍使用连续权重；GT边界只作事后参照。热图与错误位置的对应为解释提供线索，其作用仍由表3中的匹配消融确定。</w:t>
      </w:r>
    </w:p>
    <w:p>
      <w:r>
        <w:rPr>
          <w:b w:val="0"/>
        </w:rPr>
        <w:t>【图7待插入：(a)有/无建筑相容项的Q；(b)普通内容Adapter与结构Adapter的同窗预测及条件图。若配置的Q不同，明确标注。】</w:t>
      </w:r>
    </w:p>
    <w:p>
      <w:r>
        <w:rPr>
          <w:b w:val="0"/>
        </w:rPr>
        <w:t>图7 建筑相容项与结构内容适配的可视化分析。</w:t>
      </w:r>
    </w:p>
    <w:p>
      <w:r>
        <w:rPr>
          <w:b w:val="0"/>
        </w:rPr>
        <w:t>图8对同一查询并列展示余弦和学习投影选出的真实Train支持，并标出来源事件、图像ID、排名及软标签组成。案例【编号】中，邻居变化与固定Reader预测变化为【待填】；案例【编号】展示【错误邻居或无额外收益】。不同检索空间的相似度绝对值不直接比较，注意力权重也不作为独立的因果贡献分数。</w:t>
      </w:r>
    </w:p>
    <w:p>
      <w:r>
        <w:rPr>
          <w:b w:val="0"/>
        </w:rPr>
        <w:t>【图8待插入：余弦Top8与学习投影Top8，展示真实案例、标签组成和相同Reader输出；至少含一个失败例。】</w:t>
      </w:r>
    </w:p>
    <w:p>
      <w:r>
        <w:rPr>
          <w:b w:val="0"/>
        </w:rPr>
        <w:t>图8 跨事件检索的真实支持及其对应预测。</w:t>
      </w:r>
    </w:p>
    <w:p>
      <w:r>
        <w:rPr>
          <w:b w:val="0"/>
        </w:rPr>
        <w:t>原稿中仅展示A1的案例可作为前端补充材料，不用于证明完整区域与Memory机制。所有案例记录图像ID、裁剪坐标、权重版本和选择规则；定量结果以完整评价划分为准。</w:t>
      </w:r>
    </w:p>
    <w:p>
      <w:pPr>
        <w:pStyle w:val="Heading1"/>
      </w:pPr>
      <w:r>
        <w:rPr>
          <w:b w:val="0"/>
        </w:rPr>
        <w:t>F. 资源开销与方法局限</w:t>
      </w:r>
    </w:p>
    <w:p>
      <w:r>
        <w:rPr>
          <w:b w:val="0"/>
        </w:rPr>
        <w:t>表6在统一硬件、输入分辨率和精度设置下报告参数量、在线推理耗时、峰值显存与支持库占用。计时采用【硬件、batch、热身次数、测量图数、同步规则】，并明确【是否包含数据加载】。离线建库和检索投影训练成本单独报告，不将其混入单图在线延迟。</w:t>
      </w:r>
    </w:p>
    <w:p>
      <w:pPr>
        <w:keepNext/>
      </w:pPr>
      <w:r>
        <w:rPr>
          <w:b/>
        </w:rPr>
        <w:t>表6 资源开销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rPr>
          <w:cantSplit/>
          <w:tblHeader w:val="true"/>
        </w:trPr>
        <w:tc>
          <w:tcPr>
            <w:tcW w:type="dxa" w:w="250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250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总参数量M</w:t>
            </w:r>
          </w:p>
        </w:tc>
        <w:tc>
          <w:tcPr>
            <w:tcW w:type="dxa" w:w="250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该阶段可训练参数量M</w:t>
            </w:r>
          </w:p>
        </w:tc>
        <w:tc>
          <w:tcPr>
            <w:tcW w:type="dxa" w:w="250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在线延迟ms/图</w:t>
            </w:r>
          </w:p>
        </w:tc>
        <w:tc>
          <w:tcPr>
            <w:tcW w:type="dxa" w:w="250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峰值显存MiB</w:t>
            </w:r>
          </w:p>
        </w:tc>
        <w:tc>
          <w:tcPr>
            <w:tcW w:type="dxa" w:w="2504"/>
            <w:shd w:fill="173952"/>
          </w:tcPr>
          <w:p>
            <w:pPr>
              <w:keepNext/>
              <w:spacing w:before="60" w:after="60" w:line="259" w:lineRule="auto"/>
            </w:pPr>
            <w:r>
              <w:rPr>
                <w:b/>
                <w:color w:val="FFFFFF"/>
                <w:sz w:val="20"/>
              </w:rPr>
              <w:t>库条目数／磁盘MiB</w:t>
            </w:r>
          </w:p>
        </w:tc>
      </w:tr>
      <w:tr>
        <w:trPr>
          <w:cantSplit/>
        </w:trPr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A1像素前端</w:t>
            </w:r>
          </w:p>
        </w:tc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不适用</w:t>
            </w:r>
          </w:p>
        </w:tc>
      </w:tr>
      <w:tr>
        <w:trPr>
          <w:cantSplit/>
        </w:trPr>
        <w:tc>
          <w:tcPr>
            <w:tcW w:type="dxa" w:w="25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区域读出J1</w:t>
            </w:r>
          </w:p>
        </w:tc>
        <w:tc>
          <w:tcPr>
            <w:tcW w:type="dxa" w:w="25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不适用</w:t>
            </w:r>
          </w:p>
        </w:tc>
      </w:tr>
      <w:tr>
        <w:trPr>
          <w:cantSplit/>
        </w:trPr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余弦支持J2</w:t>
            </w:r>
          </w:p>
        </w:tc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  <w:shd w:fill="EDF3F7"/>
          </w:tcPr>
          <w:p>
            <w:pPr>
              <w:keepNext/>
              <w:spacing w:before="60" w:after="60" w:line="259" w:lineRule="auto"/>
            </w:pPr>
            <w:r>
              <w:rPr>
                <w:b w:val="0"/>
                <w:sz w:val="20"/>
              </w:rPr>
              <w:t>—／—</w:t>
            </w:r>
          </w:p>
        </w:tc>
      </w:tr>
      <w:tr>
        <w:trPr>
          <w:cantSplit/>
        </w:trPr>
        <w:tc>
          <w:tcPr>
            <w:tcW w:type="dxa" w:w="2504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完整J3</w:t>
            </w:r>
          </w:p>
        </w:tc>
        <w:tc>
          <w:tcPr>
            <w:tcW w:type="dxa" w:w="2504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504"/>
          </w:tcPr>
          <w:p>
            <w:pPr>
              <w:keepNext w:val="0"/>
              <w:spacing w:before="60" w:after="60" w:line="259" w:lineRule="auto"/>
            </w:pPr>
            <w:r>
              <w:rPr>
                <w:b w:val="0"/>
                <w:sz w:val="20"/>
              </w:rPr>
              <w:t>—／—</w:t>
            </w:r>
          </w:p>
        </w:tc>
      </w:tr>
    </w:tbl>
    <w:p>
      <w:pPr>
        <w:spacing w:after="0"/>
      </w:pPr>
    </w:p>
    <w:p>
      <w:r>
        <w:rPr>
          <w:b w:val="0"/>
        </w:rPr>
        <w:t>注：离线建库耗时为【待填】，检索投影训练耗时为【待填】；Reader训练成本为【待填】。参数是否包含冻结前端与支持槽位须明确，磁盘库不计作可训练参数。</w:t>
      </w:r>
    </w:p>
    <w:p>
      <w:r>
        <w:rPr>
          <w:b w:val="0"/>
        </w:rPr>
        <w:t>完整方法相对【对照】增加【待填】的在线开销，其性能变化为【待填】。这些结果用于评价额外区域编码与检索读取的成本，而不是仅比较参数数量。</w:t>
      </w:r>
    </w:p>
    <w:p>
      <w:r>
        <w:rPr>
          <w:b w:val="0"/>
        </w:rPr>
        <w:t>方法仍受预测建筑概率、混合区域表示和历史支持覆盖限制。Q不提供真实建筑实例身份，b(Q)也不等同于建筑边界；跨事件候选排除不等于留事件泛化。若【关键模块】未显示稳定增量，应将结论限定在【由实验支持的范围】，而不借助局部案例替代整体证据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879" w:right="907" w:bottom="822" w:left="90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章节写作稿 · 占位字段须用真实记录替换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788"/>
        <w:sz w:val="16"/>
      </w:rPr>
      <w:t>原 PPT 方法 · 第 IV 节可编辑写作稿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Noto Sans CJK SC" w:hAnsi="Noto Sans CJK SC" w:eastAsia="Noto Sans CJK SC"/>
      <w:b w:val="0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9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9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95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9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论文第IV节：实验表格与结果分析填数稿</dc:title>
  <dc:subject>原方法章节写作模板；没有填入或预设实验分数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