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Highlights</w:t>
      </w:r>
    </w:p>
    <w:p>
      <w:pPr>
        <w:pStyle w:val="ListBullet"/>
        <w:spacing w:after="240"/>
      </w:pPr>
      <w:r>
        <w:t>Building probabilities guide local soft region assignments.</w:t>
      </w:r>
    </w:p>
    <w:p>
      <w:pPr>
        <w:pStyle w:val="ListBullet"/>
        <w:spacing w:after="240"/>
      </w:pPr>
      <w:r>
        <w:t>Partition-state signals condition residual adaptation of fused features.</w:t>
      </w:r>
    </w:p>
    <w:p>
      <w:pPr>
        <w:pStyle w:val="ListBullet"/>
        <w:spacing w:after="240"/>
      </w:pPr>
      <w:r>
        <w:t>Cross-event class supervision learns regional support retrieval rankings.</w:t>
      </w:r>
    </w:p>
    <w:p>
      <w:pPr>
        <w:pStyle w:val="ListBullet"/>
        <w:spacing w:after="240"/>
      </w:pPr>
      <w:r>
        <w:t>Four-class test mIoU reaches 69.64% on the BRIGHT benchmark.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