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补充指南：现有证据与待测实验</w:t>
      </w:r>
    </w:p>
    <w:p>
      <w:r>
        <w:rPr>
          <w:b w:val="0"/>
        </w:rPr>
        <w:t>本文件用于整理实验，不作为投稿结果正文。所有数值来自既有报告或其算术计算；“—”表示尚无同协议测量，不表示0。</w:t>
      </w:r>
    </w:p>
    <w:p>
      <w:pPr>
        <w:pStyle w:val="Heading1"/>
      </w:pPr>
      <w:r>
        <w:t>一、当前结果及证据层级</w:t>
      </w:r>
    </w:p>
    <w:p>
      <w:r>
        <w:rPr>
          <w:b w:val="0"/>
        </w:rPr>
        <w:t xml:space="preserve">按作者确认，以主表最新完整Ours统一递进末行：四类mIoU </w:t>
      </w:r>
      <w:r>
        <w:rPr>
          <w:b/>
        </w:rPr>
        <w:t>69.64%</w:t>
      </w:r>
      <w:r>
        <w:rPr>
          <w:b w:val="0"/>
        </w:rPr>
        <w:t xml:space="preserve">、完好IoU </w:t>
      </w:r>
      <w:r>
        <w:rPr>
          <w:b/>
        </w:rPr>
        <w:t>76.25%</w:t>
      </w:r>
      <w:r>
        <w:rPr>
          <w:b w:val="0"/>
        </w:rPr>
        <w:t>；旧69.62%/76.24%仅作版本记录。Ours的四类IoU为96.89/76.25/43.84/61.59%，打印均值69.6425%，前景均值60.56%。相对DamageFormer，四类mIoU提高2.55个百分点，受损/毁坏提高3.98/5.00；相对MPF，分别提高1.10、1.63/2.87。</w:t>
      </w:r>
    </w:p>
    <w:p>
      <w:r>
        <w:rPr>
          <w:b w:val="0"/>
        </w:rPr>
        <w:t>证据要分层：主表属于作者提供的全量评估汇总；差值及均值属于可复算的派生量；固定裁窗属于局部定性观察；独立机制尚须匹配控制。作者已确认图片为完整模型，可用于讨论具体改善，仍不能只凭图片拆分模块贡献。</w:t>
      </w:r>
    </w:p>
    <w:p>
      <w:r>
        <w:rPr>
          <w:b w:val="0"/>
        </w:rPr>
        <w:t>14事件打印均值为54.0393%，即</w:t>
      </w:r>
      <w:r>
        <w:rPr>
          <w:b/>
        </w:rPr>
        <w:t>54.04%</w:t>
      </w:r>
      <w:r>
        <w:rPr>
          <w:b w:val="0"/>
        </w:rPr>
        <w:t>，相对DamageFormer高</w:t>
      </w:r>
      <w:r>
        <w:rPr>
          <w:b/>
        </w:rPr>
        <w:t>1.78个百分点</w:t>
      </w:r>
      <w:r>
        <w:rPr>
          <w:b w:val="0"/>
        </w:rPr>
        <w:t>，11胜3负。负向事件为Beirut（−1.72）、Marshall（−0.49）、Kyaukpyu（−0.75）。该均值是事件等权结果，需在配置中明确类别范围、缺类规则，不能与全局69.64%直接相减。各灾种名称也不能代替对失败原因的实测判断。</w:t>
      </w:r>
    </w:p>
    <w:p>
      <w:pPr>
        <w:pStyle w:val="Heading1"/>
      </w:pPr>
      <w:r>
        <w:t>二、历史Top64双槽：能说明什么</w:t>
      </w:r>
    </w:p>
    <w:p>
      <w:r>
        <w:rPr>
          <w:b w:val="0"/>
        </w:rPr>
        <w:t>历史A/B使用图内空间邻居，C/D读取跨事件Train案例；A/C采用固定空间双槽，B/D采用建筑概率soft双槽。C/D按T128余弦选择64个父案例，每个案例最多两槽，共最多128槽；图内标签来自模型预测，Train案例标签来自训练标注。冻结基底为grid_probq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00"/>
        <w:gridCol w:w="1700"/>
        <w:gridCol w:w="1700"/>
        <w:gridCol w:w="1700"/>
        <w:gridCol w:w="1700"/>
        <w:gridCol w:w="1700"/>
      </w:tblGrid>
      <w:tr>
        <w:trPr>
          <w:cantSplit/>
          <w:tblHeader/>
        </w:trPr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/>
                <w:sz w:val="18"/>
              </w:rPr>
              <w:t>步数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/>
                <w:sz w:val="18"/>
              </w:rPr>
              <w:t>基底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/>
                <w:sz w:val="18"/>
              </w:rPr>
              <w:t>A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/>
                <w:sz w:val="18"/>
              </w:rPr>
              <w:t>B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/>
                <w:sz w:val="18"/>
              </w:rPr>
              <w:t>C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/>
                <w:sz w:val="18"/>
              </w:rPr>
              <w:t>D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61.9027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61.9027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61.9027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61.9027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61.9027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500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61.9027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62.0826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62.1235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62.0933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62.1292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1000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61.9027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61.6133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61.6356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61.5860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61.6526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1500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61.9027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61.8627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61.8960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61.8494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61.9854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2000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61.9027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61.7443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61.7799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61.6941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61.8443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2500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61.9027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61.6178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61.6696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61.7073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61.7384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3000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61.9027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61.5838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61.6010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61.6996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61.7312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3500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61.9027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61.4065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61.4504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61.5753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61.6074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4000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61.9027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61.4652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61.5137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61.6253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61.6492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4500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61.9027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61.3949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61.4595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61.6039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61.6270</w:t>
            </w:r>
          </w:p>
        </w:tc>
      </w:tr>
      <w:tr>
        <w:trPr>
          <w:cantSplit/>
        </w:trPr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5000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61.9027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61.4095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61.4755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61.6194</w:t>
            </w:r>
          </w:p>
        </w:tc>
        <w:tc>
          <w:tcPr>
            <w:tcW w:type="dxa" w:w="170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61.6356</w:t>
            </w:r>
          </w:p>
        </w:tc>
      </w:tr>
    </w:tbl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048000" cy="3095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historical_reader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48000" cy="3095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18"/>
        </w:rPr>
        <w:t>图S1　历史Top64双槽实验的Val450前景曲线。该图来自已完成的旧版本；不是当前Top8监督投影的训练曲线。</w:t>
      </w:r>
    </w:p>
    <w:p>
      <w:r>
        <w:rPr>
          <w:b w:val="0"/>
        </w:rPr>
        <w:t>单位为Val450前景三类mIoU%。500步四组均超过基底，D高0.2265个百分点；末步则全部低于基底。末步B−A=+0.0660、D−C=+0.0162、C−A=+0.2099、D−B=+0.1601，二因素交互为−0.0498个百分点。</w:t>
      </w:r>
      <w:r>
        <w:rPr>
          <w:b/>
        </w:rPr>
        <w:t>相对弱对照更好，不等于超过冻结基底</w:t>
      </w:r>
      <w:r>
        <w:rPr>
          <w:b w:val="0"/>
        </w:rPr>
        <w:t>；曲线提示训练漂移与泛化需要检查，不能只据分数下降认定是哪一层造成。</w:t>
      </w:r>
    </w:p>
    <w:p>
      <w:r>
        <w:rPr>
          <w:b w:val="0"/>
        </w:rPr>
        <w:t>这不是当前Top8跨事件监督投影的实验：前端来源、分槽、Top-K、排序与读取组织均不同，且Val前景指标不同于当前Test四类指标。因此不能把历史A/B/C/D改名填入当前表4–7，也不能把历史下降归于当前设计。现有主表的完整Ours仅能作参考R，不能冒充每张机制表的同预算重训结果。</w:t>
      </w:r>
    </w:p>
    <w:p>
      <w:pPr>
        <w:pStyle w:val="Heading1"/>
      </w:pPr>
      <w:r>
        <w:t>三、待测表按什么顺序补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cantSplit/>
          <w:tblHeader/>
        </w:trPr>
        <w:tc>
          <w:tcPr>
            <w:tcW w:type="dxa" w:w="2550"/>
          </w:tcPr>
          <w:p>
            <w:pPr>
              <w:spacing w:line="240" w:lineRule="auto" w:after="60"/>
            </w:pPr>
            <w:r>
              <w:rPr>
                <w:b/>
                <w:sz w:val="18"/>
              </w:rPr>
              <w:t>优先级</w:t>
            </w:r>
          </w:p>
        </w:tc>
        <w:tc>
          <w:tcPr>
            <w:tcW w:type="dxa" w:w="2550"/>
          </w:tcPr>
          <w:p>
            <w:pPr>
              <w:spacing w:line="240" w:lineRule="auto" w:after="60"/>
            </w:pPr>
            <w:r>
              <w:rPr>
                <w:b/>
                <w:sz w:val="18"/>
              </w:rPr>
              <w:t>表格</w:t>
            </w:r>
          </w:p>
        </w:tc>
        <w:tc>
          <w:tcPr>
            <w:tcW w:type="dxa" w:w="2550"/>
          </w:tcPr>
          <w:p>
            <w:pPr>
              <w:spacing w:line="240" w:lineRule="auto" w:after="60"/>
            </w:pPr>
            <w:r>
              <w:rPr>
                <w:b/>
                <w:sz w:val="18"/>
              </w:rPr>
              <w:t>要回答的问题</w:t>
            </w:r>
          </w:p>
        </w:tc>
        <w:tc>
          <w:tcPr>
            <w:tcW w:type="dxa" w:w="2550"/>
          </w:tcPr>
          <w:p>
            <w:pPr>
              <w:spacing w:line="240" w:lineRule="auto" w:after="60"/>
            </w:pPr>
            <w:r>
              <w:rPr>
                <w:b/>
                <w:sz w:val="18"/>
              </w:rPr>
              <w:t>待补数字/记录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5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表4(a)</w:t>
            </w:r>
          </w:p>
        </w:tc>
        <w:tc>
          <w:tcPr>
            <w:tcW w:type="dxa" w:w="255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B→Q和结构适配分别及联用是否有效</w:t>
            </w:r>
          </w:p>
        </w:tc>
        <w:tc>
          <w:tcPr>
            <w:tcW w:type="dxa" w:w="255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4组IoU、混合率、边缘错率：—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5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表5</w:t>
            </w:r>
          </w:p>
        </w:tc>
        <w:tc>
          <w:tcPr>
            <w:tcW w:type="dxa" w:w="255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当前区域、Reader容量、真实案例各有何增量</w:t>
            </w:r>
          </w:p>
        </w:tc>
        <w:tc>
          <w:tcPr>
            <w:tcW w:type="dxa" w:w="255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匹配像素头/区域/参数槽/真实支持及排序结果：—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5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表6</w:t>
            </w:r>
          </w:p>
        </w:tc>
        <w:tc>
          <w:tcPr>
            <w:tcW w:type="dxa" w:w="255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邻居更相关是否提高固定Reader分类</w:t>
            </w:r>
          </w:p>
        </w:tc>
        <w:tc>
          <w:tcPr>
            <w:tcW w:type="dxa" w:w="255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仅换ID的P@8、Hit@8、救回/误改、IoU：—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5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表4(b)</w:t>
            </w:r>
          </w:p>
        </w:tc>
        <w:tc>
          <w:tcPr>
            <w:tcW w:type="dxa" w:w="255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改善来自条件还是额外容量</w:t>
            </w:r>
          </w:p>
        </w:tc>
        <w:tc>
          <w:tcPr>
            <w:tcW w:type="dxa" w:w="255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固定Q普通Adapter、完整及去条件结果：—</w:t>
            </w:r>
          </w:p>
        </w:tc>
      </w:tr>
      <w:tr>
        <w:trPr>
          <w:cantSplit/>
        </w:trPr>
        <w:tc>
          <w:tcPr>
            <w:tcW w:type="dxa" w:w="255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5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表7</w:t>
            </w:r>
          </w:p>
        </w:tc>
        <w:tc>
          <w:tcPr>
            <w:tcW w:type="dxa" w:w="255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标签、事件、灾种、几何是否实际被利用</w:t>
            </w:r>
          </w:p>
        </w:tc>
        <w:tc>
          <w:tcPr>
            <w:tcW w:type="dxa" w:w="2550"/>
          </w:tcPr>
          <w:p>
            <w:pPr>
              <w:spacing w:line="240" w:lineRule="auto" w:after="60"/>
            </w:pPr>
            <w:r>
              <w:rPr>
                <w:b w:val="0"/>
                <w:sz w:val="18"/>
              </w:rPr>
              <w:t>重训消融与固定权重干预分别报告：—</w:t>
            </w:r>
          </w:p>
        </w:tc>
      </w:tr>
    </w:tbl>
    <w:p>
      <w:r>
        <w:rPr>
          <w:b w:val="0"/>
        </w:rPr>
        <w:t>每组必须导出小文件：①run manifest，含权重/代码/来源SHA、划分、冻结范围、损失、预算、种子、Top-K与解码；②result.json，含图像数、类别顺序、指标定义、完整性状态；③全量及逐事件4×4混淆矩阵，注明行真值列预测；④查询与支持ID、图像/事件、有效掩膜、软标签及排序方式。表6尤其要保存同一Reader权重SHA与两种实际返回ID。GT只用于事后评价。之后再补至少3种子与参数、延迟、显存，不能倒推标准差或命中率。</w:t>
      </w:r>
    </w:p>
    <w:p>
      <w:pPr>
        <w:pStyle w:val="Heading1"/>
      </w:pPr>
      <w:r>
        <w:t>四、新增图使用范围</w:t>
      </w:r>
    </w:p>
    <w:p>
      <w:r>
        <w:rPr>
          <w:b/>
        </w:rPr>
        <w:t>图9</w:t>
      </w:r>
      <w:r>
        <w:rPr>
          <w:b w:val="0"/>
        </w:rPr>
        <w:t>来自主表类别IoU及其差值，只说明收益集中在哪些类，不分离机制。</w:t>
      </w:r>
      <w:r>
        <w:rPr>
          <w:b/>
        </w:rPr>
        <w:t>图10</w:t>
      </w:r>
      <w:r>
        <w:rPr>
          <w:b w:val="0"/>
        </w:rPr>
        <w:t>来自14事件配对差值，展示正负异质性，既非置信区间，也非留事件泛化测试。</w:t>
      </w:r>
      <w:r>
        <w:rPr>
          <w:b/>
        </w:rPr>
        <w:t>图S1</w:t>
      </w:r>
      <w:r>
        <w:rPr>
          <w:b w:val="0"/>
        </w:rPr>
        <w:t>只展示上述历史Top64双槽曲线，放补充材料，不能标成当前模型训练曲线。三图的CSV随包保存，打印值的绘图与算术派生不等于新增推理或独立重复实验。原有预测图片保持不变。</w:t>
      </w:r>
    </w:p>
    <w:sectPr w:rsidR="00FC693F" w:rsidRPr="0006063C" w:rsidSect="00034616">
      <w:headerReference w:type="default" r:id="rId9"/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16"/>
      </w:rPr>
      <w:t>补充指南｜历史记录与当前待测控制分别列示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100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 w:line="269" w:lineRule="auto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269" w:lineRule="auto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69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color w:val="17365D" w:themeColor="text2" w:themeShade="BF"/>
      <w:spacing w:val="5"/>
      <w:kern w:val="28"/>
      <w:sz w:val="2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