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结构区域编码与跨事件检索实验表格与配图规划"/>
    <w:p>
      <w:pPr>
        <w:pStyle w:val="Heading1"/>
      </w:pPr>
      <w:r>
        <w:t xml:space="preserve">结构区域编码与跨事件检索：实验、表格与配图规划</w:t>
      </w:r>
    </w:p>
    <w:p>
      <w:pPr>
        <w:pStyle w:val="FirstParagraph"/>
      </w:pPr>
      <w:r>
        <w:t xml:space="preserve">版本：2026-10-16。依据：上传初稿及图1—图3。范围：重新定义验证方法，不使用任何既有性能结果。</w:t>
      </w:r>
    </w:p>
    <w:bookmarkStart w:id="20" w:name="先把整篇论文分成三个问题"/>
    <w:p>
      <w:pPr>
        <w:pStyle w:val="Heading2"/>
      </w:pPr>
      <w:r>
        <w:t xml:space="preserve">1 先把整篇论文分成三个问题</w:t>
      </w:r>
    </w:p>
    <w:tbl>
      <w:tblPr>
        <w:tblW w:type="dxa" w:w="14910"/>
        <w:jc w:val="left"/>
        <w:tblLayout w:type="fixed"/>
        <w:tblLook w:firstRow="1" w:lastRow="0" w:firstColumn="0" w:lastColumn="0" w:noHBand="0" w:noVBand="0" w:val="0020"/>
      </w:tblPr>
      <w:tblGrid>
        <w:gridCol w:w="2982"/>
        <w:gridCol w:w="2982"/>
        <w:gridCol w:w="2982"/>
        <w:gridCol w:w="2982"/>
        <w:gridCol w:w="2982"/>
      </w:tblGrid>
      <w:tr>
        <w:trPr>
          <w:tblHeader w:val="on"/>
        </w:trPr>
        <w:tc>
          <w:tcPr>
            <w:tcW w:type="dxa" w:w="2982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模块</w:t>
            </w:r>
          </w:p>
        </w:tc>
        <w:tc>
          <w:tcPr>
            <w:tcW w:type="dxa" w:w="2982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图中位置</w:t>
            </w:r>
          </w:p>
        </w:tc>
        <w:tc>
          <w:tcPr>
            <w:tcW w:type="dxa" w:w="2982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通俗解释</w:t>
            </w:r>
          </w:p>
        </w:tc>
        <w:tc>
          <w:tcPr>
            <w:tcW w:type="dxa" w:w="2982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待验证假设</w:t>
            </w:r>
          </w:p>
        </w:tc>
        <w:tc>
          <w:tcPr>
            <w:tcW w:type="dxa" w:w="2982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不能直接作出的推论</w:t>
            </w:r>
          </w:p>
        </w:tc>
      </w:tr>
      <w:tr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M1 建筑概率约束Q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图2 b1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哪些像素应该放在一起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预测建筑状态的连续相容项是否改善区域组织及最终分类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区域更整齐就一定更准确；一个区域就是一栋楼</w:t>
            </w:r>
          </w:p>
        </w:tc>
      </w:tr>
      <w:tr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M2 结构条件Adapter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图2 b2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一个区域里的信息怎样整理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B、b(Q)、H(Q)是否比普通内容Adapter提供额外判别信息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条件热图更亮就代表解释正确；H(Q)是损毁不确定性</w:t>
            </w:r>
          </w:p>
        </w:tc>
      </w:tr>
      <w:tr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M3 跨事件检索投影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图3 c1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从训练集挑哪些案例来参考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类别监督能否改善排序，并在固定Reader下帮助预测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邻居更相似就一定涨IoU；跨事件支持等于未见事件泛化</w:t>
            </w:r>
          </w:p>
        </w:tc>
      </w:tr>
    </w:tbl>
    <w:p>
      <w:pPr>
        <w:pStyle w:val="BodyText"/>
      </w:pPr>
      <w:r>
        <w:t xml:space="preserve">图3 c2/c3是支持读取及输出路径。它们需要验证，但交叉注意力、统计池化和特征回投本身不另列为第四项首创。</w:t>
      </w:r>
    </w:p>
    <w:p>
      <w:pPr>
        <w:pStyle w:val="BodyText"/>
      </w:pPr>
      <w:r>
        <w:t xml:space="preserve">建议论文主线为：</w:t>
      </w:r>
      <w:r>
        <w:rPr>
          <w:b/>
          <w:bCs/>
        </w:rPr>
        <w:t xml:space="preserve">建筑区域组织 → 区域内容编码 → 历史案例选择 → 最终损毁预测</w:t>
      </w:r>
      <w:r>
        <w:t xml:space="preserve">。先建立证据链，再由结果决定保留几个贡献点。SAR额外分支、双槽划分、预测建筑范围保护等不在本次初稿的三图主定义中，不自动并入本轮设计。</w:t>
      </w:r>
    </w:p>
    <w:bookmarkEnd w:id="20"/>
    <w:bookmarkStart w:id="21" w:name="一套统一编号替代混乱的旧阶段名称"/>
    <w:p>
      <w:pPr>
        <w:pStyle w:val="Heading2"/>
      </w:pPr>
      <w:r>
        <w:t xml:space="preserve">2 一套统一编号，替代混乱的旧阶段名称</w:t>
      </w:r>
    </w:p>
    <w:p>
      <w:pPr>
        <w:pStyle w:val="FirstParagraph"/>
      </w:pPr>
      <w:r>
        <w:t xml:space="preserve">所有新结果使用下表的编号与完整配置名；旧base/region/roi/memory、旧J1/J2/J3和其他A/B/C/D不直接映射为新实验结果。</w:t>
      </w:r>
    </w:p>
    <w:tbl>
      <w:tblPr>
        <w:tblW w:type="dxa" w:w="14910"/>
        <w:jc w:val="left"/>
        <w:tblLayout w:type="fixed"/>
        <w:tblLook w:firstRow="1" w:lastRow="0" w:firstColumn="0" w:lastColumn="0" w:noHBand="0" w:noVBand="0" w:val="0020"/>
      </w:tblPr>
      <w:tblGrid>
        <w:gridCol w:w="3727"/>
        <w:gridCol w:w="3727"/>
        <w:gridCol w:w="3727"/>
        <w:gridCol w:w="3727"/>
      </w:tblGrid>
      <w:tr>
        <w:trPr>
          <w:tblHeader w:val="on"/>
        </w:trPr>
        <w:tc>
          <w:tcPr>
            <w:tcW w:type="dxa" w:w="3727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编号族</w:t>
            </w:r>
          </w:p>
        </w:tc>
        <w:tc>
          <w:tcPr>
            <w:tcW w:type="dxa" w:w="3727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研究对象</w:t>
            </w:r>
          </w:p>
        </w:tc>
        <w:tc>
          <w:tcPr>
            <w:tcW w:type="dxa" w:w="3727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是否必须重训</w:t>
            </w:r>
          </w:p>
        </w:tc>
        <w:tc>
          <w:tcPr>
            <w:tcW w:type="dxa" w:w="3727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结果保存的最小信息</w:t>
            </w:r>
          </w:p>
        </w:tc>
      </w:tr>
      <w:tr>
        <w:tc>
          <w:tcPr>
            <w:tcW w:type="dxa" w:w="372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R0</w:t>
            </w:r>
          </w:p>
        </w:tc>
        <w:tc>
          <w:tcPr>
            <w:tcW w:type="dxa" w:w="372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运行与数值正确性</w:t>
            </w:r>
          </w:p>
        </w:tc>
        <w:tc>
          <w:tcPr>
            <w:tcW w:type="dxa" w:w="372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不一定；先做小规模核验</w:t>
            </w:r>
          </w:p>
        </w:tc>
        <w:tc>
          <w:tcPr>
            <w:tcW w:type="dxa" w:w="372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标签映射、Q约束、池化、初始预测、来源与划分</w:t>
            </w:r>
          </w:p>
        </w:tc>
      </w:tr>
      <w:tr>
        <w:tc>
          <w:tcPr>
            <w:tcW w:type="dxa" w:w="372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S00/S10/S01/S11</w:t>
            </w:r>
          </w:p>
        </w:tc>
        <w:tc>
          <w:tcPr>
            <w:tcW w:type="dxa" w:w="372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M1×M2二因素</w:t>
            </w:r>
          </w:p>
        </w:tc>
        <w:tc>
          <w:tcPr>
            <w:tcW w:type="dxa" w:w="372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每种配置训练自己的区域编码和同一形式读出</w:t>
            </w:r>
          </w:p>
        </w:tc>
        <w:tc>
          <w:tcPr>
            <w:tcW w:type="dxa" w:w="372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A1快照、区域预算、条件开关、初始化、预算、种子</w:t>
            </w:r>
          </w:p>
        </w:tc>
      </w:tr>
      <w:tr>
        <w:tc>
          <w:tcPr>
            <w:tcW w:type="dxa" w:w="372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SC/S-B/S-b/S-H</w:t>
            </w:r>
          </w:p>
        </w:tc>
        <w:tc>
          <w:tcPr>
            <w:tcW w:type="dxa" w:w="372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M2容量与条件消融</w:t>
            </w:r>
          </w:p>
        </w:tc>
        <w:tc>
          <w:tcPr>
            <w:tcW w:type="dxa" w:w="372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是；去条件同时保持接口</w:t>
            </w:r>
          </w:p>
        </w:tc>
        <w:tc>
          <w:tcPr>
            <w:tcW w:type="dxa" w:w="372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参数量、实际输入条件、预测及混淆矩阵</w:t>
            </w:r>
          </w:p>
        </w:tc>
      </w:tr>
      <w:tr>
        <w:tc>
          <w:tcPr>
            <w:tcW w:type="dxa" w:w="372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J0/Jcur/Jslot/Jcos/Jmetric</w:t>
            </w:r>
          </w:p>
        </w:tc>
        <w:tc>
          <w:tcPr>
            <w:tcW w:type="dxa" w:w="372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信息来源递进对照</w:t>
            </w:r>
          </w:p>
        </w:tc>
        <w:tc>
          <w:tcPr>
            <w:tcW w:type="dxa" w:w="372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各读出按相同预算训练；冻结选定区域编码</w:t>
            </w:r>
          </w:p>
        </w:tc>
        <w:tc>
          <w:tcPr>
            <w:tcW w:type="dxa" w:w="372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支持来源、Reader有无、头容量、库版本</w:t>
            </w:r>
          </w:p>
        </w:tc>
      </w:tr>
      <w:tr>
        <w:tc>
          <w:tcPr>
            <w:tcW w:type="dxa" w:w="372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Rcos/Rall/Rcross</w:t>
            </w:r>
          </w:p>
        </w:tc>
        <w:tc>
          <w:tcPr>
            <w:tcW w:type="dxa" w:w="372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投影训练方式</w:t>
            </w:r>
          </w:p>
        </w:tc>
        <w:tc>
          <w:tcPr>
            <w:tcW w:type="dxa" w:w="372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仅投影需重训；区域和库固定</w:t>
            </w:r>
          </w:p>
        </w:tc>
        <w:tc>
          <w:tcPr>
            <w:tcW w:type="dxa" w:w="372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纯度、有效正负样本、候选与预算</w:t>
            </w:r>
          </w:p>
        </w:tc>
      </w:tr>
      <w:tr>
        <w:tc>
          <w:tcPr>
            <w:tcW w:type="dxa" w:w="372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Fcos/Fmetric</w:t>
            </w:r>
          </w:p>
        </w:tc>
        <w:tc>
          <w:tcPr>
            <w:tcW w:type="dxa" w:w="372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固定Reader替换邻居ID</w:t>
            </w:r>
          </w:p>
        </w:tc>
        <w:tc>
          <w:tcPr>
            <w:tcW w:type="dxa" w:w="372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同一个Reader训练一次，评价时换ID</w:t>
            </w:r>
          </w:p>
        </w:tc>
        <w:tc>
          <w:tcPr>
            <w:tcW w:type="dxa" w:w="372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同一权重哈希、同一库、每查询实际ID</w:t>
            </w:r>
          </w:p>
        </w:tc>
      </w:tr>
      <w:tr>
        <w:tc>
          <w:tcPr>
            <w:tcW w:type="dxa" w:w="372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V-*</w:t>
            </w:r>
          </w:p>
        </w:tc>
        <w:tc>
          <w:tcPr>
            <w:tcW w:type="dxa" w:w="372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支持内容消融</w:t>
            </w:r>
          </w:p>
        </w:tc>
        <w:tc>
          <w:tcPr>
            <w:tcW w:type="dxa" w:w="372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主要用重新训练；推理破坏另标</w:t>
            </w:r>
          </w:p>
        </w:tc>
        <w:tc>
          <w:tcPr>
            <w:tcW w:type="dxa" w:w="372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变更的是标签、特征还是元数据</w:t>
            </w:r>
          </w:p>
        </w:tc>
      </w:tr>
      <w:tr>
        <w:tc>
          <w:tcPr>
            <w:tcW w:type="dxa" w:w="372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G-*</w:t>
            </w:r>
          </w:p>
        </w:tc>
        <w:tc>
          <w:tcPr>
            <w:tcW w:type="dxa" w:w="372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稳定性、事件、资源</w:t>
            </w:r>
          </w:p>
        </w:tc>
        <w:tc>
          <w:tcPr>
            <w:tcW w:type="dxa" w:w="372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依实验类型</w:t>
            </w:r>
          </w:p>
        </w:tc>
        <w:tc>
          <w:tcPr>
            <w:tcW w:type="dxa" w:w="372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种子、事件、硬件与精度、时间与内存</w:t>
            </w:r>
          </w:p>
        </w:tc>
      </w:tr>
    </w:tbl>
    <w:p>
      <w:pPr>
        <w:pStyle w:val="BodyText"/>
      </w:pPr>
      <w:r>
        <w:t xml:space="preserve">“</w:t>
      </w:r>
      <w:r>
        <w:t xml:space="preserve">训练方案数</w:t>
      </w:r>
      <w:r>
        <w:t xml:space="preserve">”</w:t>
      </w:r>
      <w:r>
        <w:t xml:space="preserve">与“评估次数”分开登记。一个模型的四类指标、多个事件、不同读取路径或不同混淆矩阵，不是新的独立训练实验。</w:t>
      </w:r>
    </w:p>
    <w:bookmarkEnd w:id="21"/>
    <w:bookmarkStart w:id="24" w:name="所有实验共用的协议"/>
    <w:p>
      <w:pPr>
        <w:pStyle w:val="Heading2"/>
      </w:pPr>
      <w:r>
        <w:t xml:space="preserve">3 所有实验共用的协议</w:t>
      </w:r>
    </w:p>
    <w:bookmarkStart w:id="22" w:name="预先固定的内容"/>
    <w:p>
      <w:pPr>
        <w:pStyle w:val="Heading3"/>
      </w:pPr>
      <w:r>
        <w:t xml:space="preserve">3.1 预先固定的内容</w:t>
      </w:r>
    </w:p>
    <w:tbl>
      <w:tblPr>
        <w:tblW w:type="dxa" w:w="14910"/>
        <w:jc w:val="left"/>
        <w:tblLayout w:type="fixed"/>
        <w:tblLook w:firstRow="1" w:lastRow="0" w:firstColumn="0" w:lastColumn="0" w:noHBand="0" w:noVBand="0" w:val="0020"/>
      </w:tblPr>
      <w:tblGrid>
        <w:gridCol w:w="4970"/>
        <w:gridCol w:w="4970"/>
        <w:gridCol w:w="4970"/>
      </w:tblGrid>
      <w:tr>
        <w:trPr>
          <w:tblHeader w:val="on"/>
        </w:trPr>
        <w:tc>
          <w:tcPr>
            <w:tcW w:type="dxa" w:w="4970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项目</w:t>
            </w:r>
          </w:p>
        </w:tc>
        <w:tc>
          <w:tcPr>
            <w:tcW w:type="dxa" w:w="4970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统一要求</w:t>
            </w:r>
          </w:p>
        </w:tc>
        <w:tc>
          <w:tcPr>
            <w:tcW w:type="dxa" w:w="4970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待登记</w:t>
            </w:r>
          </w:p>
        </w:tc>
      </w:tr>
      <w:tr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数据</w:t>
            </w:r>
          </w:p>
        </w:tc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Train学习与建库；Val选型；Test不参与支持选择</w:t>
            </w:r>
          </w:p>
        </w:tc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划分名单及校验值</w:t>
            </w:r>
          </w:p>
        </w:tc>
      </w:tr>
      <w:tr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A1</w:t>
            </w:r>
          </w:p>
        </w:tc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同一预训练权重、输入预处理和运行状态</w:t>
            </w:r>
          </w:p>
        </w:tc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路径、SHA256、模式</w:t>
            </w:r>
          </w:p>
        </w:tc>
      </w:tr>
      <w:tr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训练</w:t>
            </w:r>
          </w:p>
        </w:tc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匹配样本流、增强、更新数、优化器、损失和精度</w:t>
            </w:r>
          </w:p>
        </w:tc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正式配置</w:t>
            </w:r>
          </w:p>
        </w:tc>
      </w:tr>
      <w:tr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检查点</w:t>
            </w:r>
          </w:p>
        </w:tc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预先选定固定末步或Val最优规则；各组一致</w:t>
            </w:r>
          </w:p>
        </w:tc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选择规则</w:t>
            </w:r>
          </w:p>
        </w:tc>
      </w:tr>
      <w:tr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结构预算</w:t>
            </w:r>
          </w:p>
        </w:tc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相同种子数、候选范围、特征网格和输出维度</w:t>
            </w:r>
          </w:p>
        </w:tc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实际有效区域数</w:t>
            </w:r>
          </w:p>
        </w:tc>
      </w:tr>
      <w:tr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支持库</w:t>
            </w:r>
          </w:p>
        </w:tc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同一结构快照内，成员、标签与元数据固定</w:t>
            </w:r>
          </w:p>
        </w:tc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成员清单、特征版本</w:t>
            </w:r>
          </w:p>
        </w:tc>
      </w:tr>
      <w:tr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检索</w:t>
            </w:r>
          </w:p>
        </w:tc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相同K、候选排除与tie-breaking；初稿K=8</w:t>
            </w:r>
          </w:p>
        </w:tc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距离、排序、候选数</w:t>
            </w:r>
          </w:p>
        </w:tc>
      </w:tr>
      <w:tr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解码</w:t>
            </w:r>
          </w:p>
        </w:tc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相同插值、归一化、分辨率和后处理</w:t>
            </w:r>
          </w:p>
        </w:tc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评估脚本版本</w:t>
            </w:r>
          </w:p>
        </w:tc>
      </w:tr>
      <w:tr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随机性</w:t>
            </w:r>
          </w:p>
        </w:tc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主结论至少3个预先确定种子，成对比较</w:t>
            </w:r>
          </w:p>
        </w:tc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种子清单</w:t>
            </w:r>
          </w:p>
        </w:tc>
      </w:tr>
      <w:tr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输出</w:t>
            </w:r>
          </w:p>
        </w:tc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保存全局、逐事件及逐图混淆矩阵</w:t>
            </w:r>
          </w:p>
        </w:tc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原始计数，不只保留四舍五入分数</w:t>
            </w:r>
          </w:p>
        </w:tc>
      </w:tr>
    </w:tbl>
    <w:p>
      <w:pPr>
        <w:pStyle w:val="BodyText"/>
      </w:pPr>
      <w:r>
        <w:t xml:space="preserve">这里只是锁定初稿默认：区域维度128、最多9候选、步长8、3轮更新、K=8、按事件×主类抽样上限64。它们不是推荐同时搜索的超参数。先固定主配置，机制成立后才做敏感性。</w:t>
      </w:r>
    </w:p>
    <w:p>
      <w:pPr>
        <w:pStyle w:val="BodyText"/>
      </w:pPr>
      <w:r>
        <w:t xml:space="preserve">若结构配置不同，各自用本配置编码建立库；若只比较检索排序，必须使用同一库及同一原始内容。固定一个来自不同Q的旧库去比较新Q，会引入编码不一致。</w:t>
      </w:r>
    </w:p>
    <w:bookmarkEnd w:id="22"/>
    <w:bookmarkStart w:id="23" w:name="指标与符号"/>
    <w:p>
      <w:pPr>
        <w:pStyle w:val="Heading3"/>
      </w:pPr>
      <w:r>
        <w:t xml:space="preserve">3.2 指标与符号</w:t>
      </w:r>
    </w:p>
    <w:p>
      <w:pPr>
        <w:pStyle w:val="FirstParagraph"/>
      </w:pPr>
      <w:r>
        <w:t xml:space="preserve">混淆矩阵行是真值，列是预测。四类mIoU为背景、完好、受损、毁坏IoU的均值；前景mIoU固定平均后三类。无分母类别的处理沿用并记录官方协议。报告全局混淆矩阵累计结果，同时报告事件等权平均；不要把像素准确率、四类mIoU和前景mIoU混为一谈。</w:t>
      </w:r>
    </w:p>
    <w:p>
      <w:pPr>
        <w:pStyle w:val="BodyText"/>
      </w:pPr>
      <w:r>
        <w:t xml:space="preserve">定位F1如果来自独立定位头，需保存该头的二类混淆矩阵。由四类预测折叠得到的建筑/背景结果可作为补充，但不能替代独立定位输出。分类F1使用官方类别范围与平均方式，不根据四个IoU反推。</w:t>
      </w:r>
    </w:p>
    <w:p>
      <w:pPr>
        <w:pStyle w:val="BodyText"/>
      </w:pPr>
      <w:r>
        <w:t xml:space="preserve">所有“救回/误改”均需同一像素的GT、对照预测和候选预测：对照错候选对为救回，对照对候选错为误改，单位为像素。只用两份总体IoU无法恢复这种对应关系。</w:t>
      </w:r>
    </w:p>
    <w:bookmarkEnd w:id="23"/>
    <w:bookmarkEnd w:id="24"/>
    <w:bookmarkStart w:id="25" w:name="先做r0保证实验在验证正确的方法"/>
    <w:p>
      <w:pPr>
        <w:pStyle w:val="Heading2"/>
      </w:pPr>
      <w:r>
        <w:t xml:space="preserve">4 先做R0：保证实验在验证正确的方法</w:t>
      </w:r>
    </w:p>
    <w:tbl>
      <w:tblPr>
        <w:tblW w:type="dxa" w:w="14910"/>
        <w:jc w:val="left"/>
        <w:tblLayout w:type="fixed"/>
        <w:tblLook w:firstRow="1" w:lastRow="0" w:firstColumn="0" w:lastColumn="0" w:noHBand="0" w:noVBand="0" w:val="0020"/>
      </w:tblPr>
      <w:tblGrid>
        <w:gridCol w:w="4970"/>
        <w:gridCol w:w="4970"/>
        <w:gridCol w:w="4970"/>
      </w:tblGrid>
      <w:tr>
        <w:trPr>
          <w:tblHeader w:val="on"/>
        </w:trPr>
        <w:tc>
          <w:tcPr>
            <w:tcW w:type="dxa" w:w="4970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检查</w:t>
            </w:r>
          </w:p>
        </w:tc>
        <w:tc>
          <w:tcPr>
            <w:tcW w:type="dxa" w:w="4970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最低要求</w:t>
            </w:r>
          </w:p>
        </w:tc>
        <w:tc>
          <w:tcPr>
            <w:tcW w:type="dxa" w:w="4970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通过不代表什么</w:t>
            </w:r>
          </w:p>
        </w:tc>
      </w:tr>
      <w:tr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分区</w:t>
            </w:r>
          </w:p>
        </w:tc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非负、有限、逐像素归属和为1；无效候选屏蔽；全局ID对齐</w:t>
            </w:r>
          </w:p>
        </w:tc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不代表区域符合建筑语义</w:t>
            </w:r>
          </w:p>
        </w:tc>
      </w:tr>
      <w:tr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池化/回投</w:t>
            </w:r>
          </w:p>
        </w:tc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常数特征、单像素、重复ID、零质量及手算样例；CPU参考与目标设备核验</w:t>
            </w:r>
          </w:p>
        </w:tc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不代表真实任务涨分</w:t>
            </w:r>
          </w:p>
        </w:tc>
      </w:tr>
      <w:tr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标签</w:t>
            </w:r>
          </w:p>
        </w:tc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四类顺序、ignore和面积缩放正确；与Q使用同样权重</w:t>
            </w:r>
          </w:p>
        </w:tc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不代表案例相关</w:t>
            </w:r>
          </w:p>
        </w:tc>
      </w:tr>
      <w:tr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冻结</w:t>
            </w:r>
          </w:p>
        </w:tc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参数、buffer、eval状态、优化器成员均可核对</w:t>
            </w:r>
          </w:p>
        </w:tc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不代表冻结设计是最优</w:t>
            </w:r>
          </w:p>
        </w:tc>
      </w:tr>
      <w:tr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初始输出</w:t>
            </w:r>
          </w:p>
        </w:tc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复制A1像素分类器权重/偏置、上下文置零且特征/解码一致，实际核验初始预测</w:t>
            </w:r>
          </w:p>
        </w:tc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不保证训练后保持性能</w:t>
            </w:r>
          </w:p>
        </w:tc>
      </w:tr>
      <w:tr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支持身份</w:t>
            </w:r>
          </w:p>
        </w:tc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Top-K ID与原始特征、标签和来源一一对应</w:t>
            </w:r>
          </w:p>
        </w:tc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不代表有用支持被选中</w:t>
            </w:r>
          </w:p>
        </w:tc>
      </w:tr>
      <w:tr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划分</w:t>
            </w:r>
          </w:p>
        </w:tc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Train/Val/Test名单及支持来源交叉检查</w:t>
            </w:r>
          </w:p>
        </w:tc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不等于事件不重叠</w:t>
            </w:r>
          </w:p>
        </w:tc>
      </w:tr>
    </w:tbl>
    <w:p>
      <w:pPr>
        <w:pStyle w:val="BodyText"/>
      </w:pPr>
      <w:r>
        <w:t xml:space="preserve">R0不写成论文性能贡献；其作用是使后续比较有可解释的基础。</w:t>
      </w:r>
    </w:p>
    <w:bookmarkEnd w:id="25"/>
    <w:bookmarkStart w:id="26" w:name="表1总体结果空表"/>
    <w:p>
      <w:pPr>
        <w:pStyle w:val="Heading2"/>
      </w:pPr>
      <w:r>
        <w:t xml:space="preserve">5 表1：总体结果空表</w:t>
      </w:r>
    </w:p>
    <w:p>
      <w:pPr>
        <w:pStyle w:val="FirstParagraph"/>
      </w:pPr>
      <w:r>
        <w:t xml:space="preserve">下表不给出任何既有数值。每一行都需记录真实权重和评估来源。除初始A1引用行外，主要组按相同预算训练，使用同一测试协议。</w:t>
      </w:r>
    </w:p>
    <w:tbl>
      <w:tblPr>
        <w:tblW w:type="dxa" w:w="14910"/>
        <w:jc w:val="left"/>
        <w:tblLayout w:type="fixed"/>
        <w:tblLook w:firstRow="1" w:lastRow="0" w:firstColumn="0" w:lastColumn="0" w:noHBand="0" w:noVBand="0" w:val="0020"/>
      </w:tblPr>
      <w:tblGrid>
        <w:gridCol w:w="1491"/>
        <w:gridCol w:w="1491"/>
        <w:gridCol w:w="1491"/>
        <w:gridCol w:w="1491"/>
        <w:gridCol w:w="1491"/>
        <w:gridCol w:w="1491"/>
        <w:gridCol w:w="1491"/>
        <w:gridCol w:w="1491"/>
        <w:gridCol w:w="1491"/>
        <w:gridCol w:w="1491"/>
      </w:tblGrid>
      <w:tr>
        <w:trPr>
          <w:tblHeader w:val="on"/>
        </w:trPr>
        <w:tc>
          <w:tcPr>
            <w:tcW w:type="dxa" w:w="1491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  <w:t xml:space="preserve">设置</w:t>
            </w:r>
          </w:p>
        </w:tc>
        <w:tc>
          <w:tcPr>
            <w:tcW w:type="dxa" w:w="1491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  <w:t xml:space="preserve">定位F1</w:t>
            </w:r>
          </w:p>
        </w:tc>
        <w:tc>
          <w:tcPr>
            <w:tcW w:type="dxa" w:w="1491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  <w:t xml:space="preserve">分类F1</w:t>
            </w:r>
          </w:p>
        </w:tc>
        <w:tc>
          <w:tcPr>
            <w:tcW w:type="dxa" w:w="1491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  <w:t xml:space="preserve">OA</w:t>
            </w:r>
          </w:p>
        </w:tc>
        <w:tc>
          <w:tcPr>
            <w:tcW w:type="dxa" w:w="1491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  <w:t xml:space="preserve">四类mIoU</w:t>
            </w:r>
          </w:p>
        </w:tc>
        <w:tc>
          <w:tcPr>
            <w:tcW w:type="dxa" w:w="1491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  <w:t xml:space="preserve">前景mIoU</w:t>
            </w:r>
          </w:p>
        </w:tc>
        <w:tc>
          <w:tcPr>
            <w:tcW w:type="dxa" w:w="1491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  <w:t xml:space="preserve">背景IoU</w:t>
            </w:r>
          </w:p>
        </w:tc>
        <w:tc>
          <w:tcPr>
            <w:tcW w:type="dxa" w:w="1491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  <w:t xml:space="preserve">完好IoU</w:t>
            </w:r>
          </w:p>
        </w:tc>
        <w:tc>
          <w:tcPr>
            <w:tcW w:type="dxa" w:w="1491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  <w:t xml:space="preserve">受损IoU</w:t>
            </w:r>
          </w:p>
        </w:tc>
        <w:tc>
          <w:tcPr>
            <w:tcW w:type="dxa" w:w="1491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  <w:t xml:space="preserve">毁坏IoU</w:t>
            </w:r>
          </w:p>
        </w:tc>
      </w:tr>
      <w:tr>
        <w:tc>
          <w:tcPr>
            <w:tcW w:type="dxa" w:w="1491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原始A1参考</w:t>
            </w:r>
          </w:p>
        </w:tc>
        <w:tc>
          <w:tcPr>
            <w:tcW w:type="dxa" w:w="1491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491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491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491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491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491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491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491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491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</w:tr>
      <w:tr>
        <w:tc>
          <w:tcPr>
            <w:tcW w:type="dxa" w:w="1491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J0 同预算像素读出</w:t>
            </w:r>
          </w:p>
        </w:tc>
        <w:tc>
          <w:tcPr>
            <w:tcW w:type="dxa" w:w="1491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491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491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491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491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491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491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491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491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</w:tr>
      <w:tr>
        <w:tc>
          <w:tcPr>
            <w:tcW w:type="dxa" w:w="1491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Jcur 当前区域直接回投</w:t>
            </w:r>
          </w:p>
        </w:tc>
        <w:tc>
          <w:tcPr>
            <w:tcW w:type="dxa" w:w="1491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491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491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491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491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491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491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491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491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</w:tr>
      <w:tr>
        <w:tc>
          <w:tcPr>
            <w:tcW w:type="dxa" w:w="1491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Jslot 当前区域+参数化空支持</w:t>
            </w:r>
          </w:p>
        </w:tc>
        <w:tc>
          <w:tcPr>
            <w:tcW w:type="dxa" w:w="1491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491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491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491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491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491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491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491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491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</w:tr>
      <w:tr>
        <w:tc>
          <w:tcPr>
            <w:tcW w:type="dxa" w:w="1491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Jcos 原始余弦真实支持</w:t>
            </w:r>
          </w:p>
        </w:tc>
        <w:tc>
          <w:tcPr>
            <w:tcW w:type="dxa" w:w="1491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491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491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491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491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491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491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491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491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</w:tr>
      <w:tr>
        <w:tc>
          <w:tcPr>
            <w:tcW w:type="dxa" w:w="1491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Jmetric 学习排序真实支持</w:t>
            </w:r>
          </w:p>
        </w:tc>
        <w:tc>
          <w:tcPr>
            <w:tcW w:type="dxa" w:w="1491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491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491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491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491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491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491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491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491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</w:tr>
      <w:tr>
        <w:tc>
          <w:tcPr>
            <w:tcW w:type="dxa" w:w="1491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同协议公开强基线/重训</w:t>
            </w:r>
          </w:p>
        </w:tc>
        <w:tc>
          <w:tcPr>
            <w:tcW w:type="dxa" w:w="1491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491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491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491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491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491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491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491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491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</w:tr>
    </w:tbl>
    <w:p>
      <w:pPr>
        <w:pStyle w:val="BodyText"/>
      </w:pPr>
      <w:r>
        <w:t xml:space="preserve">J0控制额外像素读出训练预算，不自动控制区域模块或Reader容量。若需要直接声称容量匹配，应增加活跃参数、计算和瓶颈接近的像素MLP，并实测参数量。Jslot保留Reader和可学习槽，主要控制读取器结构与全局可学习先验。</w:t>
      </w:r>
    </w:p>
    <w:p>
      <w:pPr>
        <w:pStyle w:val="BodyText"/>
      </w:pPr>
      <w:r>
        <w:t xml:space="preserve">公开方法数值、基础A1和本文模块结果应分组说明来源；不能把公开基线到最终模型的全部差值归因于Memory。</w:t>
      </w:r>
    </w:p>
    <w:bookmarkEnd w:id="26"/>
    <w:bookmarkStart w:id="29" w:name="表2m1m2二因素主实验"/>
    <w:p>
      <w:pPr>
        <w:pStyle w:val="Heading2"/>
      </w:pPr>
      <w:r>
        <w:t xml:space="preserve">6 表2：M1×M2二因素主实验</w:t>
      </w:r>
    </w:p>
    <w:p>
      <w:pPr>
        <w:pStyle w:val="FirstParagraph"/>
      </w:pPr>
      <w:r>
        <w:t xml:space="preserve">先关闭真实历史支持。各结构变体使用同一形式的“当前T回投+像素”头，避免支持库及Reader差异掩盖区域机制。</w:t>
      </w:r>
    </w:p>
    <w:tbl>
      <w:tblPr>
        <w:tblW w:type="dxa" w:w="14910"/>
        <w:jc w:val="left"/>
        <w:tblLayout w:type="fixed"/>
        <w:tblLook w:firstRow="1" w:lastRow="0" w:firstColumn="0" w:lastColumn="0" w:noHBand="0" w:noVBand="0" w:val="0020"/>
      </w:tblPr>
      <w:tblGrid>
        <w:gridCol w:w="1657"/>
        <w:gridCol w:w="1657"/>
        <w:gridCol w:w="1657"/>
        <w:gridCol w:w="1657"/>
        <w:gridCol w:w="1657"/>
        <w:gridCol w:w="1657"/>
        <w:gridCol w:w="1657"/>
        <w:gridCol w:w="1657"/>
        <w:gridCol w:w="1657"/>
      </w:tblGrid>
      <w:tr>
        <w:trPr>
          <w:tblHeader w:val="on"/>
        </w:trPr>
        <w:tc>
          <w:tcPr>
            <w:tcW w:type="dxa" w:w="1657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  <w:t xml:space="preserve">ID</w:t>
            </w:r>
          </w:p>
        </w:tc>
        <w:tc>
          <w:tcPr>
            <w:tcW w:type="dxa" w:w="1657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  <w:t xml:space="preserve">建筑相容项进入Q</w:t>
            </w:r>
          </w:p>
        </w:tc>
        <w:tc>
          <w:tcPr>
            <w:tcW w:type="dxa" w:w="1657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  <w:t xml:space="preserve">残差Adapter</w:t>
            </w:r>
          </w:p>
        </w:tc>
        <w:tc>
          <w:tcPr>
            <w:tcW w:type="dxa" w:w="1657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  <w:t xml:space="preserve">四类mIoU</w:t>
            </w:r>
          </w:p>
        </w:tc>
        <w:tc>
          <w:tcPr>
            <w:tcW w:type="dxa" w:w="1657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  <w:t xml:space="preserve">前景mIoU</w:t>
            </w:r>
          </w:p>
        </w:tc>
        <w:tc>
          <w:tcPr>
            <w:tcW w:type="dxa" w:w="1657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  <w:t xml:space="preserve">受损IoU</w:t>
            </w:r>
          </w:p>
        </w:tc>
        <w:tc>
          <w:tcPr>
            <w:tcW w:type="dxa" w:w="1657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  <w:t xml:space="preserve">毁坏IoU</w:t>
            </w:r>
          </w:p>
        </w:tc>
        <w:tc>
          <w:tcPr>
            <w:tcW w:type="dxa" w:w="1657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  <w:t xml:space="preserve">区域混合度</w:t>
            </w:r>
          </w:p>
        </w:tc>
        <w:tc>
          <w:tcPr>
            <w:tcW w:type="dxa" w:w="1657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  <w:t xml:space="preserve">边界错误率</w:t>
            </w:r>
          </w:p>
        </w:tc>
      </w:tr>
      <w:tr>
        <w:tc>
          <w:tcPr>
            <w:tcW w:type="dxa" w:w="165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S00</w:t>
            </w:r>
          </w:p>
        </w:tc>
        <w:tc>
          <w:tcPr>
            <w:tcW w:type="dxa" w:w="165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关</w:t>
            </w:r>
          </w:p>
        </w:tc>
        <w:tc>
          <w:tcPr>
            <w:tcW w:type="dxa" w:w="165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无；保留基础内容投影</w:t>
            </w:r>
          </w:p>
        </w:tc>
        <w:tc>
          <w:tcPr>
            <w:tcW w:type="dxa" w:w="165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65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65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65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65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65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</w:tr>
      <w:tr>
        <w:tc>
          <w:tcPr>
            <w:tcW w:type="dxa" w:w="165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S10</w:t>
            </w:r>
          </w:p>
        </w:tc>
        <w:tc>
          <w:tcPr>
            <w:tcW w:type="dxa" w:w="165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开</w:t>
            </w:r>
          </w:p>
        </w:tc>
        <w:tc>
          <w:tcPr>
            <w:tcW w:type="dxa" w:w="165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无；保留基础内容投影</w:t>
            </w:r>
          </w:p>
        </w:tc>
        <w:tc>
          <w:tcPr>
            <w:tcW w:type="dxa" w:w="165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65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65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65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65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65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</w:tr>
      <w:tr>
        <w:tc>
          <w:tcPr>
            <w:tcW w:type="dxa" w:w="165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S01</w:t>
            </w:r>
          </w:p>
        </w:tc>
        <w:tc>
          <w:tcPr>
            <w:tcW w:type="dxa" w:w="165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关</w:t>
            </w:r>
          </w:p>
        </w:tc>
        <w:tc>
          <w:tcPr>
            <w:tcW w:type="dxa" w:w="165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B、b(Q)、H(Q)</w:t>
            </w:r>
          </w:p>
        </w:tc>
        <w:tc>
          <w:tcPr>
            <w:tcW w:type="dxa" w:w="165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65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65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65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65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65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</w:tr>
      <w:tr>
        <w:tc>
          <w:tcPr>
            <w:tcW w:type="dxa" w:w="165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S11</w:t>
            </w:r>
          </w:p>
        </w:tc>
        <w:tc>
          <w:tcPr>
            <w:tcW w:type="dxa" w:w="165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开</w:t>
            </w:r>
          </w:p>
        </w:tc>
        <w:tc>
          <w:tcPr>
            <w:tcW w:type="dxa" w:w="165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B、b(Q)、H(Q)</w:t>
            </w:r>
          </w:p>
        </w:tc>
        <w:tc>
          <w:tcPr>
            <w:tcW w:type="dxa" w:w="165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65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65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65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65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65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</w:tr>
    </w:tbl>
    <w:p>
      <w:pPr>
        <w:pStyle w:val="BodyText"/>
      </w:pPr>
      <w:r>
        <w:t xml:space="preserve">主要差值：S10−S00表示无残差Adapter时的建筑相容项作用；S11−S01表示有Adapter时的作用；S01−S00与S11−S10表示两种Q条件下Adapter的总作用。交互为S11−S10−S01+S00。它们是重新训练后的配置差值，包含对应结构学习的整体影响。</w:t>
      </w:r>
    </w:p>
    <w:p>
      <w:pPr>
        <w:pStyle w:val="BodyText"/>
      </w:pPr>
      <w:r>
        <w:t xml:space="preserve">Q改变还会影响b(Q)、H(Q)、池化、软几何和回投。不能从该表独立推出“全部收益仅来自边界更准”。另外，无Adapter与有Adapter参数不同，因此下表的普通内容Adapter是结构条件贡献的重要补充，不能省略。</w:t>
      </w:r>
    </w:p>
    <w:bookmarkStart w:id="27" w:name="表3m2条件与有效容量对照"/>
    <w:p>
      <w:pPr>
        <w:pStyle w:val="Heading3"/>
      </w:pPr>
      <w:r>
        <w:t xml:space="preserve">表3：M2条件与有效容量对照</w:t>
      </w:r>
    </w:p>
    <w:p>
      <w:pPr>
        <w:pStyle w:val="FirstParagraph"/>
      </w:pPr>
      <w:r>
        <w:t xml:space="preserve">固定建筑相容项开启；其他路径与S11一致。保留条件接口，删除某项时使用固定值并重新训练，明确哪部分参数仍活跃。</w:t>
      </w:r>
    </w:p>
    <w:tbl>
      <w:tblPr>
        <w:tblW w:type="dxa" w:w="14910"/>
        <w:jc w:val="left"/>
        <w:tblLayout w:type="fixed"/>
        <w:tblLook w:firstRow="1" w:lastRow="0" w:firstColumn="0" w:lastColumn="0" w:noHBand="0" w:noVBand="0" w:val="0020"/>
      </w:tblPr>
      <w:tblGrid>
        <w:gridCol w:w="1864"/>
        <w:gridCol w:w="1864"/>
        <w:gridCol w:w="1864"/>
        <w:gridCol w:w="1864"/>
        <w:gridCol w:w="1864"/>
        <w:gridCol w:w="1864"/>
        <w:gridCol w:w="1864"/>
        <w:gridCol w:w="1864"/>
      </w:tblGrid>
      <w:tr>
        <w:trPr>
          <w:tblHeader w:val="on"/>
        </w:trPr>
        <w:tc>
          <w:tcPr>
            <w:tcW w:type="dxa" w:w="1864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  <w:t xml:space="preserve">ID</w:t>
            </w:r>
          </w:p>
        </w:tc>
        <w:tc>
          <w:tcPr>
            <w:tcW w:type="dxa" w:w="1864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  <w:t xml:space="preserve">实际适配条件</w:t>
            </w:r>
          </w:p>
        </w:tc>
        <w:tc>
          <w:tcPr>
            <w:tcW w:type="dxa" w:w="1864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  <w:t xml:space="preserve">用途</w:t>
            </w:r>
          </w:p>
        </w:tc>
        <w:tc>
          <w:tcPr>
            <w:tcW w:type="dxa" w:w="1864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  <w:t xml:space="preserve">参数量/计算量</w:t>
            </w:r>
          </w:p>
        </w:tc>
        <w:tc>
          <w:tcPr>
            <w:tcW w:type="dxa" w:w="1864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  <w:t xml:space="preserve">前景mIoU</w:t>
            </w:r>
          </w:p>
        </w:tc>
        <w:tc>
          <w:tcPr>
            <w:tcW w:type="dxa" w:w="1864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  <w:t xml:space="preserve">受损IoU</w:t>
            </w:r>
          </w:p>
        </w:tc>
        <w:tc>
          <w:tcPr>
            <w:tcW w:type="dxa" w:w="1864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  <w:t xml:space="preserve">毁坏IoU</w:t>
            </w:r>
          </w:p>
        </w:tc>
        <w:tc>
          <w:tcPr>
            <w:tcW w:type="dxa" w:w="1864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  <w:t xml:space="preserve">边界错误率</w:t>
            </w:r>
          </w:p>
        </w:tc>
      </w:tr>
      <w:tr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S11复用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B+b(Q)+H(Q)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完整条件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</w:tr>
      <w:tr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SC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普通内容；无结构条件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排除只是增加内容处理容量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</w:tr>
      <w:tr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S-B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b(Q)+H(Q)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Adapter显式B通道的增量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</w:tr>
      <w:tr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S-b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B+H(Q)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归属相容变化量的作用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</w:tr>
      <w:tr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S-H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B+b(Q)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归属熵的作用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</w:tr>
    </w:tbl>
    <w:p>
      <w:pPr>
        <w:pStyle w:val="BodyText"/>
      </w:pPr>
      <w:r>
        <w:t xml:space="preserve">若要进一步声称结构条件在两种Q设置下都优于普通内容Adapter，补充“Q关闭+普通内容Adapter”。否则结论限定在当前Q条件。S-B只移除Adapter的显式B输入；B仍影响Q，并可能经b(Q)、H(Q)间接影响适配，因此不能称为删除了全部建筑条件。</w:t>
      </w:r>
    </w:p>
    <w:bookmarkEnd w:id="27"/>
    <w:bookmarkStart w:id="28" w:name="区域诊断怎样算"/>
    <w:p>
      <w:pPr>
        <w:pStyle w:val="Heading3"/>
      </w:pPr>
      <w:r>
        <w:t xml:space="preserve">区域诊断怎样算</w:t>
      </w:r>
    </w:p>
    <w:p>
      <w:pPr>
        <w:pStyle w:val="Compact"/>
        <w:numPr>
          <w:ilvl w:val="0"/>
          <w:numId w:val="1001"/>
        </w:numPr>
      </w:pPr>
      <w:r>
        <w:t xml:space="preserve">用GT只在评价时计算区域四类分布π；建模前向不读取这些标签。</w:t>
      </w:r>
    </w:p>
    <w:p>
      <w:pPr>
        <w:pStyle w:val="Compact"/>
        <w:numPr>
          <w:ilvl w:val="0"/>
          <w:numId w:val="1001"/>
        </w:numPr>
      </w:pPr>
      <w:r>
        <w:t xml:space="preserve">建筑前景比例f=π1+π2+π3；前景内部纯度=max(π1,π2,π3)/f，f=0时单独处理；四类主类纯度=max(π0,π1,π2,π3)。三者不能互换。</w:t>
      </w:r>
    </w:p>
    <w:p>
      <w:pPr>
        <w:pStyle w:val="Compact"/>
        <w:numPr>
          <w:ilvl w:val="0"/>
          <w:numId w:val="1001"/>
        </w:numPr>
      </w:pPr>
      <w:r>
        <w:t xml:space="preserve">报告按区域有效质量加权的4f(1−f)。它衡量建筑/背景混合，并不衡量完好/受损/毁坏之间的混合。前景类别混合另报。</w:t>
      </w:r>
    </w:p>
    <w:p>
      <w:pPr>
        <w:pStyle w:val="Compact"/>
        <w:numPr>
          <w:ilvl w:val="0"/>
          <w:numId w:val="1001"/>
        </w:numPr>
      </w:pPr>
      <w:r>
        <w:t xml:space="preserve">额外报告有效区域数、区域质量和面积分布。把更多小区域造成的纯度改善与真实分类收益分开。</w:t>
      </w:r>
    </w:p>
    <w:p>
      <w:pPr>
        <w:pStyle w:val="Compact"/>
        <w:numPr>
          <w:ilvl w:val="0"/>
          <w:numId w:val="1001"/>
        </w:numPr>
      </w:pPr>
      <w:r>
        <w:t xml:space="preserve">可将f低于0.2、0.2至0.8、至少0.8分组；在高前景组中再按前景内部纯度0.8划分。阈值只是预先指定的评价切片，不是部署筛选规则。</w:t>
      </w:r>
    </w:p>
    <w:p>
      <w:pPr>
        <w:pStyle w:val="Compact"/>
        <w:numPr>
          <w:ilvl w:val="0"/>
          <w:numId w:val="1001"/>
        </w:numPr>
      </w:pPr>
      <w:r>
        <w:t xml:space="preserve">建筑边界带在原图像尺度预先固定，例如GT建筑/背景四邻接边界两侧各扩展2像素；报告边界和非边界错误，并附带组大小。若额外采用Boundary IoU，明确其实现、带宽与类别范围，不能用自定义边界错误率冒称标准Boundary IoU。</w:t>
      </w:r>
    </w:p>
    <w:bookmarkEnd w:id="28"/>
    <w:bookmarkEnd w:id="29"/>
    <w:bookmarkStart w:id="30" w:name="表4信息来源与memory增量"/>
    <w:p>
      <w:pPr>
        <w:pStyle w:val="Heading2"/>
      </w:pPr>
      <w:r>
        <w:t xml:space="preserve">7 表4：信息来源与Memory增量</w:t>
      </w:r>
    </w:p>
    <w:p>
      <w:pPr>
        <w:pStyle w:val="FirstParagraph"/>
      </w:pPr>
      <w:r>
        <w:t xml:space="preserve">固定经Val按统一规则选定的结构编码与库。避免为每个Reader单独挑有利前端。以下是信息来源设计表，实际结果填入表1。</w:t>
      </w:r>
    </w:p>
    <w:tbl>
      <w:tblPr>
        <w:tblW w:type="dxa" w:w="14910"/>
        <w:jc w:val="left"/>
        <w:tblLayout w:type="fixed"/>
        <w:tblLook w:firstRow="1" w:lastRow="0" w:firstColumn="0" w:lastColumn="0" w:noHBand="0" w:noVBand="0" w:val="0020"/>
      </w:tblPr>
      <w:tblGrid>
        <w:gridCol w:w="2485"/>
        <w:gridCol w:w="2485"/>
        <w:gridCol w:w="2485"/>
        <w:gridCol w:w="2485"/>
        <w:gridCol w:w="2485"/>
        <w:gridCol w:w="2485"/>
      </w:tblGrid>
      <w:tr>
        <w:trPr>
          <w:tblHeader w:val="on"/>
        </w:trPr>
        <w:tc>
          <w:tcPr>
            <w:tcW w:type="dxa" w:w="2485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ID</w:t>
            </w:r>
          </w:p>
        </w:tc>
        <w:tc>
          <w:tcPr>
            <w:tcW w:type="dxa" w:w="2485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当前区域T</w:t>
            </w:r>
          </w:p>
        </w:tc>
        <w:tc>
          <w:tcPr>
            <w:tcW w:type="dxa" w:w="2485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Reader</w:t>
            </w:r>
          </w:p>
        </w:tc>
        <w:tc>
          <w:tcPr>
            <w:tcW w:type="dxa" w:w="2485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支持来源</w:t>
            </w:r>
          </w:p>
        </w:tc>
        <w:tc>
          <w:tcPr>
            <w:tcW w:type="dxa" w:w="2485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主要比较</w:t>
            </w:r>
          </w:p>
        </w:tc>
        <w:tc>
          <w:tcPr>
            <w:tcW w:type="dxa" w:w="2485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可以解释什么</w:t>
            </w:r>
          </w:p>
        </w:tc>
      </w:tr>
      <w:tr>
        <w:tc>
          <w:tcPr>
            <w:tcW w:type="dxa" w:w="248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J0</w:t>
            </w:r>
          </w:p>
        </w:tc>
        <w:tc>
          <w:tcPr>
            <w:tcW w:type="dxa" w:w="248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不使用</w:t>
            </w:r>
          </w:p>
        </w:tc>
        <w:tc>
          <w:tcPr>
            <w:tcW w:type="dxa" w:w="248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无</w:t>
            </w:r>
          </w:p>
        </w:tc>
        <w:tc>
          <w:tcPr>
            <w:tcW w:type="dxa" w:w="248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无</w:t>
            </w:r>
          </w:p>
        </w:tc>
        <w:tc>
          <w:tcPr>
            <w:tcW w:type="dxa" w:w="248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对原始A1</w:t>
            </w:r>
          </w:p>
        </w:tc>
        <w:tc>
          <w:tcPr>
            <w:tcW w:type="dxa" w:w="248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额外像素读出训练是否改变结果</w:t>
            </w:r>
          </w:p>
        </w:tc>
      </w:tr>
      <w:tr>
        <w:tc>
          <w:tcPr>
            <w:tcW w:type="dxa" w:w="248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Jcur</w:t>
            </w:r>
          </w:p>
        </w:tc>
        <w:tc>
          <w:tcPr>
            <w:tcW w:type="dxa" w:w="248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使用</w:t>
            </w:r>
          </w:p>
        </w:tc>
        <w:tc>
          <w:tcPr>
            <w:tcW w:type="dxa" w:w="248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无</w:t>
            </w:r>
          </w:p>
        </w:tc>
        <w:tc>
          <w:tcPr>
            <w:tcW w:type="dxa" w:w="248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无</w:t>
            </w:r>
          </w:p>
        </w:tc>
        <w:tc>
          <w:tcPr>
            <w:tcW w:type="dxa" w:w="248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对J0</w:t>
            </w:r>
          </w:p>
        </w:tc>
        <w:tc>
          <w:tcPr>
            <w:tcW w:type="dxa" w:w="248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当前区域上下文的整体作用；不是纯容量作用</w:t>
            </w:r>
          </w:p>
        </w:tc>
      </w:tr>
      <w:tr>
        <w:tc>
          <w:tcPr>
            <w:tcW w:type="dxa" w:w="248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Jslot</w:t>
            </w:r>
          </w:p>
        </w:tc>
        <w:tc>
          <w:tcPr>
            <w:tcW w:type="dxa" w:w="248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使用</w:t>
            </w:r>
          </w:p>
        </w:tc>
        <w:tc>
          <w:tcPr>
            <w:tcW w:type="dxa" w:w="248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有</w:t>
            </w:r>
          </w:p>
        </w:tc>
        <w:tc>
          <w:tcPr>
            <w:tcW w:type="dxa" w:w="248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K个可学习槽</w:t>
            </w:r>
          </w:p>
        </w:tc>
        <w:tc>
          <w:tcPr>
            <w:tcW w:type="dxa" w:w="248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对Jcur</w:t>
            </w:r>
          </w:p>
        </w:tc>
        <w:tc>
          <w:tcPr>
            <w:tcW w:type="dxa" w:w="248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Reader及参数化先验带来的整体变化</w:t>
            </w:r>
          </w:p>
        </w:tc>
      </w:tr>
      <w:tr>
        <w:tc>
          <w:tcPr>
            <w:tcW w:type="dxa" w:w="248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Jcos</w:t>
            </w:r>
          </w:p>
        </w:tc>
        <w:tc>
          <w:tcPr>
            <w:tcW w:type="dxa" w:w="248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使用</w:t>
            </w:r>
          </w:p>
        </w:tc>
        <w:tc>
          <w:tcPr>
            <w:tcW w:type="dxa" w:w="248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有</w:t>
            </w:r>
          </w:p>
        </w:tc>
        <w:tc>
          <w:tcPr>
            <w:tcW w:type="dxa" w:w="248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固定库原始余弦Top-K</w:t>
            </w:r>
          </w:p>
        </w:tc>
        <w:tc>
          <w:tcPr>
            <w:tcW w:type="dxa" w:w="248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对Jslot</w:t>
            </w:r>
          </w:p>
        </w:tc>
        <w:tc>
          <w:tcPr>
            <w:tcW w:type="dxa" w:w="248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真实训练案例相对空支持的增量</w:t>
            </w:r>
          </w:p>
        </w:tc>
      </w:tr>
      <w:tr>
        <w:tc>
          <w:tcPr>
            <w:tcW w:type="dxa" w:w="248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Jmetric</w:t>
            </w:r>
          </w:p>
        </w:tc>
        <w:tc>
          <w:tcPr>
            <w:tcW w:type="dxa" w:w="248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使用</w:t>
            </w:r>
          </w:p>
        </w:tc>
        <w:tc>
          <w:tcPr>
            <w:tcW w:type="dxa" w:w="248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有</w:t>
            </w:r>
          </w:p>
        </w:tc>
        <w:tc>
          <w:tcPr>
            <w:tcW w:type="dxa" w:w="248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同库学习排序Top-K</w:t>
            </w:r>
          </w:p>
        </w:tc>
        <w:tc>
          <w:tcPr>
            <w:tcW w:type="dxa" w:w="248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对Jcos</w:t>
            </w:r>
          </w:p>
        </w:tc>
        <w:tc>
          <w:tcPr>
            <w:tcW w:type="dxa" w:w="248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完整学习排序配置变化；含Reader适应性</w:t>
            </w:r>
          </w:p>
        </w:tc>
      </w:tr>
    </w:tbl>
    <w:p>
      <w:pPr>
        <w:pStyle w:val="BodyText"/>
      </w:pPr>
      <w:r>
        <w:t xml:space="preserve">Jcur可使用表2/3选定结构的快照，但只有区域快照、冻结状态、头初始化、头训练预算和选型规则全部一致时，才能直接复用结果。区域前端训练时的辅助头不自动等同于冻结前端后的Jcur联合读出。Jslot不是“没有任何先验”的模型；可学习槽可能储存全局训练经验。</w:t>
      </w:r>
    </w:p>
    <w:bookmarkEnd w:id="30"/>
    <w:bookmarkStart w:id="32" w:name="表5排序训练与检索相关性"/>
    <w:p>
      <w:pPr>
        <w:pStyle w:val="Heading2"/>
      </w:pPr>
      <w:r>
        <w:t xml:space="preserve">8 表5：排序训练与检索相关性</w:t>
      </w:r>
    </w:p>
    <w:tbl>
      <w:tblPr>
        <w:tblW w:type="dxa" w:w="14910"/>
        <w:jc w:val="left"/>
        <w:tblLayout w:type="fixed"/>
        <w:tblLook w:firstRow="1" w:lastRow="0" w:firstColumn="0" w:lastColumn="0" w:noHBand="0" w:noVBand="0" w:val="0020"/>
      </w:tblPr>
      <w:tblGrid>
        <w:gridCol w:w="1864"/>
        <w:gridCol w:w="1864"/>
        <w:gridCol w:w="1864"/>
        <w:gridCol w:w="1864"/>
        <w:gridCol w:w="1864"/>
        <w:gridCol w:w="1864"/>
        <w:gridCol w:w="1864"/>
        <w:gridCol w:w="1864"/>
      </w:tblGrid>
      <w:tr>
        <w:trPr>
          <w:tblHeader w:val="on"/>
        </w:trPr>
        <w:tc>
          <w:tcPr>
            <w:tcW w:type="dxa" w:w="1864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  <w:t xml:space="preserve">ID</w:t>
            </w:r>
          </w:p>
        </w:tc>
        <w:tc>
          <w:tcPr>
            <w:tcW w:type="dxa" w:w="1864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  <w:t xml:space="preserve">投影学习</w:t>
            </w:r>
          </w:p>
        </w:tc>
        <w:tc>
          <w:tcPr>
            <w:tcW w:type="dxa" w:w="1864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  <w:t xml:space="preserve">训练配对</w:t>
            </w:r>
          </w:p>
        </w:tc>
        <w:tc>
          <w:tcPr>
            <w:tcW w:type="dxa" w:w="1864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  <w:t xml:space="preserve">评价候选规则</w:t>
            </w:r>
          </w:p>
        </w:tc>
        <w:tc>
          <w:tcPr>
            <w:tcW w:type="dxa" w:w="1864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  <w:t xml:space="preserve">宏平均P@K</w:t>
            </w:r>
          </w:p>
        </w:tc>
        <w:tc>
          <w:tcPr>
            <w:tcW w:type="dxa" w:w="1864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  <w:t xml:space="preserve">宏平均软组成相关度</w:t>
            </w:r>
          </w:p>
        </w:tc>
        <w:tc>
          <w:tcPr>
            <w:tcW w:type="dxa" w:w="1864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  <w:t xml:space="preserve">有效K覆盖率</w:t>
            </w:r>
          </w:p>
        </w:tc>
        <w:tc>
          <w:tcPr>
            <w:tcW w:type="dxa" w:w="1864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  <w:t xml:space="preserve">可用同类支持覆盖率</w:t>
            </w:r>
          </w:p>
        </w:tc>
      </w:tr>
      <w:tr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Rcos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不学习；恒等投影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无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排除同事件和同图像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</w:tr>
      <w:tr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Rall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同损失、同预算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放宽事件限制；排除自身和同图像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与Rcos相同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</w:tr>
      <w:tr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Rcross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同损失、同预算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只用跨事件正负对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与Rcos相同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</w:tr>
    </w:tbl>
    <w:p>
      <w:pPr>
        <w:pStyle w:val="BodyText"/>
      </w:pPr>
      <w:r>
        <w:t xml:space="preserve">Rall与Rcross都排除锚点自身及同图像记录，二者只改变是否要求跨事件，避免把同图像自匹配捷径混入对照。两者匹配有效锚点数、每类采样和正负候选规模；仅匹配迭代次数不足以排除训练样本量差异。若无法完全匹配，记录并缩小归因范围。</w:t>
      </w:r>
    </w:p>
    <w:p>
      <w:pPr>
        <w:pStyle w:val="BodyText"/>
      </w:pPr>
      <w:r>
        <w:t xml:space="preserve">高纯度查询的P@K可定义为返回支持主类与查询主类相同的比例，必须同时报告四个查询类别，不能只报背景占多数的总体值。混合查询的软组成相关度可定义为πquery与邻居πsupport的内积，再对邻居平均；该量是标签组成相容性，不是物理损毁相似度或检索准确率。不得静默去背景再归一化；若另报前景条件相关度，必须同时给出前景质量与分母。</w:t>
      </w:r>
    </w:p>
    <w:p>
      <w:pPr>
        <w:pStyle w:val="BodyText"/>
      </w:pPr>
      <w:r>
        <w:t xml:space="preserve">有效K覆盖率表示是否返回足够候选；可用同类支持覆盖率表示候选池是否存在跨事件同类证据；实际相关度表示是否真的找到了它。三者分开。事件来源覆盖、标签主类条数均衡也不等于有效损毁证据均衡。</w:t>
      </w:r>
    </w:p>
    <w:bookmarkStart w:id="31" w:name="表6固定reader仅改变邻居id"/>
    <w:p>
      <w:pPr>
        <w:pStyle w:val="Heading3"/>
      </w:pPr>
      <w:r>
        <w:t xml:space="preserve">表6：固定Reader，仅改变邻居ID</w:t>
      </w:r>
    </w:p>
    <w:tbl>
      <w:tblPr>
        <w:tblW w:type="dxa" w:w="14910"/>
        <w:jc w:val="left"/>
        <w:tblLayout w:type="fixed"/>
        <w:tblLook w:firstRow="1" w:lastRow="0" w:firstColumn="0" w:lastColumn="0" w:noHBand="0" w:noVBand="0" w:val="0020"/>
      </w:tblPr>
      <w:tblGrid>
        <w:gridCol w:w="1864"/>
        <w:gridCol w:w="1864"/>
        <w:gridCol w:w="1864"/>
        <w:gridCol w:w="1864"/>
        <w:gridCol w:w="1864"/>
        <w:gridCol w:w="1864"/>
        <w:gridCol w:w="1864"/>
        <w:gridCol w:w="1864"/>
      </w:tblGrid>
      <w:tr>
        <w:trPr>
          <w:tblHeader w:val="on"/>
        </w:trPr>
        <w:tc>
          <w:tcPr>
            <w:tcW w:type="dxa" w:w="1864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  <w:t xml:space="preserve">ID</w:t>
            </w:r>
          </w:p>
        </w:tc>
        <w:tc>
          <w:tcPr>
            <w:tcW w:type="dxa" w:w="1864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  <w:t xml:space="preserve">Reader/联合头权重</w:t>
            </w:r>
          </w:p>
        </w:tc>
        <w:tc>
          <w:tcPr>
            <w:tcW w:type="dxa" w:w="1864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  <w:t xml:space="preserve">评价邻居</w:t>
            </w:r>
          </w:p>
        </w:tc>
        <w:tc>
          <w:tcPr>
            <w:tcW w:type="dxa" w:w="1864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  <w:t xml:space="preserve">库、内容、K、候选</w:t>
            </w:r>
          </w:p>
        </w:tc>
        <w:tc>
          <w:tcPr>
            <w:tcW w:type="dxa" w:w="1864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  <w:t xml:space="preserve">四类mIoU</w:t>
            </w:r>
          </w:p>
        </w:tc>
        <w:tc>
          <w:tcPr>
            <w:tcW w:type="dxa" w:w="1864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  <w:t xml:space="preserve">前景mIoU</w:t>
            </w:r>
          </w:p>
        </w:tc>
        <w:tc>
          <w:tcPr>
            <w:tcW w:type="dxa" w:w="1864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  <w:t xml:space="preserve">受损IoU</w:t>
            </w:r>
          </w:p>
        </w:tc>
        <w:tc>
          <w:tcPr>
            <w:tcW w:type="dxa" w:w="1864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  <w:t xml:space="preserve">毁坏IoU</w:t>
            </w:r>
          </w:p>
        </w:tc>
      </w:tr>
      <w:tr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Fcos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同一份共同Reader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原始余弦ID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全部固定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</w:tr>
      <w:tr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Fmetric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同一份共同Reader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跨事件投影ID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全部固定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</w:tr>
    </w:tbl>
    <w:p>
      <w:pPr>
        <w:pStyle w:val="BodyText"/>
      </w:pPr>
      <w:r>
        <w:t xml:space="preserve">共同Reader在Train阶段用预先固定比例混合两种邻居来源训练，不能根据评测GT决定使用哪种邻居。其参数与分类头在两行之间完全相同；支持特征、软标签及元数据均由被选ID从原始库读取。</w:t>
      </w:r>
    </w:p>
    <w:p>
      <w:pPr>
        <w:pStyle w:val="BodyText"/>
      </w:pPr>
      <w:r>
        <w:t xml:space="preserve">若采用分别训练的Reader，至少补下列交叉评价：余弦训练→余弦评价、余弦训练→投影评价、投影训练→余弦评价、投影训练→投影评价。它能显示Reader的邻居分布适应性，但仍需如实说明分布变化。</w:t>
      </w:r>
    </w:p>
    <w:bookmarkEnd w:id="31"/>
    <w:bookmarkEnd w:id="32"/>
    <w:bookmarkStart w:id="35" w:name="表7reader究竟读取了什么"/>
    <w:p>
      <w:pPr>
        <w:pStyle w:val="Heading2"/>
      </w:pPr>
      <w:r>
        <w:t xml:space="preserve">9 表7：Reader究竟读取了什么</w:t>
      </w:r>
    </w:p>
    <w:bookmarkStart w:id="33" w:name="重新训练的输入消融检验信息增量"/>
    <w:p>
      <w:pPr>
        <w:pStyle w:val="Heading3"/>
      </w:pPr>
      <w:r>
        <w:t xml:space="preserve">重新训练的输入消融：检验信息增量</w:t>
      </w:r>
    </w:p>
    <w:tbl>
      <w:tblPr>
        <w:tblW w:type="dxa" w:w="14910"/>
        <w:jc w:val="left"/>
        <w:tblLayout w:type="fixed"/>
        <w:tblLook w:firstRow="1" w:lastRow="0" w:firstColumn="0" w:lastColumn="0" w:noHBand="0" w:noVBand="0" w:val="0020"/>
      </w:tblPr>
      <w:tblGrid>
        <w:gridCol w:w="2130"/>
        <w:gridCol w:w="2130"/>
        <w:gridCol w:w="2130"/>
        <w:gridCol w:w="2130"/>
        <w:gridCol w:w="2130"/>
        <w:gridCol w:w="2130"/>
        <w:gridCol w:w="2130"/>
      </w:tblGrid>
      <w:tr>
        <w:trPr>
          <w:tblHeader w:val="on"/>
        </w:trPr>
        <w:tc>
          <w:tcPr>
            <w:tcW w:type="dxa" w:w="2130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ID</w:t>
            </w:r>
          </w:p>
        </w:tc>
        <w:tc>
          <w:tcPr>
            <w:tcW w:type="dxa" w:w="2130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支持信息</w:t>
            </w:r>
          </w:p>
        </w:tc>
        <w:tc>
          <w:tcPr>
            <w:tcW w:type="dxa" w:w="2130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邻居ID</w:t>
            </w:r>
          </w:p>
        </w:tc>
        <w:tc>
          <w:tcPr>
            <w:tcW w:type="dxa" w:w="2130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操作阶段</w:t>
            </w:r>
          </w:p>
        </w:tc>
        <w:tc>
          <w:tcPr>
            <w:tcW w:type="dxa" w:w="2130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四类mIoU</w:t>
            </w:r>
          </w:p>
        </w:tc>
        <w:tc>
          <w:tcPr>
            <w:tcW w:type="dxa" w:w="2130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前景mIoU</w:t>
            </w:r>
          </w:p>
        </w:tc>
        <w:tc>
          <w:tcPr>
            <w:tcW w:type="dxa" w:w="2130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受损/毁坏IoU</w:t>
            </w:r>
          </w:p>
        </w:tc>
      </w:tr>
      <w:tr>
        <w:tc>
          <w:tcPr>
            <w:tcW w:type="dxa" w:w="213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V-full</w:t>
            </w:r>
          </w:p>
        </w:tc>
        <w:tc>
          <w:tcPr>
            <w:tcW w:type="dxa" w:w="213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原特征+软标签+元数据</w:t>
            </w:r>
          </w:p>
        </w:tc>
        <w:tc>
          <w:tcPr>
            <w:tcW w:type="dxa" w:w="213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固定</w:t>
            </w:r>
          </w:p>
        </w:tc>
        <w:tc>
          <w:tcPr>
            <w:tcW w:type="dxa" w:w="213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训练与评价一致</w:t>
            </w:r>
          </w:p>
        </w:tc>
        <w:tc>
          <w:tcPr>
            <w:tcW w:type="dxa" w:w="213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待填</w:t>
            </w:r>
          </w:p>
        </w:tc>
        <w:tc>
          <w:tcPr>
            <w:tcW w:type="dxa" w:w="213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待填</w:t>
            </w:r>
          </w:p>
        </w:tc>
        <w:tc>
          <w:tcPr>
            <w:tcW w:type="dxa" w:w="213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待填</w:t>
            </w:r>
          </w:p>
        </w:tc>
      </w:tr>
      <w:tr>
        <w:tc>
          <w:tcPr>
            <w:tcW w:type="dxa" w:w="213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V-hard</w:t>
            </w:r>
          </w:p>
        </w:tc>
        <w:tc>
          <w:tcPr>
            <w:tcW w:type="dxa" w:w="213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原特征+多数类标签+元数据</w:t>
            </w:r>
          </w:p>
        </w:tc>
        <w:tc>
          <w:tcPr>
            <w:tcW w:type="dxa" w:w="213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固定</w:t>
            </w:r>
          </w:p>
        </w:tc>
        <w:tc>
          <w:tcPr>
            <w:tcW w:type="dxa" w:w="213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重新训练Reader</w:t>
            </w:r>
          </w:p>
        </w:tc>
        <w:tc>
          <w:tcPr>
            <w:tcW w:type="dxa" w:w="213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待填</w:t>
            </w:r>
          </w:p>
        </w:tc>
        <w:tc>
          <w:tcPr>
            <w:tcW w:type="dxa" w:w="213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待填</w:t>
            </w:r>
          </w:p>
        </w:tc>
        <w:tc>
          <w:tcPr>
            <w:tcW w:type="dxa" w:w="213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待填</w:t>
            </w:r>
          </w:p>
        </w:tc>
      </w:tr>
      <w:tr>
        <w:tc>
          <w:tcPr>
            <w:tcW w:type="dxa" w:w="213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V-nolabel</w:t>
            </w:r>
          </w:p>
        </w:tc>
        <w:tc>
          <w:tcPr>
            <w:tcW w:type="dxa" w:w="213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原特征+元数据</w:t>
            </w:r>
          </w:p>
        </w:tc>
        <w:tc>
          <w:tcPr>
            <w:tcW w:type="dxa" w:w="213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固定</w:t>
            </w:r>
          </w:p>
        </w:tc>
        <w:tc>
          <w:tcPr>
            <w:tcW w:type="dxa" w:w="213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重新训练Reader</w:t>
            </w:r>
          </w:p>
        </w:tc>
        <w:tc>
          <w:tcPr>
            <w:tcW w:type="dxa" w:w="213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待填</w:t>
            </w:r>
          </w:p>
        </w:tc>
        <w:tc>
          <w:tcPr>
            <w:tcW w:type="dxa" w:w="213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待填</w:t>
            </w:r>
          </w:p>
        </w:tc>
        <w:tc>
          <w:tcPr>
            <w:tcW w:type="dxa" w:w="213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待填</w:t>
            </w:r>
          </w:p>
        </w:tc>
      </w:tr>
      <w:tr>
        <w:tc>
          <w:tcPr>
            <w:tcW w:type="dxa" w:w="213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V-nometa</w:t>
            </w:r>
          </w:p>
        </w:tc>
        <w:tc>
          <w:tcPr>
            <w:tcW w:type="dxa" w:w="213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原特征+软标签</w:t>
            </w:r>
          </w:p>
        </w:tc>
        <w:tc>
          <w:tcPr>
            <w:tcW w:type="dxa" w:w="213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固定</w:t>
            </w:r>
          </w:p>
        </w:tc>
        <w:tc>
          <w:tcPr>
            <w:tcW w:type="dxa" w:w="213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重新训练Reader</w:t>
            </w:r>
          </w:p>
        </w:tc>
        <w:tc>
          <w:tcPr>
            <w:tcW w:type="dxa" w:w="213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待填</w:t>
            </w:r>
          </w:p>
        </w:tc>
        <w:tc>
          <w:tcPr>
            <w:tcW w:type="dxa" w:w="213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待填</w:t>
            </w:r>
          </w:p>
        </w:tc>
        <w:tc>
          <w:tcPr>
            <w:tcW w:type="dxa" w:w="213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待填</w:t>
            </w:r>
          </w:p>
        </w:tc>
      </w:tr>
    </w:tbl>
    <w:p>
      <w:pPr>
        <w:pStyle w:val="BodyText"/>
      </w:pPr>
      <w:r>
        <w:t xml:space="preserve">可根据结果补去事件、去灾种、去几何；不必第一轮就做全部排列。若要专门判断支持特征是否有增量，可补标签/元数据保留而内容特征置为固定可学习项的匹配训练对照，明确注意力键和值如何定义，不能只在推理时置零便作因果结论。</w:t>
      </w:r>
    </w:p>
    <w:bookmarkEnd w:id="33"/>
    <w:bookmarkStart w:id="34" w:name="固定权重的推理干预检验依赖与脆弱性"/>
    <w:p>
      <w:pPr>
        <w:pStyle w:val="Heading3"/>
      </w:pPr>
      <w:r>
        <w:t xml:space="preserve">固定权重的推理干预：检验依赖与脆弱性</w:t>
      </w:r>
    </w:p>
    <w:tbl>
      <w:tblPr>
        <w:tblW w:type="dxa" w:w="14910"/>
        <w:jc w:val="left"/>
        <w:tblLayout w:type="fixed"/>
        <w:tblLook w:firstRow="1" w:lastRow="0" w:firstColumn="0" w:lastColumn="0" w:noHBand="0" w:noVBand="0" w:val="0020"/>
      </w:tblPr>
      <w:tblGrid>
        <w:gridCol w:w="3727"/>
        <w:gridCol w:w="3727"/>
        <w:gridCol w:w="3727"/>
        <w:gridCol w:w="3727"/>
      </w:tblGrid>
      <w:tr>
        <w:trPr>
          <w:tblHeader w:val="on"/>
        </w:trPr>
        <w:tc>
          <w:tcPr>
            <w:tcW w:type="dxa" w:w="3727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干预</w:t>
            </w:r>
          </w:p>
        </w:tc>
        <w:tc>
          <w:tcPr>
            <w:tcW w:type="dxa" w:w="3727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保持不变</w:t>
            </w:r>
          </w:p>
        </w:tc>
        <w:tc>
          <w:tcPr>
            <w:tcW w:type="dxa" w:w="3727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改变什么</w:t>
            </w:r>
          </w:p>
        </w:tc>
        <w:tc>
          <w:tcPr>
            <w:tcW w:type="dxa" w:w="3727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必须报告</w:t>
            </w:r>
          </w:p>
        </w:tc>
      </w:tr>
      <w:tr>
        <w:tc>
          <w:tcPr>
            <w:tcW w:type="dxa" w:w="372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随机合格支持</w:t>
            </w:r>
          </w:p>
        </w:tc>
        <w:tc>
          <w:tcPr>
            <w:tcW w:type="dxa" w:w="372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Reader、K、候选排除、原始记录一致性</w:t>
            </w:r>
          </w:p>
        </w:tc>
        <w:tc>
          <w:tcPr>
            <w:tcW w:type="dxa" w:w="372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从同候选池随机挑ID</w:t>
            </w:r>
          </w:p>
        </w:tc>
        <w:tc>
          <w:tcPr>
            <w:tcW w:type="dxa" w:w="372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多次抽样均值/离散度，不能只挑一次</w:t>
            </w:r>
          </w:p>
        </w:tc>
      </w:tr>
      <w:tr>
        <w:tc>
          <w:tcPr>
            <w:tcW w:type="dxa" w:w="372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打乱标签</w:t>
            </w:r>
          </w:p>
        </w:tc>
        <w:tc>
          <w:tcPr>
            <w:tcW w:type="dxa" w:w="372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ID、支持特征、元数据和Reader</w:t>
            </w:r>
          </w:p>
        </w:tc>
        <w:tc>
          <w:tcPr>
            <w:tcW w:type="dxa" w:w="372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在记录之间置换标签向量</w:t>
            </w:r>
          </w:p>
        </w:tc>
        <w:tc>
          <w:tcPr>
            <w:tcW w:type="dxa" w:w="372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保留类别边际分布，记录置换种子</w:t>
            </w:r>
          </w:p>
        </w:tc>
      </w:tr>
      <w:tr>
        <w:tc>
          <w:tcPr>
            <w:tcW w:type="dxa" w:w="372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关闭真实支持</w:t>
            </w:r>
          </w:p>
        </w:tc>
        <w:tc>
          <w:tcPr>
            <w:tcW w:type="dxa" w:w="372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Reader及查询不变</w:t>
            </w:r>
          </w:p>
        </w:tc>
        <w:tc>
          <w:tcPr>
            <w:tcW w:type="dxa" w:w="372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替为预定义空支持或槽位</w:t>
            </w:r>
          </w:p>
        </w:tc>
        <w:tc>
          <w:tcPr>
            <w:tcW w:type="dxa" w:w="372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是否训练见过此情形；否则是分布外破坏</w:t>
            </w:r>
          </w:p>
        </w:tc>
      </w:tr>
    </w:tbl>
    <w:p>
      <w:pPr>
        <w:pStyle w:val="BodyText"/>
      </w:pPr>
      <w:r>
        <w:t xml:space="preserve">推理干预下降说明模型依赖对应输入，不自动证明该信息具有不可替代的训练增量。若随机支持与检索支持相当，需考虑类别先验或容量解释；若打乱标签几乎不影响结果，需缩小“使用历史标签证据”的表述。</w:t>
      </w:r>
    </w:p>
    <w:bookmarkEnd w:id="34"/>
    <w:bookmarkEnd w:id="35"/>
    <w:bookmarkStart w:id="36" w:name="表8事件稳定性与误改"/>
    <w:p>
      <w:pPr>
        <w:pStyle w:val="Heading2"/>
      </w:pPr>
      <w:r>
        <w:t xml:space="preserve">10 表8：事件稳定性与误改</w:t>
      </w:r>
    </w:p>
    <w:tbl>
      <w:tblPr>
        <w:tblW w:type="dxa" w:w="14910"/>
        <w:jc w:val="left"/>
        <w:tblLayout w:type="fixed"/>
        <w:tblLook w:firstRow="1" w:lastRow="0" w:firstColumn="0" w:lastColumn="0" w:noHBand="0" w:noVBand="0" w:val="0020"/>
      </w:tblPr>
      <w:tblGrid>
        <w:gridCol w:w="1864"/>
        <w:gridCol w:w="1864"/>
        <w:gridCol w:w="1864"/>
        <w:gridCol w:w="1864"/>
        <w:gridCol w:w="1864"/>
        <w:gridCol w:w="1864"/>
        <w:gridCol w:w="1864"/>
        <w:gridCol w:w="1864"/>
      </w:tblGrid>
      <w:tr>
        <w:trPr>
          <w:tblHeader w:val="on"/>
        </w:trPr>
        <w:tc>
          <w:tcPr>
            <w:tcW w:type="dxa" w:w="1864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  <w:t xml:space="preserve">事件</w:t>
            </w:r>
          </w:p>
        </w:tc>
        <w:tc>
          <w:tcPr>
            <w:tcW w:type="dxa" w:w="1864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  <w:t xml:space="preserve">查询/图像数</w:t>
            </w:r>
          </w:p>
        </w:tc>
        <w:tc>
          <w:tcPr>
            <w:tcW w:type="dxa" w:w="1864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  <w:t xml:space="preserve">Jcur前景mIoU</w:t>
            </w:r>
          </w:p>
        </w:tc>
        <w:tc>
          <w:tcPr>
            <w:tcW w:type="dxa" w:w="1864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  <w:t xml:space="preserve">Jcos前景mIoU</w:t>
            </w:r>
          </w:p>
        </w:tc>
        <w:tc>
          <w:tcPr>
            <w:tcW w:type="dxa" w:w="1864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  <w:t xml:space="preserve">Jmetric前景mIoU</w:t>
            </w:r>
          </w:p>
        </w:tc>
        <w:tc>
          <w:tcPr>
            <w:tcW w:type="dxa" w:w="1864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  <w:t xml:space="preserve">Fmetric−Fcos</w:t>
            </w:r>
          </w:p>
        </w:tc>
        <w:tc>
          <w:tcPr>
            <w:tcW w:type="dxa" w:w="1864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  <w:t xml:space="preserve">受损救回/误改</w:t>
            </w:r>
          </w:p>
        </w:tc>
        <w:tc>
          <w:tcPr>
            <w:tcW w:type="dxa" w:w="1864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  <w:t xml:space="preserve">毁坏救回/误改</w:t>
            </w:r>
          </w:p>
        </w:tc>
      </w:tr>
      <w:tr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每个实际事件一行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</w:tr>
      <w:tr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事件等权平均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</w:tr>
      <w:tr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全局累计结果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  <w:tc>
          <w:tcPr>
            <w:tcW w:type="dxa" w:w="1864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待填</w:t>
            </w:r>
          </w:p>
        </w:tc>
      </w:tr>
    </w:tbl>
    <w:p>
      <w:pPr>
        <w:pStyle w:val="BodyText"/>
      </w:pPr>
      <w:r>
        <w:t xml:space="preserve">同一图像或事件上的模型差值成对重采样。对全局mIoU，应重采样后累加混淆矩阵再计算，而非平均每张图的IoU。事件宏平均应另算。种子间波动与数据重采样区间分开说明；只有少量种子或14事件时不要宣称细小差值具有普遍显著性。</w:t>
      </w:r>
    </w:p>
    <w:p>
      <w:pPr>
        <w:pStyle w:val="BodyText"/>
      </w:pPr>
      <w:r>
        <w:t xml:space="preserve">若论文使用“未见灾害泛化”</w:t>
      </w:r>
      <w:r>
        <w:t xml:space="preserve">“</w:t>
      </w:r>
      <w:r>
        <w:t xml:space="preserve">事件不变</w:t>
      </w:r>
      <w:r>
        <w:t xml:space="preserve">”</w:t>
      </w:r>
      <w:r>
        <w:t xml:space="preserve">等表述，必须增加官方跨事件/留事件协议：目标事件从主干、区域学习、库、投影和选型中全部排除。仅在检索阶段排除同事件不能满足该主张。</w:t>
      </w:r>
    </w:p>
    <w:bookmarkEnd w:id="36"/>
    <w:bookmarkStart w:id="37" w:name="表9成本与敏感性"/>
    <w:p>
      <w:pPr>
        <w:pStyle w:val="Heading2"/>
      </w:pPr>
      <w:r>
        <w:t xml:space="preserve">11 表9：成本与敏感性</w:t>
      </w:r>
    </w:p>
    <w:tbl>
      <w:tblPr>
        <w:tblW w:type="dxa" w:w="14910"/>
        <w:jc w:val="left"/>
        <w:tblLayout w:type="fixed"/>
        <w:tblLook w:firstRow="1" w:lastRow="0" w:firstColumn="0" w:lastColumn="0" w:noHBand="0" w:noVBand="0" w:val="0020"/>
      </w:tblPr>
      <w:tblGrid>
        <w:gridCol w:w="2130"/>
        <w:gridCol w:w="2130"/>
        <w:gridCol w:w="2130"/>
        <w:gridCol w:w="2130"/>
        <w:gridCol w:w="2130"/>
        <w:gridCol w:w="2130"/>
        <w:gridCol w:w="2130"/>
      </w:tblGrid>
      <w:tr>
        <w:trPr>
          <w:tblHeader w:val="on"/>
        </w:trPr>
        <w:tc>
          <w:tcPr>
            <w:tcW w:type="dxa" w:w="2130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配置</w:t>
            </w:r>
          </w:p>
        </w:tc>
        <w:tc>
          <w:tcPr>
            <w:tcW w:type="dxa" w:w="2130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可训练/总参数量</w:t>
            </w:r>
          </w:p>
        </w:tc>
        <w:tc>
          <w:tcPr>
            <w:tcW w:type="dxa" w:w="2130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一次性建库与拟合时间</w:t>
            </w:r>
          </w:p>
        </w:tc>
        <w:tc>
          <w:tcPr>
            <w:tcW w:type="dxa" w:w="2130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在线延迟/图</w:t>
            </w:r>
          </w:p>
        </w:tc>
        <w:tc>
          <w:tcPr>
            <w:tcW w:type="dxa" w:w="2130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峰值显存</w:t>
            </w:r>
          </w:p>
        </w:tc>
        <w:tc>
          <w:tcPr>
            <w:tcW w:type="dxa" w:w="2130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库条目/来源图像</w:t>
            </w:r>
          </w:p>
        </w:tc>
        <w:tc>
          <w:tcPr>
            <w:tcW w:type="dxa" w:w="2130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库磁盘大小</w:t>
            </w:r>
          </w:p>
        </w:tc>
      </w:tr>
      <w:tr>
        <w:tc>
          <w:tcPr>
            <w:tcW w:type="dxa" w:w="213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A1</w:t>
            </w:r>
          </w:p>
        </w:tc>
        <w:tc>
          <w:tcPr>
            <w:tcW w:type="dxa" w:w="213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待填</w:t>
            </w:r>
          </w:p>
        </w:tc>
        <w:tc>
          <w:tcPr>
            <w:tcW w:type="dxa" w:w="213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待填</w:t>
            </w:r>
          </w:p>
        </w:tc>
        <w:tc>
          <w:tcPr>
            <w:tcW w:type="dxa" w:w="213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待填</w:t>
            </w:r>
          </w:p>
        </w:tc>
        <w:tc>
          <w:tcPr>
            <w:tcW w:type="dxa" w:w="213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待填</w:t>
            </w:r>
          </w:p>
        </w:tc>
        <w:tc>
          <w:tcPr>
            <w:tcW w:type="dxa" w:w="213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不适用</w:t>
            </w:r>
          </w:p>
        </w:tc>
        <w:tc>
          <w:tcPr>
            <w:tcW w:type="dxa" w:w="213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不适用</w:t>
            </w:r>
          </w:p>
        </w:tc>
      </w:tr>
      <w:tr>
        <w:tc>
          <w:tcPr>
            <w:tcW w:type="dxa" w:w="213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当前区域编码+联合头</w:t>
            </w:r>
          </w:p>
        </w:tc>
        <w:tc>
          <w:tcPr>
            <w:tcW w:type="dxa" w:w="213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待填</w:t>
            </w:r>
          </w:p>
        </w:tc>
        <w:tc>
          <w:tcPr>
            <w:tcW w:type="dxa" w:w="213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待填</w:t>
            </w:r>
          </w:p>
        </w:tc>
        <w:tc>
          <w:tcPr>
            <w:tcW w:type="dxa" w:w="213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待填</w:t>
            </w:r>
          </w:p>
        </w:tc>
        <w:tc>
          <w:tcPr>
            <w:tcW w:type="dxa" w:w="213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待填</w:t>
            </w:r>
          </w:p>
        </w:tc>
        <w:tc>
          <w:tcPr>
            <w:tcW w:type="dxa" w:w="213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不适用</w:t>
            </w:r>
          </w:p>
        </w:tc>
        <w:tc>
          <w:tcPr>
            <w:tcW w:type="dxa" w:w="213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不适用</w:t>
            </w:r>
          </w:p>
        </w:tc>
      </w:tr>
      <w:tr>
        <w:tc>
          <w:tcPr>
            <w:tcW w:type="dxa" w:w="213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余弦Memory</w:t>
            </w:r>
          </w:p>
        </w:tc>
        <w:tc>
          <w:tcPr>
            <w:tcW w:type="dxa" w:w="213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待填</w:t>
            </w:r>
          </w:p>
        </w:tc>
        <w:tc>
          <w:tcPr>
            <w:tcW w:type="dxa" w:w="213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待填</w:t>
            </w:r>
          </w:p>
        </w:tc>
        <w:tc>
          <w:tcPr>
            <w:tcW w:type="dxa" w:w="213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待填</w:t>
            </w:r>
          </w:p>
        </w:tc>
        <w:tc>
          <w:tcPr>
            <w:tcW w:type="dxa" w:w="213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待填</w:t>
            </w:r>
          </w:p>
        </w:tc>
        <w:tc>
          <w:tcPr>
            <w:tcW w:type="dxa" w:w="213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待填</w:t>
            </w:r>
          </w:p>
        </w:tc>
        <w:tc>
          <w:tcPr>
            <w:tcW w:type="dxa" w:w="213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待填</w:t>
            </w:r>
          </w:p>
        </w:tc>
      </w:tr>
      <w:tr>
        <w:tc>
          <w:tcPr>
            <w:tcW w:type="dxa" w:w="213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学习排序Memory</w:t>
            </w:r>
          </w:p>
        </w:tc>
        <w:tc>
          <w:tcPr>
            <w:tcW w:type="dxa" w:w="213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待填</w:t>
            </w:r>
          </w:p>
        </w:tc>
        <w:tc>
          <w:tcPr>
            <w:tcW w:type="dxa" w:w="213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待填</w:t>
            </w:r>
          </w:p>
        </w:tc>
        <w:tc>
          <w:tcPr>
            <w:tcW w:type="dxa" w:w="213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待填</w:t>
            </w:r>
          </w:p>
        </w:tc>
        <w:tc>
          <w:tcPr>
            <w:tcW w:type="dxa" w:w="213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待填</w:t>
            </w:r>
          </w:p>
        </w:tc>
        <w:tc>
          <w:tcPr>
            <w:tcW w:type="dxa" w:w="213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待填</w:t>
            </w:r>
          </w:p>
        </w:tc>
        <w:tc>
          <w:tcPr>
            <w:tcW w:type="dxa" w:w="213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待填</w:t>
            </w:r>
          </w:p>
        </w:tc>
      </w:tr>
    </w:tbl>
    <w:p>
      <w:pPr>
        <w:pStyle w:val="BodyText"/>
      </w:pPr>
      <w:r>
        <w:t xml:space="preserve">核心成立后，再分别改变K、每事件每类支持上限、纯度阈值或区域预算，一次只改一个变量。不要在每个K下另挑不同基础模型。库抽样重复与模型种子重复是不同随机性。配准扰动若被纳入论文主张，需明确SAR位移、有效交集、插值及填充规则，不能把人工位移实验等同于全部真实配准误差。</w:t>
      </w:r>
    </w:p>
    <w:bookmarkEnd w:id="37"/>
    <w:bookmarkStart w:id="38" w:name="到底要做多少按证据优先不按旧编号追实验"/>
    <w:p>
      <w:pPr>
        <w:pStyle w:val="Heading2"/>
      </w:pPr>
      <w:r>
        <w:t xml:space="preserve">12 到底要做多少：按证据优先，不按旧编号追实验</w:t>
      </w:r>
    </w:p>
    <w:tbl>
      <w:tblPr>
        <w:tblW w:type="dxa" w:w="14910"/>
        <w:jc w:val="left"/>
        <w:tblLayout w:type="fixed"/>
        <w:tblLook w:firstRow="1" w:lastRow="0" w:firstColumn="0" w:lastColumn="0" w:noHBand="0" w:noVBand="0" w:val="0020"/>
      </w:tblPr>
      <w:tblGrid>
        <w:gridCol w:w="3727"/>
        <w:gridCol w:w="3727"/>
        <w:gridCol w:w="3727"/>
        <w:gridCol w:w="3727"/>
      </w:tblGrid>
      <w:tr>
        <w:trPr>
          <w:tblHeader w:val="on"/>
        </w:trPr>
        <w:tc>
          <w:tcPr>
            <w:tcW w:type="dxa" w:w="3727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阶段</w:t>
            </w:r>
          </w:p>
        </w:tc>
        <w:tc>
          <w:tcPr>
            <w:tcW w:type="dxa" w:w="3727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先完成什么</w:t>
            </w:r>
          </w:p>
        </w:tc>
        <w:tc>
          <w:tcPr>
            <w:tcW w:type="dxa" w:w="3727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为何先做</w:t>
            </w:r>
          </w:p>
        </w:tc>
        <w:tc>
          <w:tcPr>
            <w:tcW w:type="dxa" w:w="3727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后续条件</w:t>
            </w:r>
          </w:p>
        </w:tc>
      </w:tr>
      <w:tr>
        <w:tc>
          <w:tcPr>
            <w:tcW w:type="dxa" w:w="372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A</w:t>
            </w:r>
          </w:p>
        </w:tc>
        <w:tc>
          <w:tcPr>
            <w:tcW w:type="dxa" w:w="372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R0与一套可追溯的A1/当前区域参考</w:t>
            </w:r>
          </w:p>
        </w:tc>
        <w:tc>
          <w:tcPr>
            <w:tcW w:type="dxa" w:w="372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排除标签、回投、身份或冻结问题</w:t>
            </w:r>
          </w:p>
        </w:tc>
        <w:tc>
          <w:tcPr>
            <w:tcW w:type="dxa" w:w="372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正确性检查通过再谈收益</w:t>
            </w:r>
          </w:p>
        </w:tc>
      </w:tr>
      <w:tr>
        <w:tc>
          <w:tcPr>
            <w:tcW w:type="dxa" w:w="372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B</w:t>
            </w:r>
          </w:p>
        </w:tc>
        <w:tc>
          <w:tcPr>
            <w:tcW w:type="dxa" w:w="372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S00/S10/S01/S11及SC</w:t>
            </w:r>
          </w:p>
        </w:tc>
        <w:tc>
          <w:tcPr>
            <w:tcW w:type="dxa" w:w="372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检验M1、M2及容量替代解释</w:t>
            </w:r>
          </w:p>
        </w:tc>
        <w:tc>
          <w:tcPr>
            <w:tcW w:type="dxa" w:w="372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有稳定作用再增加条件消融</w:t>
            </w:r>
          </w:p>
        </w:tc>
      </w:tr>
      <w:tr>
        <w:tc>
          <w:tcPr>
            <w:tcW w:type="dxa" w:w="372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C</w:t>
            </w:r>
          </w:p>
        </w:tc>
        <w:tc>
          <w:tcPr>
            <w:tcW w:type="dxa" w:w="372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J0/Jcur/Jslot/Jcos/Jmetric</w:t>
            </w:r>
          </w:p>
        </w:tc>
        <w:tc>
          <w:tcPr>
            <w:tcW w:type="dxa" w:w="372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区分训练、区域、Reader容量与真实支持</w:t>
            </w:r>
          </w:p>
        </w:tc>
        <w:tc>
          <w:tcPr>
            <w:tcW w:type="dxa" w:w="372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Jcur仅在快照、冻结和头训练协议完全一致时复用</w:t>
            </w:r>
          </w:p>
        </w:tc>
      </w:tr>
      <w:tr>
        <w:tc>
          <w:tcPr>
            <w:tcW w:type="dxa" w:w="372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D</w:t>
            </w:r>
          </w:p>
        </w:tc>
        <w:tc>
          <w:tcPr>
            <w:tcW w:type="dxa" w:w="372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Rall/Rcross及Fcos/Fmetric</w:t>
            </w:r>
          </w:p>
        </w:tc>
        <w:tc>
          <w:tcPr>
            <w:tcW w:type="dxa" w:w="372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分开监督约束、邻居质量和纯排序作用</w:t>
            </w:r>
          </w:p>
        </w:tc>
        <w:tc>
          <w:tcPr>
            <w:tcW w:type="dxa" w:w="372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不能只用最终两个Reader分数替代</w:t>
            </w:r>
          </w:p>
        </w:tc>
      </w:tr>
      <w:tr>
        <w:tc>
          <w:tcPr>
            <w:tcW w:type="dxa" w:w="372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E</w:t>
            </w:r>
          </w:p>
        </w:tc>
        <w:tc>
          <w:tcPr>
            <w:tcW w:type="dxa" w:w="372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S-B/S-b/S-H及V-*</w:t>
            </w:r>
          </w:p>
        </w:tc>
        <w:tc>
          <w:tcPr>
            <w:tcW w:type="dxa" w:w="372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支持细化到具体信号和读取内容的主张</w:t>
            </w:r>
          </w:p>
        </w:tc>
        <w:tc>
          <w:tcPr>
            <w:tcW w:type="dxa" w:w="372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无作用的条件可删除或缩小贡献</w:t>
            </w:r>
          </w:p>
        </w:tc>
      </w:tr>
      <w:tr>
        <w:tc>
          <w:tcPr>
            <w:tcW w:type="dxa" w:w="372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F</w:t>
            </w:r>
          </w:p>
        </w:tc>
        <w:tc>
          <w:tcPr>
            <w:tcW w:type="dxa" w:w="372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逐事件、多个种子、失败案例和成本</w:t>
            </w:r>
          </w:p>
        </w:tc>
        <w:tc>
          <w:tcPr>
            <w:tcW w:type="dxa" w:w="372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检验稳定性、实用性和边界</w:t>
            </w:r>
          </w:p>
        </w:tc>
        <w:tc>
          <w:tcPr>
            <w:tcW w:type="dxa" w:w="3727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锁定方法后报告Test，不根据Test反复选型</w:t>
            </w:r>
          </w:p>
        </w:tc>
      </w:tr>
    </w:tbl>
    <w:p>
      <w:pPr>
        <w:pStyle w:val="BodyText"/>
      </w:pPr>
      <w:r>
        <w:t xml:space="preserve">这不是要求所有排列组合一次跑完。最初结构核心是4个二因素配置加1个内容容量对照；之后的信息来源实验使用选定的结构快照，读出结果是否可复用须核对完整协议。每个主张若要写进摘要和贡献，最终须补齐对应证据，而不能以时间不足省去关键对照后继续作强结论。</w:t>
      </w:r>
    </w:p>
    <w:bookmarkEnd w:id="38"/>
    <w:bookmarkStart w:id="41" w:name="需要哪些图片如何拿到真实证据"/>
    <w:p>
      <w:pPr>
        <w:pStyle w:val="Heading2"/>
      </w:pPr>
      <w:r>
        <w:t xml:space="preserve">13 需要哪些图片，如何拿到真实证据</w:t>
      </w:r>
    </w:p>
    <w:tbl>
      <w:tblPr>
        <w:tblW w:type="dxa" w:w="14910"/>
        <w:jc w:val="left"/>
        <w:tblLayout w:type="fixed"/>
        <w:tblLook w:firstRow="1" w:lastRow="0" w:firstColumn="0" w:lastColumn="0" w:noHBand="0" w:noVBand="0" w:val="0020"/>
      </w:tblPr>
      <w:tblGrid>
        <w:gridCol w:w="2982"/>
        <w:gridCol w:w="2982"/>
        <w:gridCol w:w="2982"/>
        <w:gridCol w:w="2982"/>
        <w:gridCol w:w="2982"/>
      </w:tblGrid>
      <w:tr>
        <w:trPr>
          <w:tblHeader w:val="on"/>
        </w:trPr>
        <w:tc>
          <w:tcPr>
            <w:tcW w:type="dxa" w:w="2982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图号</w:t>
            </w:r>
          </w:p>
        </w:tc>
        <w:tc>
          <w:tcPr>
            <w:tcW w:type="dxa" w:w="2982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图片内容</w:t>
            </w:r>
          </w:p>
        </w:tc>
        <w:tc>
          <w:tcPr>
            <w:tcW w:type="dxa" w:w="2982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必须包含的输入与对照</w:t>
            </w:r>
          </w:p>
        </w:tc>
        <w:tc>
          <w:tcPr>
            <w:tcW w:type="dxa" w:w="2982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需要导出的文件/统计</w:t>
            </w:r>
          </w:p>
        </w:tc>
        <w:tc>
          <w:tcPr>
            <w:tcW w:type="dxa" w:w="2982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能证明什么</w:t>
            </w:r>
          </w:p>
        </w:tc>
      </w:tr>
      <w:tr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图1 总框架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在线推理与Train建库两条路径、三模块及冻结阶段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B、F、Q、T、G、Reader、联合头；Train GT进入训练损失及Train库标签组成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按最终代码绘制的矢量示意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说明流程，不证明效果</w:t>
            </w:r>
          </w:p>
        </w:tc>
      </w:tr>
      <w:tr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图2 区域编码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建筑相容项、结构条件Adapter、统计与几何路径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B进Q位置；μatt/μraw区别；适配前F标注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公式和模块接口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说明机制，不证明有效</w:t>
            </w:r>
          </w:p>
        </w:tc>
      </w:tr>
      <w:tr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图3 检索与读取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跨事件正负例训练G；投影只选ID，原内容进入Reader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G(Tquery)/G(Tsupport)、排除规则、Fetch原记录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训练/推理分面、库记录结构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明确信息流与监督边界</w:t>
            </w:r>
          </w:p>
        </w:tc>
      </w:tr>
      <w:tr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图4 区域实际诊断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同一窗口下S00/S10/S01/S11的Q、B和最终预测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RGB、SAR、GT、预测B、同色区域边界及错误图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q/ids、B、b/H、预测、target、有效区域数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检查结构变化与错误位置关联</w:t>
            </w:r>
          </w:p>
        </w:tc>
      </w:tr>
      <w:tr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图5 结构定量消融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二因素差值、SC及去条件结果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种子散点、配对差值、交互项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表2/3真实结果及区间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检验条件与容量、交互；不画虚拟柱高</w:t>
            </w:r>
          </w:p>
        </w:tc>
      </w:tr>
      <w:tr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图6 检索案例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同一查询的余弦/学习Top-K并排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查询RGB/SAR、支持裁块、Train GT组成、来源事件、排名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queryID、supportID、score、π、元数据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展示选中案例是否相关；必须含成功与失败</w:t>
            </w:r>
          </w:p>
        </w:tc>
      </w:tr>
      <w:tr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图7 固定Reader预测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Fcos与Fmetric同窗预测和差异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相同GT、窗口、颜色、Reader权重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两预测、同目标、救回/误改图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排序变化是否影响最终预测</w:t>
            </w:r>
          </w:p>
        </w:tc>
      </w:tr>
      <w:tr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图8 稳定性与资源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逐事件差值图及精度—延迟关系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事件数/样本数、种子、基准线、硬件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逐事件混淆矩阵、计时和内存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展示收益分布与成本，不等于未见事件</w:t>
            </w:r>
          </w:p>
        </w:tc>
      </w:tr>
    </w:tbl>
    <w:p>
      <w:pPr>
        <w:pStyle w:val="BodyText"/>
      </w:pPr>
      <w:r>
        <w:t xml:space="preserve">无新结果时先保留图4—8的版位与说明，不能用示意数据伪装实测。原稿A1定性图可放附录并明确前端身份，不换标题充当完整Memory效果图。数据集地图可以作为设置介绍，不属于方法有效性的证据。</w:t>
      </w:r>
    </w:p>
    <w:bookmarkStart w:id="39" w:name="可直接使用的图注"/>
    <w:p>
      <w:pPr>
        <w:pStyle w:val="Heading3"/>
      </w:pPr>
      <w:r>
        <w:t xml:space="preserve">可直接使用的图注</w:t>
      </w:r>
    </w:p>
    <w:p>
      <w:pPr>
        <w:pStyle w:val="FirstParagraph"/>
      </w:pPr>
      <w:r>
        <w:rPr>
          <w:b/>
          <w:bCs/>
        </w:rPr>
        <w:t xml:space="preserve">图1。</w:t>
      </w:r>
      <w:r>
        <w:t xml:space="preserve"> </w:t>
      </w:r>
      <w:r>
        <w:t xml:space="preserve">结构条件区域编码与跨事件支持检索的总体框架。训练标签仅用于训练目标及Train支持记录组成；评价标签不参与前向。不同阶段的冻结对象与可训练对象分别标明。</w:t>
      </w:r>
    </w:p>
    <w:p>
      <w:pPr>
        <w:pStyle w:val="BodyText"/>
      </w:pPr>
      <w:r>
        <w:rPr>
          <w:b/>
          <w:bCs/>
        </w:rPr>
        <w:t xml:space="preserve">图2。</w:t>
      </w:r>
      <w:r>
        <w:t xml:space="preserve"> </w:t>
      </w:r>
      <w:r>
        <w:t xml:space="preserve">建筑概率约束的局部软归属与分区状态条件内容编码。软区域可覆盖建筑和背景，示意区域不表示建筑实例。统计旁路输入为新增Adapter之前的融合特征。</w:t>
      </w:r>
    </w:p>
    <w:p>
      <w:pPr>
        <w:pStyle w:val="BodyText"/>
      </w:pPr>
      <w:r>
        <w:rPr>
          <w:b/>
          <w:bCs/>
        </w:rPr>
        <w:t xml:space="preserve">图3。</w:t>
      </w:r>
      <w:r>
        <w:t xml:space="preserve"> </w:t>
      </w:r>
      <w:r>
        <w:t xml:space="preserve">跨事件监督排序与原始支持内容读取。投影只用于Top-K记录选择，读取器接收被选记录的未投影特征、训练标签组成及元数据。</w:t>
      </w:r>
    </w:p>
    <w:p>
      <w:pPr>
        <w:pStyle w:val="BodyText"/>
      </w:pPr>
      <w:r>
        <w:rPr>
          <w:b/>
          <w:bCs/>
        </w:rPr>
        <w:t xml:space="preserve">图4。</w:t>
      </w:r>
      <w:r>
        <w:t xml:space="preserve"> </w:t>
      </w:r>
      <w:r>
        <w:t xml:space="preserve">建筑相容项与结构Adapter的同窗诊断。各列使用相同输入和区域预算；真实标签仅用于评价。边界带、混合度与各组规模按预定义协议统计。</w:t>
      </w:r>
    </w:p>
    <w:p>
      <w:pPr>
        <w:pStyle w:val="BodyText"/>
      </w:pPr>
      <w:r>
        <w:rPr>
          <w:b/>
          <w:bCs/>
        </w:rPr>
        <w:t xml:space="preserve">图5。</w:t>
      </w:r>
      <w:r>
        <w:t xml:space="preserve"> </w:t>
      </w:r>
      <w:r>
        <w:t xml:space="preserve">区域组织、内容适配及其交互。点表示预先指定种子的实际结果；差值成对计算，区间的重采样单位和计算方式见实验协议。</w:t>
      </w:r>
    </w:p>
    <w:p>
      <w:pPr>
        <w:pStyle w:val="BodyText"/>
      </w:pPr>
      <w:r>
        <w:rPr>
          <w:b/>
          <w:bCs/>
        </w:rPr>
        <w:t xml:space="preserve">图6。</w:t>
      </w:r>
      <w:r>
        <w:t xml:space="preserve"> </w:t>
      </w:r>
      <w:r>
        <w:t xml:space="preserve">原始余弦与学习投影的实际Train支持案例。支持均满足候选排除规则；类别组成以真实训练标签汇总。改善、持平和退化案例按同一选样规则展示。</w:t>
      </w:r>
    </w:p>
    <w:p>
      <w:pPr>
        <w:pStyle w:val="BodyText"/>
      </w:pPr>
      <w:r>
        <w:rPr>
          <w:b/>
          <w:bCs/>
        </w:rPr>
        <w:t xml:space="preserve">图7。</w:t>
      </w:r>
      <w:r>
        <w:t xml:space="preserve"> </w:t>
      </w:r>
      <w:r>
        <w:t xml:space="preserve">固定Reader权重、仅替换支持ID后的预测差异。所有裁块范围一致，救回与误改按同一像素真值计算，数量单位为像素。</w:t>
      </w:r>
    </w:p>
    <w:p>
      <w:pPr>
        <w:pStyle w:val="BodyText"/>
      </w:pPr>
      <w:r>
        <w:rPr>
          <w:b/>
          <w:bCs/>
        </w:rPr>
        <w:t xml:space="preserve">图8。</w:t>
      </w:r>
      <w:r>
        <w:t xml:space="preserve"> </w:t>
      </w:r>
      <w:r>
        <w:t xml:space="preserve">事件级表现与资源代价。全局与事件宏平均分开报告；标准划分下的跨事件支持使用不等同于完整留事件泛化。</w:t>
      </w:r>
    </w:p>
    <w:bookmarkEnd w:id="39"/>
    <w:bookmarkStart w:id="40" w:name="选图与实例证据"/>
    <w:p>
      <w:pPr>
        <w:pStyle w:val="Heading3"/>
      </w:pPr>
      <w:r>
        <w:t xml:space="preserve">选图与实例证据</w:t>
      </w:r>
    </w:p>
    <w:p>
      <w:pPr>
        <w:pStyle w:val="FirstParagraph"/>
      </w:pPr>
      <w:r>
        <w:t xml:space="preserve">优先按预先规则选固定事件和窗口，或同时展示改善/接近/退化的代表案例，公开选样规则。不得只挑最好案例或每个方法换不同放大框。颜色固定为四类同一图例；SAR显示范围和变换固定；所有面积指标说明原图像尺度。</w:t>
      </w:r>
    </w:p>
    <w:p>
      <w:pPr>
        <w:pStyle w:val="BodyText"/>
      </w:pPr>
      <w:r>
        <w:t xml:space="preserve">若声称实例一致性，使用数据中的真实建筑多边形或实例ID，在同栋建筑内统计预测等级的一致性，并同步报告等级是否正确和漏检情况。全判背景也可能看起来“一致”，因此一致性不能单独作为质量指标。若只有语义掩膜，连通块分析明确标为代理。建筑级损毁标签不能证明同栋楼内部真实损毁等级的空间细分。</w:t>
      </w:r>
    </w:p>
    <w:bookmarkEnd w:id="40"/>
    <w:bookmarkEnd w:id="41"/>
    <w:bookmarkStart w:id="42" w:name="原图和原稿需要改写的地方"/>
    <w:p>
      <w:pPr>
        <w:pStyle w:val="Heading2"/>
      </w:pPr>
      <w:r>
        <w:t xml:space="preserve">14 原图和原稿需要改写的地方</w:t>
      </w:r>
    </w:p>
    <w:tbl>
      <w:tblPr>
        <w:tblW w:type="dxa" w:w="14910"/>
        <w:jc w:val="left"/>
        <w:tblLayout w:type="fixed"/>
        <w:tblLook w:firstRow="1" w:lastRow="0" w:firstColumn="0" w:lastColumn="0" w:noHBand="0" w:noVBand="0" w:val="0020"/>
      </w:tblPr>
      <w:tblGrid>
        <w:gridCol w:w="4970"/>
        <w:gridCol w:w="4970"/>
        <w:gridCol w:w="4970"/>
      </w:tblGrid>
      <w:tr>
        <w:trPr>
          <w:tblHeader w:val="on"/>
        </w:trPr>
        <w:tc>
          <w:tcPr>
            <w:tcW w:type="dxa" w:w="4970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原稿位置</w:t>
            </w:r>
          </w:p>
        </w:tc>
        <w:tc>
          <w:tcPr>
            <w:tcW w:type="dxa" w:w="4970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建议修改</w:t>
            </w:r>
          </w:p>
        </w:tc>
        <w:tc>
          <w:tcPr>
            <w:tcW w:type="dxa" w:w="4970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原因</w:t>
            </w:r>
          </w:p>
        </w:tc>
      </w:tr>
      <w:tr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标题/摘要/结果/结论</w:t>
            </w:r>
          </w:p>
        </w:tc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清空全部既有数值，使用待填结果模板</w:t>
            </w:r>
          </w:p>
        </w:tc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本次不沿用任何历史结果</w:t>
            </w:r>
          </w:p>
        </w:tc>
      </w:tr>
      <w:tr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图1标题</w:t>
            </w:r>
          </w:p>
        </w:tc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改为本文框架名，DamageFormer/A1只标基础前端</w:t>
            </w:r>
          </w:p>
        </w:tc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避免把新框架与公开基线混为一体</w:t>
            </w:r>
          </w:p>
        </w:tc>
      </w:tr>
      <w:tr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图1 b1</w:t>
            </w:r>
          </w:p>
        </w:tc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RGB-guided改为外观—空间—建筑概率相容归属</w:t>
            </w:r>
          </w:p>
        </w:tc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明确M1的位置</w:t>
            </w:r>
          </w:p>
        </w:tc>
      </w:tr>
      <w:tr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图1冻结对象</w:t>
            </w:r>
          </w:p>
        </w:tc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分阶段列出A1、区域编码、库、投影、Reader</w:t>
            </w:r>
          </w:p>
        </w:tc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防止读者误认端到端训练</w:t>
            </w:r>
          </w:p>
        </w:tc>
      </w:tr>
      <w:tr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图2 Raw-F</w:t>
            </w:r>
          </w:p>
        </w:tc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改为Pre-adapter fusion F</w:t>
            </w:r>
          </w:p>
        </w:tc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F可能已经过A1的软建筑调制</w:t>
            </w:r>
          </w:p>
        </w:tc>
      </w:tr>
      <w:tr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图2两种均值</w:t>
            </w:r>
          </w:p>
        </w:tc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μatt与μraw分开</w:t>
            </w:r>
          </w:p>
        </w:tc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避免注意力均值和统计均值混淆</w:t>
            </w:r>
          </w:p>
        </w:tc>
      </w:tr>
      <w:tr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b(Q)、H(Q)</w:t>
            </w:r>
          </w:p>
        </w:tc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分别称相容变化与归属熵</w:t>
            </w:r>
          </w:p>
        </w:tc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不等于真实边界及损毁不确定性</w:t>
            </w:r>
          </w:p>
        </w:tc>
      </w:tr>
      <w:tr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图3 cosine/metric</w:t>
            </w:r>
          </w:p>
        </w:tc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补G训练及只改变ID的小面板</w:t>
            </w:r>
          </w:p>
        </w:tc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M3不能只用一个检索框说明</w:t>
            </w:r>
          </w:p>
        </w:tc>
      </w:tr>
      <w:tr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J1标签</w:t>
            </w:r>
          </w:p>
        </w:tc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改称当前区域+参数化空支持</w:t>
            </w:r>
          </w:p>
        </w:tc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learned slots并非完全没有先验</w:t>
            </w:r>
          </w:p>
        </w:tc>
      </w:tr>
      <w:tr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原表5</w:t>
            </w:r>
          </w:p>
        </w:tc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补同参数内容Adapter及去B</w:t>
            </w:r>
          </w:p>
        </w:tc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排除容量与建筑概率重复利用</w:t>
            </w:r>
          </w:p>
        </w:tc>
      </w:tr>
      <w:tr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原表7覆盖率</w:t>
            </w:r>
          </w:p>
        </w:tc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拆有效K、可用同类支持、实际相关度</w:t>
            </w:r>
          </w:p>
        </w:tc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覆盖与语义有用性不同</w:t>
            </w:r>
          </w:p>
        </w:tc>
      </w:tr>
      <w:tr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A1案例图</w:t>
            </w:r>
          </w:p>
        </w:tc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保留为基础前端附录或替换为新配对图</w:t>
            </w:r>
          </w:p>
        </w:tc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不可证明区域与Memory增量</w:t>
            </w:r>
          </w:p>
        </w:tc>
      </w:tr>
      <w:tr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跨事件措辞</w:t>
            </w:r>
          </w:p>
        </w:tc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支持来自其他事件；泛化须另做留事件</w:t>
            </w:r>
          </w:p>
        </w:tc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标准划分含共同事件</w:t>
            </w:r>
          </w:p>
        </w:tc>
      </w:tr>
    </w:tbl>
    <w:p>
      <w:pPr>
        <w:pStyle w:val="BodyText"/>
      </w:pPr>
      <w:r>
        <w:t xml:space="preserve">特别说明：初稿的b(Q)=max[1−〈qi,qj〉]在两个同样分散的分布相同时仍可能非零。保留该定义时应承认它与熵相关，做去条件及相关性诊断；若改用总变差等严格分布距离，那是方法变更，应新建版本并重做对照，不能只在论文中悄悄替换公式。</w:t>
      </w:r>
    </w:p>
    <w:bookmarkEnd w:id="42"/>
    <w:bookmarkStart w:id="67" w:name="相关论文检索结果与实验启发"/>
    <w:p>
      <w:pPr>
        <w:pStyle w:val="Heading2"/>
      </w:pPr>
      <w:r>
        <w:t xml:space="preserve">15 相关论文：检索结果与实验启发</w:t>
      </w:r>
    </w:p>
    <w:p>
      <w:pPr>
        <w:pStyle w:val="FirstParagraph"/>
      </w:pPr>
      <w:r>
        <w:t xml:space="preserve">本轮进行了已知官方来源的定向核验，并复核可用本地原文；不是无遗漏的全领域系统综述。作者GitHub资源可访问，若干出版站、arXiv及会议站请求返回代理403。下表区分已访问实现与未取得全文，不把README核验写成全文精读。</w:t>
      </w:r>
    </w:p>
    <w:tbl>
      <w:tblPr>
        <w:tblW w:type="dxa" w:w="14910"/>
        <w:jc w:val="left"/>
        <w:tblLayout w:type="fixed"/>
        <w:tblLook w:firstRow="1" w:lastRow="0" w:firstColumn="0" w:lastColumn="0" w:noHBand="0" w:noVBand="0" w:val="0020"/>
      </w:tblPr>
      <w:tblGrid>
        <w:gridCol w:w="2982"/>
        <w:gridCol w:w="2982"/>
        <w:gridCol w:w="2982"/>
        <w:gridCol w:w="2982"/>
        <w:gridCol w:w="2982"/>
      </w:tblGrid>
      <w:tr>
        <w:trPr>
          <w:tblHeader w:val="on"/>
        </w:trPr>
        <w:tc>
          <w:tcPr>
            <w:tcW w:type="dxa" w:w="2982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编号</w:t>
            </w:r>
          </w:p>
        </w:tc>
        <w:tc>
          <w:tcPr>
            <w:tcW w:type="dxa" w:w="2982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论文与年份</w:t>
            </w:r>
          </w:p>
        </w:tc>
        <w:tc>
          <w:tcPr>
            <w:tcW w:type="dxa" w:w="2982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来源</w:t>
            </w:r>
          </w:p>
        </w:tc>
        <w:tc>
          <w:tcPr>
            <w:tcW w:type="dxa" w:w="2982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本轮证据</w:t>
            </w:r>
          </w:p>
        </w:tc>
        <w:tc>
          <w:tcPr>
            <w:tcW w:type="dxa" w:w="2982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对本实验的直接启发</w:t>
            </w:r>
          </w:p>
        </w:tc>
      </w:tr>
      <w:tr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[1]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BRIGHT，ESSD 2025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hyperlink r:id="rId43">
              <w:r>
                <w:rPr>
                  <w:rStyle w:val="Hyperlink"/>
                </w:rPr>
                <w:t xml:space="preserve">论文</w:t>
              </w:r>
            </w:hyperlink>
            <w:r>
              <w:rPr>
                <w:rFonts w:ascii="Noto Sans CJK SC" w:hAnsi="Noto Sans CJK SC" w:eastAsia="Noto Sans CJK SC"/>
                <w:sz w:val="18"/>
              </w:rPr>
              <w:t xml:space="preserve">；</w:t>
            </w:r>
            <w:hyperlink r:id="rId44">
              <w:r>
                <w:rPr>
                  <w:rStyle w:val="Hyperlink"/>
                </w:rPr>
                <w:t xml:space="preserve">官方代码</w:t>
              </w:r>
            </w:hyperlink>
            <w:r>
              <w:rPr>
                <w:rFonts w:ascii="Noto Sans CJK SC" w:hAnsi="Noto Sans CJK SC" w:eastAsia="Noto Sans CJK SC"/>
                <w:sz w:val="18"/>
              </w:rPr>
              <w:t xml:space="preserve">；</w:t>
            </w:r>
            <w:hyperlink r:id="rId45">
              <w:r>
                <w:rPr>
                  <w:rStyle w:val="Hyperlink"/>
                </w:rPr>
                <w:t xml:space="preserve">跨事件协议</w:t>
              </w:r>
            </w:hyperlink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官方README/跨事件协议HTTP200；正式站403；本地完整原文已核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标准划分与留事件分开；正确指标；多模态任务基线</w:t>
            </w:r>
          </w:p>
        </w:tc>
      </w:tr>
      <w:tr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[2]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Creating xBD，CVPR Workshops 2019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hyperlink r:id="rId46">
              <w:r>
                <w:rPr>
                  <w:rStyle w:val="Hyperlink"/>
                </w:rPr>
                <w:t xml:space="preserve">论文页</w:t>
              </w:r>
            </w:hyperlink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背景参考，本轮未重新取得全文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区分光学—光学与光学—SAR输入，不混用结果</w:t>
            </w:r>
          </w:p>
        </w:tc>
      </w:tr>
      <w:tr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[3]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Superpixel Sampling Networks，ECCV 2018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hyperlink r:id="rId47">
              <w:r>
                <w:rPr>
                  <w:rStyle w:val="Hyperlink"/>
                </w:rPr>
                <w:t xml:space="preserve">论文页</w:t>
              </w:r>
            </w:hyperlink>
            <w:r>
              <w:rPr>
                <w:rFonts w:ascii="Noto Sans CJK SC" w:hAnsi="Noto Sans CJK SC" w:eastAsia="Noto Sans CJK SC"/>
                <w:sz w:val="18"/>
              </w:rPr>
              <w:t xml:space="preserve">；</w:t>
            </w:r>
            <w:hyperlink r:id="rId48">
              <w:r>
                <w:rPr>
                  <w:rStyle w:val="Hyperlink"/>
                </w:rPr>
                <w:t xml:space="preserve">官方代码</w:t>
              </w:r>
            </w:hyperlink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官方README及实现HTTP200；论文站403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软归属、迭代中心、聚合回投已有先例；固定区域预算做M1</w:t>
            </w:r>
          </w:p>
        </w:tc>
      </w:tr>
      <w:tr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[4]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Superpixel Segmentation With Fully Convolutional Networks，CVPR 2020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hyperlink r:id="rId49">
              <w:r>
                <w:rPr>
                  <w:rStyle w:val="Hyperlink"/>
                </w:rPr>
                <w:t xml:space="preserve">论文页</w:t>
              </w:r>
            </w:hyperlink>
            <w:r>
              <w:rPr>
                <w:rFonts w:ascii="Noto Sans CJK SC" w:hAnsi="Noto Sans CJK SC" w:eastAsia="Noto Sans CJK SC"/>
                <w:sz w:val="18"/>
              </w:rPr>
              <w:t xml:space="preserve">；</w:t>
            </w:r>
            <w:hyperlink r:id="rId50">
              <w:r>
                <w:rPr>
                  <w:rStyle w:val="Hyperlink"/>
                </w:rPr>
                <w:t xml:space="preserve">官方代码</w:t>
              </w:r>
            </w:hyperlink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官方README HTTP200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直接预测关联是可选对照，学习Q本身并非首创</w:t>
            </w:r>
          </w:p>
        </w:tc>
      </w:tr>
      <w:tr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[5]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Superpixel Anything: A general object-based framework for accurate yet regular superpixel segmentation，BMVC 2025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hyperlink r:id="rId51">
              <w:r>
                <w:rPr>
                  <w:rStyle w:val="Hyperlink"/>
                </w:rPr>
                <w:t xml:space="preserve">论文</w:t>
              </w:r>
            </w:hyperlink>
            <w:r>
              <w:rPr>
                <w:rFonts w:ascii="Noto Sans CJK SC" w:hAnsi="Noto Sans CJK SC" w:eastAsia="Noto Sans CJK SC"/>
                <w:sz w:val="18"/>
              </w:rPr>
              <w:t xml:space="preserve">；</w:t>
            </w:r>
            <w:hyperlink r:id="rId52">
              <w:r>
                <w:rPr>
                  <w:rStyle w:val="Hyperlink"/>
                </w:rPr>
                <w:t xml:space="preserve">官方代码</w:t>
              </w:r>
            </w:hyperlink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官方README HTTP200；arXiv403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对象掩膜指导超像素已有先例；具体比较预测B的连续相容作用</w:t>
            </w:r>
          </w:p>
        </w:tc>
      </w:tr>
      <w:tr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[6]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Object-Contextual Representations for Semantic Segmentation，ECCV 2020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hyperlink r:id="rId53">
              <w:r>
                <w:rPr>
                  <w:rStyle w:val="Hyperlink"/>
                </w:rPr>
                <w:t xml:space="preserve">原文</w:t>
              </w:r>
            </w:hyperlink>
            <w:r>
              <w:rPr>
                <w:rFonts w:ascii="Noto Sans CJK SC" w:hAnsi="Noto Sans CJK SC" w:eastAsia="Noto Sans CJK SC"/>
                <w:sz w:val="18"/>
              </w:rPr>
              <w:t xml:space="preserve">；</w:t>
            </w:r>
            <w:hyperlink r:id="rId54">
              <w:r>
                <w:rPr>
                  <w:rStyle w:val="Hyperlink"/>
                </w:rPr>
                <w:t xml:space="preserve">官方实现</w:t>
              </w:r>
            </w:hyperlink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README及实现HTTP200；原文站403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增加OCR类上下文基线；区域上下文与像素融合不是新概念</w:t>
            </w:r>
          </w:p>
        </w:tc>
      </w:tr>
      <w:tr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[7]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FiLM: Visual Reasoning with a General Conditioning Layer，AAAI 2018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hyperlink r:id="rId55">
              <w:r>
                <w:rPr>
                  <w:rStyle w:val="Hyperlink"/>
                </w:rPr>
                <w:t xml:space="preserve">论文</w:t>
              </w:r>
            </w:hyperlink>
            <w:r>
              <w:rPr>
                <w:rFonts w:ascii="Noto Sans CJK SC" w:hAnsi="Noto Sans CJK SC" w:eastAsia="Noto Sans CJK SC"/>
                <w:sz w:val="18"/>
              </w:rPr>
              <w:t xml:space="preserve">；</w:t>
            </w:r>
            <w:hyperlink r:id="rId56">
              <w:r>
                <w:rPr>
                  <w:rStyle w:val="Hyperlink"/>
                </w:rPr>
                <w:t xml:space="preserve">官方代码</w:t>
              </w:r>
            </w:hyperlink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README及实现HTTP200；arXiv403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条件调制已有先例；当前条件残差MLP不等于FiLM算子</w:t>
            </w:r>
          </w:p>
        </w:tc>
      </w:tr>
      <w:tr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[8]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Exploring Cross-Image Pixel Contrast for Semantic Segmentation，ICCV 2021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hyperlink r:id="rId57">
              <w:r>
                <w:rPr>
                  <w:rStyle w:val="Hyperlink"/>
                </w:rPr>
                <w:t xml:space="preserve">论文页</w:t>
              </w:r>
            </w:hyperlink>
            <w:r>
              <w:rPr>
                <w:rFonts w:ascii="Noto Sans CJK SC" w:hAnsi="Noto Sans CJK SC" w:eastAsia="Noto Sans CJK SC"/>
                <w:sz w:val="18"/>
              </w:rPr>
              <w:t xml:space="preserve">；</w:t>
            </w:r>
            <w:hyperlink r:id="rId58">
              <w:r>
                <w:rPr>
                  <w:rStyle w:val="Hyperlink"/>
                </w:rPr>
                <w:t xml:space="preserve">官方代码</w:t>
              </w:r>
            </w:hyperlink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README、损失及队列实现HTTP200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跨图像语义监督已有先例；需不限事件监督对照</w:t>
            </w:r>
          </w:p>
        </w:tc>
      </w:tr>
      <w:tr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[9]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Supervised Contrastive Learning，NeurIPS 2020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hyperlink r:id="rId59">
              <w:r>
                <w:rPr>
                  <w:rStyle w:val="Hyperlink"/>
                </w:rPr>
                <w:t xml:space="preserve">论文页</w:t>
              </w:r>
            </w:hyperlink>
            <w:r>
              <w:rPr>
                <w:rFonts w:ascii="Noto Sans CJK SC" w:hAnsi="Noto Sans CJK SC" w:eastAsia="Noto Sans CJK SC"/>
                <w:sz w:val="18"/>
              </w:rPr>
              <w:t xml:space="preserve">；</w:t>
            </w:r>
            <w:hyperlink r:id="rId60">
              <w:r>
                <w:rPr>
                  <w:rStyle w:val="Hyperlink"/>
                </w:rPr>
                <w:t xml:space="preserve">作者实现</w:t>
              </w:r>
            </w:hyperlink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README和losses.py HTTP200；论文站403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对比目标并非新提出；匹配类别采样和有效正负对</w:t>
            </w:r>
          </w:p>
        </w:tc>
      </w:tr>
      <w:tr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[10]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Retrieval Augmented Classification for Long-Tail Visual Recognition，CVPR 2022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hyperlink r:id="rId61">
              <w:r>
                <w:rPr>
                  <w:rStyle w:val="Hyperlink"/>
                </w:rPr>
                <w:t xml:space="preserve">论文页</w:t>
              </w:r>
            </w:hyperlink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本轮未取得全文；本地既有机制审计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训练案例标签读取已有先例；真实/随机/打乱支持对照</w:t>
            </w:r>
          </w:p>
        </w:tc>
      </w:tr>
      <w:tr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[11]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Tip-Adapter: Training-Free Adaption of CLIP for Few-Shot Classification，ECCV 2022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hyperlink r:id="rId62">
              <w:r>
                <w:rPr>
                  <w:rStyle w:val="Hyperlink"/>
                </w:rPr>
                <w:t xml:space="preserve">论文</w:t>
              </w:r>
            </w:hyperlink>
            <w:r>
              <w:rPr>
                <w:rFonts w:ascii="Noto Sans CJK SC" w:hAnsi="Noto Sans CJK SC" w:eastAsia="Noto Sans CJK SC"/>
                <w:sz w:val="18"/>
              </w:rPr>
              <w:t xml:space="preserve">；</w:t>
            </w:r>
            <w:hyperlink r:id="rId63">
              <w:r>
                <w:rPr>
                  <w:rStyle w:val="Hyperlink"/>
                </w:rPr>
                <w:t xml:space="preserve">官方代码</w:t>
              </w:r>
            </w:hyperlink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README及实现HTTP200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加简单特征—标签缓存基线；不能把缓存本身当新贡献</w:t>
            </w:r>
          </w:p>
        </w:tc>
      </w:tr>
      <w:tr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[12]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SRAC: Superpixel Retrieval-Augmented Classification for Multi-Modal Disaster Building Damage Assessment，IGARSS 2026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hyperlink r:id="rId64">
              <w:r>
                <w:rPr>
                  <w:rStyle w:val="Hyperlink"/>
                </w:rPr>
                <w:t xml:space="preserve">会议条目</w:t>
              </w:r>
            </w:hyperlink>
            <w:r>
              <w:rPr>
                <w:rFonts w:ascii="Noto Sans CJK SC" w:hAnsi="Noto Sans CJK SC" w:eastAsia="Noto Sans CJK SC"/>
                <w:sz w:val="18"/>
              </w:rPr>
              <w:t xml:space="preserve">；</w:t>
            </w:r>
            <w:hyperlink r:id="rId65">
              <w:r>
                <w:rPr>
                  <w:rStyle w:val="Hyperlink"/>
                </w:rPr>
                <w:t xml:space="preserve">机构介绍</w:t>
              </w:r>
            </w:hyperlink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本轮403；本地目录/新闻和用户方法图；无完整官方实现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同任务超像素+检索高度重合；不能声称它未包含图上没画的机制</w:t>
            </w:r>
          </w:p>
        </w:tc>
      </w:tr>
      <w:tr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[13]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The Lovász-Softmax Loss: A Tractable Surrogate for the Optimization of the Intersection-Over-Union Measure in Neural Networks，CVPR 2018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hyperlink r:id="rId66">
              <w:r>
                <w:rPr>
                  <w:rStyle w:val="Hyperlink"/>
                </w:rPr>
                <w:t xml:space="preserve">官方代码</w:t>
              </w:r>
            </w:hyperlink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README HTTP200</w:t>
            </w:r>
          </w:p>
        </w:tc>
        <w:tc>
          <w:tcPr>
            <w:tcW w:type="dxa" w:w="2982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所有对照损失一致；损失改动单独归因</w:t>
            </w:r>
          </w:p>
        </w:tc>
      </w:tr>
    </w:tbl>
    <w:p>
      <w:pPr>
        <w:pStyle w:val="BodyText"/>
      </w:pPr>
      <w:r>
        <w:t xml:space="preserve">可按“任务基准→软区域/对象先验→区域上下文/条件化→类别监督/检索增强”组织相关工作，不按堆砌模型名称组织。SPAM、OCR、FiLM、RAC与SRAC分别限制泛称对象先验、区域回投、条件化、历史标签读取和同任务超像素Memory的新颖性。本文能否形成贡献，取决于具体组合位置和受控证据，不能仅靠换骨干或更名。</w:t>
      </w:r>
    </w:p>
    <w:p>
      <w:pPr>
        <w:pStyle w:val="BodyText"/>
      </w:pPr>
      <w:r>
        <w:t xml:space="preserve">额外基线建议：有资源时加入同F同预算的OCR式上下文、简单余弦标签核加权缓存和参数匹配像素MLP；它们帮助判断复杂Reader是否必要。不直接搬用CLIP/Tip-Adapter在其他任务上的成绩，也不把代码存在当作该模型适用于本任务的证据。</w:t>
      </w:r>
    </w:p>
    <w:bookmarkEnd w:id="67"/>
    <w:bookmarkStart w:id="68" w:name="可以写到多强由结果决定"/>
    <w:p>
      <w:pPr>
        <w:pStyle w:val="Heading2"/>
      </w:pPr>
      <w:r>
        <w:t xml:space="preserve">16 可以写到多强，由结果决定</w:t>
      </w:r>
    </w:p>
    <w:tbl>
      <w:tblPr>
        <w:tblW w:type="dxa" w:w="14910"/>
        <w:jc w:val="left"/>
        <w:tblLayout w:type="fixed"/>
        <w:tblLook w:firstRow="1" w:lastRow="0" w:firstColumn="0" w:lastColumn="0" w:noHBand="0" w:noVBand="0" w:val="0020"/>
      </w:tblPr>
      <w:tblGrid>
        <w:gridCol w:w="4970"/>
        <w:gridCol w:w="4970"/>
        <w:gridCol w:w="4970"/>
      </w:tblGrid>
      <w:tr>
        <w:trPr>
          <w:tblHeader w:val="on"/>
        </w:trPr>
        <w:tc>
          <w:tcPr>
            <w:tcW w:type="dxa" w:w="4970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真实结果形态</w:t>
            </w:r>
          </w:p>
        </w:tc>
        <w:tc>
          <w:tcPr>
            <w:tcW w:type="dxa" w:w="4970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合适表述</w:t>
            </w:r>
          </w:p>
        </w:tc>
        <w:tc>
          <w:tcPr>
            <w:tcW w:type="dxa" w:w="4970"/>
            <w:shd w:fill="E5EDF5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8"/>
              </w:rPr>
              <w:t xml:space="preserve">不合适表述</w:t>
            </w:r>
          </w:p>
        </w:tc>
      </w:tr>
      <w:tr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区域混合度下降，像素分类不变</w:t>
            </w:r>
          </w:p>
        </w:tc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改善当前定义下的区域组织</w:t>
            </w:r>
          </w:p>
        </w:tc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提升建筑损毁评估精度</w:t>
            </w:r>
          </w:p>
        </w:tc>
      </w:tr>
      <w:tr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SC与结构Adapter相近</w:t>
            </w:r>
          </w:p>
        </w:tc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增加内容处理有效；结构条件增量未明确</w:t>
            </w:r>
          </w:p>
        </w:tc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三种结构条件均有独立贡献</w:t>
            </w:r>
          </w:p>
        </w:tc>
      </w:tr>
      <w:tr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检索质量变好，固定Reader分类不变</w:t>
            </w:r>
          </w:p>
        </w:tc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改善支持排序，分类价值尚未建立</w:t>
            </w:r>
          </w:p>
        </w:tc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Memory显著改善预测</w:t>
            </w:r>
          </w:p>
        </w:tc>
      </w:tr>
      <w:tr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真实支持优于空支持且随机/打乱分析支持依赖</w:t>
            </w:r>
          </w:p>
        </w:tc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存在与历史记录相关的增量证据</w:t>
            </w:r>
          </w:p>
        </w:tc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保证检索到同类案例、保证不误改</w:t>
            </w:r>
          </w:p>
        </w:tc>
      </w:tr>
      <w:tr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只有S11联用有效</w:t>
            </w:r>
          </w:p>
        </w:tc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两环节构成相互依赖的结构编码</w:t>
            </w:r>
          </w:p>
        </w:tc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两项机制分别稳定有效</w:t>
            </w:r>
          </w:p>
        </w:tc>
      </w:tr>
      <w:tr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标准划分跨事件支持有效</w:t>
            </w:r>
          </w:p>
        </w:tc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其他训练事件支持有用</w:t>
            </w:r>
          </w:p>
        </w:tc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对完全未见灾害具有泛化能力</w:t>
            </w:r>
          </w:p>
        </w:tc>
      </w:tr>
      <w:tr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样例更连贯，实例指标未计算</w:t>
            </w:r>
          </w:p>
        </w:tc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所选样例中预测更连贯</w:t>
            </w:r>
          </w:p>
        </w:tc>
        <w:tc>
          <w:tcPr>
            <w:tcW w:type="dxa" w:w="4970"/>
          </w:tcPr>
          <w:p>
            <w:pPr>
              <w:pStyle w:val="Compact"/>
              <w:spacing w:after="60" w:line="252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解决建筑实例一致性问题</w:t>
            </w:r>
          </w:p>
        </w:tc>
      </w:tr>
    </w:tbl>
    <w:bookmarkEnd w:id="68"/>
    <w:bookmarkStart w:id="69" w:name="下一次需要你提供什么"/>
    <w:p>
      <w:pPr>
        <w:pStyle w:val="Heading2"/>
      </w:pPr>
      <w:r>
        <w:t xml:space="preserve">17 下一次需要你提供什么</w:t>
      </w:r>
    </w:p>
    <w:p>
      <w:pPr>
        <w:pStyle w:val="FirstParagraph"/>
      </w:pPr>
      <w:r>
        <w:t xml:space="preserve">先提供配置和来源，再提供结果，不必一次上传全部大数组：①最终代码中的模块开关和实际训练阶段；②同协议各组summary及原始混淆矩阵；③逐事件或逐图计数；④支持ID与库记录字段；⑤同窗RGB/SAR、GT和各组预测；⑥三个结构量B、b(Q)、H(Q)与Q；⑦日志中的时间、显存、库规模及种子。若要做实例评价，另提供建筑多边形或实例ID。</w:t>
      </w:r>
    </w:p>
    <w:p>
      <w:pPr>
        <w:pStyle w:val="BodyText"/>
      </w:pPr>
      <w:r>
        <w:t xml:space="preserve">后续可据这些真实材料填写表格、生成图4—8、重写结果分析和结论。当前交付仅包含方法与验证设计，不包含任何新实验成绩。</w:t>
      </w:r>
    </w:p>
    <w:bookmarkEnd w:id="69"/>
    <w:bookmarkEnd w:id="70"/>
    <w:sectPr>
      <w:footerReference r:id="rId9" w:type="default"/>
      <w:pgSz w:h="11906" w:orient="landscape" w:w="16838"/>
      <w:pgMar w:bottom="964" w:left="964" w:right="964" w:top="9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结果待补稿 · 2026-10-16  | 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88" w:lineRule="auto"/>
    </w:pPr>
    <w:rPr>
      <w:rFonts w:ascii="Noto Sans CJK SC" w:eastAsia="Noto Sans CJK SC" w:hAnsi="Noto Sans CJK SC"/>
      <w:sz w:val="21"/>
    </w:rPr>
  </w:style>
  <w:style w:styleId="BodyText" w:type="paragraph">
    <w:name w:val="Body Text"/>
    <w:basedOn w:val="Normal"/>
    <w:link w:val="BodyTextChar"/>
    <w:qFormat/>
    <w:pPr>
      <w:spacing w:after="100" w:before="180" w:line="288" w:lineRule="auto"/>
    </w:pPr>
    <w:rPr>
      <w:rFonts w:ascii="Noto Sans CJK SC" w:eastAsia="Noto Sans CJK SC" w:hAnsi="Noto Sans CJK SC"/>
      <w:sz w:val="21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Noto Sans CJK SC" w:eastAsia="Noto Sans CJK SC" w:hAnsi="Noto Sans CJK SC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Noto Sans CJK SC" w:eastAsia="Noto Sans CJK SC" w:hAnsi="Noto Sans CJK SC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64" Type="http://schemas.openxmlformats.org/officeDocument/2006/relationships/hyperlink" Target="https://2026.ieeeigarss.org/view_paper.php?PaperNum=2851&amp;SessionID=1356" TargetMode="External"/><Relationship Id="rId55" Type="http://schemas.openxmlformats.org/officeDocument/2006/relationships/hyperlink" Target="https://arxiv.org/abs/1709.07871" TargetMode="External"/><Relationship Id="rId62" Type="http://schemas.openxmlformats.org/officeDocument/2006/relationships/hyperlink" Target="https://arxiv.org/abs/2207.09519" TargetMode="External"/><Relationship Id="rId51" Type="http://schemas.openxmlformats.org/officeDocument/2006/relationships/hyperlink" Target="https://arxiv.org/abs/2509.12791" TargetMode="External"/><Relationship Id="rId65" Type="http://schemas.openxmlformats.org/officeDocument/2006/relationships/hyperlink" Target="https://emse.ucas.ac.cn/index.php/zh/xwzxe/535-igarss-2026" TargetMode="External"/><Relationship Id="rId43" Type="http://schemas.openxmlformats.org/officeDocument/2006/relationships/hyperlink" Target="https://essd.copernicus.org/articles/17/6217/2025/" TargetMode="External"/><Relationship Id="rId44" Type="http://schemas.openxmlformats.org/officeDocument/2006/relationships/hyperlink" Target="https://github.com/ChenHongruixuan/BRIGHT" TargetMode="External"/><Relationship Id="rId45" Type="http://schemas.openxmlformats.org/officeDocument/2006/relationships/hyperlink" Target="https://github.com/ChenHongruixuan/BRIGHT/blob/master/bda_benchmark/README_cross_event.md" TargetMode="External"/><Relationship Id="rId54" Type="http://schemas.openxmlformats.org/officeDocument/2006/relationships/hyperlink" Target="https://github.com/HRNet/HRNet-Semantic-Segmentation/tree/HRNet-OCR" TargetMode="External"/><Relationship Id="rId60" Type="http://schemas.openxmlformats.org/officeDocument/2006/relationships/hyperlink" Target="https://github.com/HobbitLong/SupContrast" TargetMode="External"/><Relationship Id="rId48" Type="http://schemas.openxmlformats.org/officeDocument/2006/relationships/hyperlink" Target="https://github.com/NVlabs/ssn_superpixels" TargetMode="External"/><Relationship Id="rId66" Type="http://schemas.openxmlformats.org/officeDocument/2006/relationships/hyperlink" Target="https://github.com/bermanmaxim/LovaszSoftmax" TargetMode="External"/><Relationship Id="rId56" Type="http://schemas.openxmlformats.org/officeDocument/2006/relationships/hyperlink" Target="https://github.com/ethanjperez/film" TargetMode="External"/><Relationship Id="rId50" Type="http://schemas.openxmlformats.org/officeDocument/2006/relationships/hyperlink" Target="https://github.com/fuy34/superpixel_fcn" TargetMode="External"/><Relationship Id="rId63" Type="http://schemas.openxmlformats.org/officeDocument/2006/relationships/hyperlink" Target="https://github.com/gaopengcuhk/Tip-Adapter" TargetMode="External"/><Relationship Id="rId58" Type="http://schemas.openxmlformats.org/officeDocument/2006/relationships/hyperlink" Target="https://github.com/tfzhou/ContrastiveSeg" TargetMode="External"/><Relationship Id="rId52" Type="http://schemas.openxmlformats.org/officeDocument/2006/relationships/hyperlink" Target="https://github.com/waldo-j/spam" TargetMode="External"/><Relationship Id="rId61" Type="http://schemas.openxmlformats.org/officeDocument/2006/relationships/hyperlink" Target="https://openaccess.thecvf.com/content/CVPR2022/html/Long_Retrieval_Augmented_Classification_for_Long-Tail_Visual_Recognition_CVPR_2022_paper.html" TargetMode="External"/><Relationship Id="rId57" Type="http://schemas.openxmlformats.org/officeDocument/2006/relationships/hyperlink" Target="https://openaccess.thecvf.com/content/ICCV2021/html/Wang_Exploring_Cross-Image_Pixel_Contrast_for_Semantic_Segmentation_ICCV_2021_paper.html" TargetMode="External"/><Relationship Id="rId46" Type="http://schemas.openxmlformats.org/officeDocument/2006/relationships/hyperlink" Target="https://openaccess.thecvf.com/content_CVPRW_2019/html/CV4GC/Gupta_Creating_xBD_A_Dataset_for_Assessing_Building_Damage_from_Satellite_CVPRW_2019_paper.html" TargetMode="External"/><Relationship Id="rId49" Type="http://schemas.openxmlformats.org/officeDocument/2006/relationships/hyperlink" Target="https://openaccess.thecvf.com/content_CVPR_2020/html/Yang_Superpixel_Segmentation_With_Fully_Convolutional_Networks_CVPR_2020_paper.html" TargetMode="External"/><Relationship Id="rId47" Type="http://schemas.openxmlformats.org/officeDocument/2006/relationships/hyperlink" Target="https://openaccess.thecvf.com/content_ECCV_2018/html/Varun_Jampani_Superpixel_Sampling_Networks_ECCV_2018_paper.html" TargetMode="External"/><Relationship Id="rId59" Type="http://schemas.openxmlformats.org/officeDocument/2006/relationships/hyperlink" Target="https://proceedings.neurips.cc/paper/2020/hash/d89a66c7c80a29b1bdbab0f2a1a94af8-Abstract.html" TargetMode="External"/><Relationship Id="rId53" Type="http://schemas.openxmlformats.org/officeDocument/2006/relationships/hyperlink" Target="https://www.ecva.net/papers/eccv_2020/papers_ECCV/papers/123510171.pdf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2026.ieeeigarss.org/view_paper.php?PaperNum=2851&amp;SessionID=1356" TargetMode="External"/><Relationship Id="rId55" Type="http://schemas.openxmlformats.org/officeDocument/2006/relationships/hyperlink" Target="https://arxiv.org/abs/1709.07871" TargetMode="External"/><Relationship Id="rId62" Type="http://schemas.openxmlformats.org/officeDocument/2006/relationships/hyperlink" Target="https://arxiv.org/abs/2207.09519" TargetMode="External"/><Relationship Id="rId51" Type="http://schemas.openxmlformats.org/officeDocument/2006/relationships/hyperlink" Target="https://arxiv.org/abs/2509.12791" TargetMode="External"/><Relationship Id="rId65" Type="http://schemas.openxmlformats.org/officeDocument/2006/relationships/hyperlink" Target="https://emse.ucas.ac.cn/index.php/zh/xwzxe/535-igarss-2026" TargetMode="External"/><Relationship Id="rId43" Type="http://schemas.openxmlformats.org/officeDocument/2006/relationships/hyperlink" Target="https://essd.copernicus.org/articles/17/6217/2025/" TargetMode="External"/><Relationship Id="rId44" Type="http://schemas.openxmlformats.org/officeDocument/2006/relationships/hyperlink" Target="https://github.com/ChenHongruixuan/BRIGHT" TargetMode="External"/><Relationship Id="rId45" Type="http://schemas.openxmlformats.org/officeDocument/2006/relationships/hyperlink" Target="https://github.com/ChenHongruixuan/BRIGHT/blob/master/bda_benchmark/README_cross_event.md" TargetMode="External"/><Relationship Id="rId54" Type="http://schemas.openxmlformats.org/officeDocument/2006/relationships/hyperlink" Target="https://github.com/HRNet/HRNet-Semantic-Segmentation/tree/HRNet-OCR" TargetMode="External"/><Relationship Id="rId60" Type="http://schemas.openxmlformats.org/officeDocument/2006/relationships/hyperlink" Target="https://github.com/HobbitLong/SupContrast" TargetMode="External"/><Relationship Id="rId48" Type="http://schemas.openxmlformats.org/officeDocument/2006/relationships/hyperlink" Target="https://github.com/NVlabs/ssn_superpixels" TargetMode="External"/><Relationship Id="rId66" Type="http://schemas.openxmlformats.org/officeDocument/2006/relationships/hyperlink" Target="https://github.com/bermanmaxim/LovaszSoftmax" TargetMode="External"/><Relationship Id="rId56" Type="http://schemas.openxmlformats.org/officeDocument/2006/relationships/hyperlink" Target="https://github.com/ethanjperez/film" TargetMode="External"/><Relationship Id="rId50" Type="http://schemas.openxmlformats.org/officeDocument/2006/relationships/hyperlink" Target="https://github.com/fuy34/superpixel_fcn" TargetMode="External"/><Relationship Id="rId63" Type="http://schemas.openxmlformats.org/officeDocument/2006/relationships/hyperlink" Target="https://github.com/gaopengcuhk/Tip-Adapter" TargetMode="External"/><Relationship Id="rId58" Type="http://schemas.openxmlformats.org/officeDocument/2006/relationships/hyperlink" Target="https://github.com/tfzhou/ContrastiveSeg" TargetMode="External"/><Relationship Id="rId52" Type="http://schemas.openxmlformats.org/officeDocument/2006/relationships/hyperlink" Target="https://github.com/waldo-j/spam" TargetMode="External"/><Relationship Id="rId61" Type="http://schemas.openxmlformats.org/officeDocument/2006/relationships/hyperlink" Target="https://openaccess.thecvf.com/content/CVPR2022/html/Long_Retrieval_Augmented_Classification_for_Long-Tail_Visual_Recognition_CVPR_2022_paper.html" TargetMode="External"/><Relationship Id="rId57" Type="http://schemas.openxmlformats.org/officeDocument/2006/relationships/hyperlink" Target="https://openaccess.thecvf.com/content/ICCV2021/html/Wang_Exploring_Cross-Image_Pixel_Contrast_for_Semantic_Segmentation_ICCV_2021_paper.html" TargetMode="External"/><Relationship Id="rId46" Type="http://schemas.openxmlformats.org/officeDocument/2006/relationships/hyperlink" Target="https://openaccess.thecvf.com/content_CVPRW_2019/html/CV4GC/Gupta_Creating_xBD_A_Dataset_for_Assessing_Building_Damage_from_Satellite_CVPRW_2019_paper.html" TargetMode="External"/><Relationship Id="rId49" Type="http://schemas.openxmlformats.org/officeDocument/2006/relationships/hyperlink" Target="https://openaccess.thecvf.com/content_CVPR_2020/html/Yang_Superpixel_Segmentation_With_Fully_Convolutional_Networks_CVPR_2020_paper.html" TargetMode="External"/><Relationship Id="rId47" Type="http://schemas.openxmlformats.org/officeDocument/2006/relationships/hyperlink" Target="https://openaccess.thecvf.com/content_ECCV_2018/html/Varun_Jampani_Superpixel_Sampling_Networks_ECCV_2018_paper.html" TargetMode="External"/><Relationship Id="rId59" Type="http://schemas.openxmlformats.org/officeDocument/2006/relationships/hyperlink" Target="https://proceedings.neurips.cc/paper/2020/hash/d89a66c7c80a29b1bdbab0f2a1a94af8-Abstract.html" TargetMode="External"/><Relationship Id="rId53" Type="http://schemas.openxmlformats.org/officeDocument/2006/relationships/hyperlink" Target="https://www.ecva.net/papers/eccv_2020/papers_ECCV/papers/123510171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2026-10-16T04:10:34Z</dcterms:created>
  <dcterms:modified xsi:type="dcterms:W3CDTF">2026-10-16T04:10:34Z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