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建筑结构引导的区域表征与跨事件检索增强光学sar建筑损毁评估"/>
    <w:p>
      <w:pPr>
        <w:pStyle w:val="Heading1"/>
      </w:pPr>
      <w:r>
        <w:t xml:space="preserve">建筑结构引导的区域表征与跨事件检索增强光学—SAR建筑损毁评估</w:t>
      </w:r>
    </w:p>
    <w:p>
      <w:pPr>
        <w:pStyle w:val="BlockText"/>
      </w:pPr>
      <w:r>
        <w:t xml:space="preserve">编写说明：本稿依据用户提供的《光学SAR建筑损毁论文初稿20261014.docx》及其中图1—图3改写。不采用初稿或聊天记录中的任何性能数值、排名及提升结论。所有“【待填】”均为尚待真实实验回填的位置；方法描述是待验证的设计，不等于已实现、已完成或已证实有效。实验编号和执行细节见配套《实验与配图规划》。已访问过的 Test 应在最终协议中如实记录，不能重新称为从未使用的盲测集。</w:t>
      </w:r>
    </w:p>
    <w:bookmarkStart w:id="20" w:name="摘要"/>
    <w:p>
      <w:pPr>
        <w:pStyle w:val="Heading2"/>
      </w:pPr>
      <w:r>
        <w:t xml:space="preserve">摘要</w:t>
      </w:r>
    </w:p>
    <w:p>
      <w:pPr>
        <w:pStyle w:val="FirstParagraph"/>
      </w:pPr>
      <w:r>
        <w:t xml:space="preserve">灾前光学影像与灾后合成孔径雷达影像为建筑损毁评估提供互补观测，但跨模态融合后的像素表示仍面临区域组织与损毁判别之间的匹配问题。一方面，仅依据局部外观和空间距离形成的区域可能混合建筑与背景，使区域汇总包含不相关内容；另一方面，外观相似的历史区域未必具有相同损毁等级，直接采用其标签可能引入错误证据。针对上述问题，本文提出一种建筑结构引导的区域表征与跨事件检索增强框架。首先，将预测建筑概率以连续相容项引入局部软归属，调节像素与区域的关联。其次，以建筑概率、相邻软归属相容变化量及归属熵作为条件，对光学—SAR融合内容进行残差适配，并结合适配前特征统计和软几何形成区域表示。随后，在固定区域表示上，利用不同训练事件间的类别关系学习独立检索投影；该投影仅用于选择支持记录，读取器仍接收原始支持特征、训练软标签组成及元数据。增强区域特征经同一软归属回投，与保留的像素特征联合完成四类预测。实验围绕区域组织、内容条件化、支持排序及最终分类四个层面设置匹配对照，并分别评价总体、逐类别和逐事件表现。【待填：在协议锁定后补充主要结果、稳定性和计算代价；未获得结果前不写性能提升结论。】</w:t>
      </w:r>
    </w:p>
    <w:p>
      <w:pPr>
        <w:pStyle w:val="BodyText"/>
      </w:pPr>
      <w:r>
        <w:t xml:space="preserve">关键词：建筑损毁评估；光学—SAR融合；软区域；结构条件表征；跨事件检索</w:t>
      </w:r>
    </w:p>
    <w:bookmarkEnd w:id="20"/>
    <w:bookmarkStart w:id="21" w:name="引言"/>
    <w:p>
      <w:pPr>
        <w:pStyle w:val="Heading2"/>
      </w:pPr>
      <w:r>
        <w:t xml:space="preserve">1 引言</w:t>
      </w:r>
    </w:p>
    <w:p>
      <w:pPr>
        <w:pStyle w:val="FirstParagraph"/>
      </w:pPr>
      <w:r>
        <w:t xml:space="preserve">灾后建筑损毁的位置与程度是应急评估的重要空间信息。灾前高分辨率光学影像能够描述建筑布局、形态和周边环境，灾后SAR则提供受光照与云层影响较小的观测。BRIGHT以灾前光学与灾后SAR组合建立建筑损毁评测任务，为多灾害事件下的模型比较提供了统一基础[1]。与同模态变化检测不同，该任务需要在传感器成像差异和可能存在的配准残差下，利用异质观测判断建筑损毁等级。</w:t>
      </w:r>
    </w:p>
    <w:p>
      <w:pPr>
        <w:pStyle w:val="BodyText"/>
      </w:pPr>
      <w:r>
        <w:t xml:space="preserve">现有像素模型通过多模态编码和融合输出密集类别预测。像素级判别保留空间细节，但局部判断与建筑结构之间可能不一致。可学习软区域提供了另一种信息组织方式：一个像素按不同权重关联邻近区域，区域特征再用于像素判断[3,4,6]。然而，区域组织本身并不保证语义正确。跨越建筑与背景的区域可能稀释建筑证据，较大的区域也可能汇集不同建筑及不同损毁类别。区域边界更规整并不必然意味着损毁预测更准确。</w:t>
      </w:r>
    </w:p>
    <w:p>
      <w:pPr>
        <w:pStyle w:val="BodyText"/>
      </w:pPr>
      <w:r>
        <w:t xml:space="preserve">外部训练案例提供另一种补充信息。检索增强分类利用训练特征及其标签关系辅助当前预测[10,11]，与当前图像内部的空间上下文具有不同的信息来源。但检索相似性与任务相关性并不等价：两处区域可以在外观、地表环境或SAR响应上接近，同时具有不同损毁等级。因此，既要检验邻居是否具有更相关的类别组成，也要检验模型是否从这些邻居中获得超过当前区域和额外模型容量的收益。</w:t>
      </w:r>
    </w:p>
    <w:p>
      <w:pPr>
        <w:pStyle w:val="BodyText"/>
      </w:pPr>
      <w:r>
        <w:t xml:space="preserve">本文把问题分为三个相衔接的环节：哪些像素形成区域、区域内哪些内容需要条件化处理，以及哪些历史区域值得作为支持。建筑概率以软相容项影响区域归属；分区状态作为条件调节已融合特征；跨事件类别监督用于调整支持排序。当前像素路径始终保留，区域与支持信息作为联合判别的上下文。本文不预设三个环节各自都能提高性能，而通过独立对照和交互分析明确其作用。</w:t>
      </w:r>
    </w:p>
    <w:p>
      <w:pPr>
        <w:pStyle w:val="BodyText"/>
      </w:pPr>
      <w:r>
        <w:t xml:space="preserve">本文研究以下三个方法设计及其验证问题：</w:t>
      </w:r>
    </w:p>
    <w:p>
      <w:pPr>
        <w:pStyle w:val="Compact"/>
        <w:numPr>
          <w:ilvl w:val="0"/>
          <w:numId w:val="1001"/>
        </w:numPr>
      </w:pPr>
      <w:r>
        <w:rPr>
          <w:b/>
          <w:bCs/>
        </w:rPr>
        <w:t xml:space="preserve">建筑概率约束的软区域组织。</w:t>
      </w:r>
      <w:r>
        <w:t xml:space="preserve"> </w:t>
      </w:r>
      <w:r>
        <w:t xml:space="preserve">在外观与空间关联之外引入预测建筑概率，检验其是否在相同区域预算下减少无关混合，并改善后续损毁判断。</w:t>
      </w:r>
    </w:p>
    <w:p>
      <w:pPr>
        <w:pStyle w:val="Compact"/>
        <w:numPr>
          <w:ilvl w:val="0"/>
          <w:numId w:val="1001"/>
        </w:numPr>
      </w:pPr>
      <w:r>
        <w:rPr>
          <w:b/>
          <w:bCs/>
        </w:rPr>
        <w:t xml:space="preserve">分区状态条件的内容适配。</w:t>
      </w:r>
      <w:r>
        <w:t xml:space="preserve"> </w:t>
      </w:r>
      <w:r>
        <w:t xml:space="preserve">利用建筑概率、软归属相容变化和归属熵调节融合内容，检验结构条件是否优于参数规模相近的普通内容适配。</w:t>
      </w:r>
    </w:p>
    <w:p>
      <w:pPr>
        <w:pStyle w:val="Compact"/>
        <w:numPr>
          <w:ilvl w:val="0"/>
          <w:numId w:val="1001"/>
        </w:numPr>
      </w:pPr>
      <w:r>
        <w:rPr>
          <w:b/>
          <w:bCs/>
        </w:rPr>
        <w:t xml:space="preserve">跨事件类别监督的支持排序。</w:t>
      </w:r>
      <w:r>
        <w:t xml:space="preserve"> </w:t>
      </w:r>
      <w:r>
        <w:t xml:space="preserve">在固定区域内容及固定支持库上学习检索投影，分别检验邻居相关性与像素分类增量，并通过固定读取器仅替换支持ID控制读取器适应性。</w:t>
      </w:r>
    </w:p>
    <w:p>
      <w:pPr>
        <w:pStyle w:val="FirstParagraph"/>
      </w:pPr>
      <w:r>
        <w:t xml:space="preserve">上述三点是待实验支持的方法主张。软分区、注意力池化、交叉注意力及像素—区域联合分类均有已有研究基础，不单独列为创新。最终贡献表述以实验实际支持的范围为限。</w:t>
      </w:r>
    </w:p>
    <w:bookmarkEnd w:id="21"/>
    <w:bookmarkStart w:id="26" w:name="相关工作"/>
    <w:p>
      <w:pPr>
        <w:pStyle w:val="Heading2"/>
      </w:pPr>
      <w:r>
        <w:t xml:space="preserve">2 相关工作</w:t>
      </w:r>
    </w:p>
    <w:bookmarkStart w:id="22" w:name="建筑损毁评估与多模态观测"/>
    <w:p>
      <w:pPr>
        <w:pStyle w:val="Heading3"/>
      </w:pPr>
      <w:r>
        <w:t xml:space="preserve">2.1 建筑损毁评估与多模态观测</w:t>
      </w:r>
    </w:p>
    <w:p>
      <w:pPr>
        <w:pStyle w:val="FirstParagraph"/>
      </w:pPr>
      <w:r>
        <w:t xml:space="preserve">xBD推动了灾前与灾后光学建筑损毁研究[2]。BRIGHT进一步提供灾前光学与灾后SAR组合及标准评估协议[1]。本文沿用既有任务、数据与像素前端，将研究重点放在融合特征之上的区域组织和支持利用，不把输入模态组合、数据集或基础融合网络作为新增贡献。跨模型比较必须核对输入、预训练、数据划分、标签映射、输出解码和指标定义。</w:t>
      </w:r>
    </w:p>
    <w:bookmarkEnd w:id="22"/>
    <w:bookmarkStart w:id="23" w:name="软区域与对象先验"/>
    <w:p>
      <w:pPr>
        <w:pStyle w:val="Heading3"/>
      </w:pPr>
      <w:r>
        <w:t xml:space="preserve">2.2 软区域与对象先验</w:t>
      </w:r>
    </w:p>
    <w:p>
      <w:pPr>
        <w:pStyle w:val="FirstParagraph"/>
      </w:pPr>
      <w:r>
        <w:t xml:space="preserve">SSN将局部像素—中心关联与区域更新构造成可微过程[3]，全卷积超像素方法直接预测局部关联[4]。SPAM进一步研究对象掩膜先验与可学习超像素的结合[5]。因此，</w:t>
      </w:r>
      <w:r>
        <w:t xml:space="preserve">“</w:t>
      </w:r>
      <w:r>
        <w:t xml:space="preserve">使用超像素</w:t>
      </w:r>
      <w:r>
        <w:t xml:space="preserve">”</w:t>
      </w:r>
      <w:r>
        <w:t xml:space="preserve">或“引入对象先验”本身不能构成充分的新颖性。本文研究的具体位置是：将模型预测的建筑概率作为连续相容项加入软归属，并分析其与内容适配的关系。预测概率不是测试真值，软区域也不等于建筑实例。</w:t>
      </w:r>
    </w:p>
    <w:bookmarkEnd w:id="23"/>
    <w:bookmarkStart w:id="24" w:name="区域上下文与条件化表示"/>
    <w:p>
      <w:pPr>
        <w:pStyle w:val="Heading3"/>
      </w:pPr>
      <w:r>
        <w:t xml:space="preserve">2.3 区域上下文与条件化表示</w:t>
      </w:r>
    </w:p>
    <w:p>
      <w:pPr>
        <w:pStyle w:val="FirstParagraph"/>
      </w:pPr>
      <w:r>
        <w:t xml:space="preserve">OCR通过软对象区域组织上下文并增强像素表示[6]，条件化特征方法如FiLM说明外部条件可用于调节网络中间特征[7]。本文不把特征调制或区域回投当作新算子，而关注分区状态是否为融合内容提供有用条件。建筑概率、软归属变化和归属熵的作用需分别去除，并与有效容量相近的内容适配器比较。注意力图仅展示模型权重，不能单独证明模型关注了正确损毁线索。</w:t>
      </w:r>
    </w:p>
    <w:bookmarkEnd w:id="24"/>
    <w:bookmarkStart w:id="25" w:name="类别监督与检索增强分类"/>
    <w:p>
      <w:pPr>
        <w:pStyle w:val="Heading3"/>
      </w:pPr>
      <w:r>
        <w:t xml:space="preserve">2.4 类别监督与检索增强分类</w:t>
      </w:r>
    </w:p>
    <w:p>
      <w:pPr>
        <w:pStyle w:val="FirstParagraph"/>
      </w:pPr>
      <w:r>
        <w:t xml:space="preserve">跨图像像素对比学习利用标签关系组织分割特征[8]，监督对比学习显式约束同类与异类表示[9]。RAC与Tip-Adapter等工作利用训练案例的特征及标签增强分类[10,11]。SRAC与本文同属超像素检索增强的多模态损毁评估方向[12]，因此不能将“超像素加Memory”作为区别于它的充分贡献。本文需要在建筑概率的作用位置、分区状态条件化及跨事件支持排序等具体机制上给出证据，并明确本文是否只是已有机制在该任务中的组合与验证。当前未取得SRAC可核对的全文及官方实现，不能断言其没有这些机制。</w:t>
      </w:r>
    </w:p>
    <w:bookmarkEnd w:id="25"/>
    <w:bookmarkEnd w:id="26"/>
    <w:bookmarkStart w:id="33" w:name="所提方法"/>
    <w:p>
      <w:pPr>
        <w:pStyle w:val="Heading2"/>
      </w:pPr>
      <w:r>
        <w:t xml:space="preserve">3 所提方法</w:t>
      </w:r>
    </w:p>
    <w:bookmarkStart w:id="27" w:name="任务符号与信息边界"/>
    <w:p>
      <w:pPr>
        <w:pStyle w:val="Heading3"/>
      </w:pPr>
      <w:r>
        <w:t xml:space="preserve">3.1 任务、符号与信息边界</w:t>
      </w:r>
    </w:p>
    <w:p>
      <w:pPr>
        <w:pStyle w:val="FirstParagraph"/>
      </w:pPr>
      <w:r>
        <w:t xml:space="preserve">输入为配对的灾前光学影像与灾后SAR影像，输出为背景、完好、受损和毁坏四类像素预测。基础像素模型记为A1，它提供光学结构描述、预测建筑概率</w:t>
      </w:r>
      <w:r>
        <w:t xml:space="preserve"> </w:t>
      </w:r>
      <m:oMath>
        <m:r>
          <m:t>B</m:t>
        </m:r>
      </m:oMath>
      <w:r>
        <w:t xml:space="preserve"> </w:t>
      </w:r>
      <w:r>
        <w:t xml:space="preserve">及光学—SAR融合特征</w:t>
      </w:r>
      <w:r>
        <w:t xml:space="preserve"> </w:t>
      </w:r>
      <m:oMath>
        <m:r>
          <m:t>F</m:t>
        </m:r>
      </m:oMath>
      <w:r>
        <w:t xml:space="preserve">。本文中的“适配前特征”指进入新增结构适配器之前的</w:t>
      </w:r>
      <w:r>
        <w:t xml:space="preserve"> </w:t>
      </w:r>
      <m:oMath>
        <m:r>
          <m:t>F</m:t>
        </m:r>
      </m:oMath>
      <w:r>
        <w:t xml:space="preserve">，不等于原始SAR观测；如果基础前端已经使用软建筑调制，应在实现说明中保留这一事实。</w:t>
      </w:r>
    </w:p>
    <w:p>
      <w:pPr>
        <w:pStyle w:val="BodyText"/>
      </w:pPr>
      <w:r>
        <w:t xml:space="preserve">软归属</w:t>
      </w:r>
      <w:r>
        <w:t xml:space="preserve"> </w:t>
      </w:r>
      <m:oMath>
        <m:sSub>
          <m:e>
            <m:r>
              <m:t>q</m:t>
            </m:r>
          </m:e>
          <m:sub>
            <m:r>
              <m:t>i</m:t>
            </m:r>
            <m:r>
              <m:t>k</m:t>
            </m:r>
          </m:sub>
        </m:sSub>
      </m:oMath>
      <w:r>
        <w:t xml:space="preserve"> </w:t>
      </w:r>
      <w:r>
        <w:t xml:space="preserve">表示网格位置</w:t>
      </w:r>
      <w:r>
        <w:t xml:space="preserve"> </w:t>
      </w:r>
      <m:oMath>
        <m:r>
          <m:t>i</m:t>
        </m:r>
      </m:oMath>
      <w:r>
        <w:t xml:space="preserve"> </w:t>
      </w:r>
      <w:r>
        <w:t xml:space="preserve">对区域</w:t>
      </w:r>
      <w:r>
        <w:t xml:space="preserve"> </w:t>
      </w:r>
      <m:oMath>
        <m:r>
          <m:t>k</m:t>
        </m:r>
      </m:oMath>
      <w:r>
        <w:t xml:space="preserve"> </w:t>
      </w:r>
      <w:r>
        <w:t xml:space="preserve">的权重，且对每个位置满足</w:t>
      </w:r>
      <w:r>
        <w:t xml:space="preserve"> </w:t>
      </w:r>
      <m:oMath>
        <m:nary>
          <m:naryPr>
            <m:chr m:val="∑"/>
            <m:limLoc m:val="undOvr"/>
            <m:subHide m:val="off"/>
            <m:supHide m:val="on"/>
          </m:naryPr>
          <m:sub>
            <m:r>
              <m:t>k</m:t>
            </m:r>
          </m:sub>
          <m:sup>
            <m:r>
              <m:t>​</m:t>
            </m:r>
          </m:sup>
          <m:e>
            <m:sSub>
              <m:e>
                <m:r>
                  <m:t>q</m:t>
                </m:r>
              </m:e>
              <m:sub>
                <m:r>
                  <m:t>i</m:t>
                </m:r>
                <m:r>
                  <m:t>k</m:t>
                </m:r>
              </m:sub>
            </m:sSub>
          </m:e>
        </m:nary>
        <m:r>
          <m:rPr>
            <m:sty m:val="p"/>
          </m:rPr>
          <m:t>=</m:t>
        </m:r>
        <m:r>
          <m:t>1</m:t>
        </m:r>
      </m:oMath>
      <w:r>
        <w:t xml:space="preserve">。区域表示为</w:t>
      </w:r>
      <w:r>
        <w:t xml:space="preserve"> </w:t>
      </w:r>
      <m:oMath>
        <m:sSub>
          <m:e>
            <m:r>
              <m:t>T</m:t>
            </m:r>
          </m:e>
          <m:sub>
            <m:r>
              <m:t>k</m:t>
            </m:r>
          </m:sub>
        </m:sSub>
      </m:oMath>
      <w:r>
        <w:t xml:space="preserve">。支持库记录包括训练区域的特征、软标签组成、几何和来源信息。预测建筑概率来自模型，验证和测试标签不参与分区、特征编码、支持选择及读取。</w:t>
      </w:r>
    </w:p>
    <w:p>
      <w:pPr>
        <w:pStyle w:val="BodyText"/>
      </w:pPr>
      <w:r>
        <w:t xml:space="preserve">图1应区分四个时段：区域编码学习、Train支持库构建、检索投影学习、Reader与联合头学习。图中单独标出每阶段冻结和更新的模块，避免把分阶段训练画成所有模块端到端联合更新。</w:t>
      </w:r>
    </w:p>
    <w:bookmarkEnd w:id="27"/>
    <w:bookmarkStart w:id="28" w:name="建筑概率约束的局部软归属"/>
    <w:p>
      <w:pPr>
        <w:pStyle w:val="Heading3"/>
      </w:pPr>
      <w:r>
        <w:t xml:space="preserve">3.2 建筑概率约束的局部软归属</w:t>
      </w:r>
    </w:p>
    <w:p>
      <w:pPr>
        <w:pStyle w:val="FirstParagraph"/>
      </w:pPr>
      <w:r>
        <w:t xml:space="preserve">在结构特征网格上设置规则种子，每个位置只关联邻近候选中心。为延续初稿设计，采用种子步长8、最多9个候选及3次关联更新作为主配置；这些是待锁定的实验设置，不表示已经完成验证。</w:t>
      </w:r>
    </w:p>
    <w:p>
      <w:pPr>
        <w:pStyle w:val="BodyText"/>
      </w:pPr>
      <w:r>
        <w:t xml:space="preserve">记像素和中心的预测建筑概率为</w:t>
      </w:r>
      <w:r>
        <w:t xml:space="preserve"> </w:t>
      </w:r>
      <m:oMath>
        <m:sSub>
          <m:e>
            <m:r>
              <m:t>B</m:t>
            </m:r>
          </m:e>
          <m:sub>
            <m:r>
              <m:t>i</m:t>
            </m:r>
          </m:sub>
        </m:sSub>
      </m:oMath>
      <w:r>
        <w:t xml:space="preserve"> </w:t>
      </w:r>
      <w:r>
        <w:t xml:space="preserve">与</w:t>
      </w:r>
      <w:r>
        <w:t xml:space="preserve"> </w:t>
      </w:r>
      <m:oMath>
        <m:sSub>
          <m:e>
            <m:acc>
              <m:accPr>
                <m:chr m:val="‾"/>
              </m:accPr>
              <m:e>
                <m:r>
                  <m:t>B</m:t>
                </m:r>
              </m:e>
            </m:acc>
          </m:e>
          <m:sub>
            <m:r>
              <m:t>k</m:t>
            </m:r>
          </m:sub>
        </m:sSub>
      </m:oMath>
      <w:r>
        <w:t xml:space="preserve">，定义相容项：</w:t>
      </w:r>
    </w:p>
    <w:p>
      <w:pPr>
        <w:pStyle w:val="BodyText"/>
      </w:pPr>
      <m:oMathPara>
        <m:oMathParaPr>
          <m:jc m:val="center"/>
        </m:oMathParaPr>
        <m:oMath>
          <m:sSub>
            <m:e>
              <m:r>
                <m:t>κ</m:t>
              </m:r>
            </m:e>
            <m:sub>
              <m:r>
                <m:t>i</m:t>
              </m:r>
              <m:r>
                <m:t>k</m:t>
              </m:r>
            </m:sub>
          </m:sSub>
          <m:r>
            <m:rPr>
              <m:sty m:val="p"/>
            </m:rPr>
            <m:t>=</m:t>
          </m:r>
          <m:sSub>
            <m:e>
              <m:r>
                <m:t>B</m:t>
              </m:r>
            </m:e>
            <m:sub>
              <m:r>
                <m:t>i</m:t>
              </m:r>
            </m:sub>
          </m:sSub>
          <m:sSub>
            <m:e>
              <m:acc>
                <m:accPr>
                  <m:chr m:val="‾"/>
                </m:accPr>
                <m:e>
                  <m:r>
                    <m:t>B</m:t>
                  </m:r>
                </m:e>
              </m:acc>
            </m:e>
            <m:sub>
              <m:r>
                <m:t>k</m:t>
              </m:r>
            </m:sub>
          </m:sSub>
          <m:r>
            <m:rPr>
              <m:sty m:val="p"/>
            </m:rPr>
            <m:t>+</m:t>
          </m:r>
          <m:d>
            <m:dPr>
              <m:begChr m:val="("/>
              <m:endChr m:val=")"/>
              <m:sepChr m:val=""/>
              <m:grow/>
            </m:dPr>
            <m:e>
              <m:r>
                <m:t>1</m:t>
              </m:r>
              <m:r>
                <m:rPr>
                  <m:sty m:val="p"/>
                </m:rPr>
                <m:t>−</m:t>
              </m:r>
              <m:sSub>
                <m:e>
                  <m:r>
                    <m:t>B</m:t>
                  </m:r>
                </m:e>
                <m:sub>
                  <m:r>
                    <m:t>i</m:t>
                  </m:r>
                </m:sub>
              </m:sSub>
            </m:e>
          </m:d>
          <m:d>
            <m:dPr>
              <m:begChr m:val="("/>
              <m:endChr m:val=")"/>
              <m:sepChr m:val=""/>
              <m:grow/>
            </m:dPr>
            <m:e>
              <m:r>
                <m:t>1</m:t>
              </m:r>
              <m:r>
                <m:rPr>
                  <m:sty m:val="p"/>
                </m:rPr>
                <m:t>−</m:t>
              </m:r>
              <m:sSub>
                <m:e>
                  <m:acc>
                    <m:accPr>
                      <m:chr m:val="‾"/>
                    </m:accPr>
                    <m:e>
                      <m:r>
                        <m:t>B</m:t>
                      </m:r>
                    </m:e>
                  </m:acc>
                </m:e>
                <m:sub>
                  <m:r>
                    <m:t>k</m:t>
                  </m:r>
                </m:sub>
              </m:sSub>
            </m:e>
          </m:d>
          <m:r>
            <m:rPr>
              <m:sty m:val="p"/>
            </m:rPr>
            <m:t>.</m:t>
          </m:r>
        </m:oMath>
      </m:oMathPara>
    </w:p>
    <w:p>
      <w:pPr>
        <w:pStyle w:val="FirstParagraph"/>
      </w:pPr>
      <w:r>
        <w:t xml:space="preserve">归属打分综合描述子亲和、空间距离与建筑相容性：</w:t>
      </w:r>
    </w:p>
    <w:p>
      <w:pPr>
        <w:pStyle w:val="BodyText"/>
      </w:pPr>
      <m:oMathPara>
        <m:oMathParaPr>
          <m:jc m:val="center"/>
        </m:oMathParaPr>
        <m:oMath>
          <m:sSub>
            <m:e>
              <m:r>
                <m:t>s</m:t>
              </m:r>
            </m:e>
            <m:sub>
              <m:r>
                <m:t>i</m:t>
              </m:r>
              <m:r>
                <m:t>k</m:t>
              </m:r>
            </m:sub>
          </m:sSub>
          <m:r>
            <m:rPr>
              <m:sty m:val="p"/>
            </m:rPr>
            <m:t>=</m:t>
          </m:r>
          <m:r>
            <m:t>β</m:t>
          </m:r>
          <m:r>
            <m:rPr>
              <m:sty m:val="p"/>
            </m:rPr>
            <m:t>⟨</m:t>
          </m:r>
          <m:acc>
            <m:accPr>
              <m:chr m:val="̂"/>
            </m:accPr>
            <m:e>
              <m:sSub>
                <m:e>
                  <m:r>
                    <m:t>W</m:t>
                  </m:r>
                </m:e>
                <m:sub>
                  <m:r>
                    <m:t>q</m:t>
                  </m:r>
                </m:sub>
              </m:sSub>
              <m:sSub>
                <m:e>
                  <m:r>
                    <m:t>r</m:t>
                  </m:r>
                </m:e>
                <m:sub>
                  <m:r>
                    <m:t>i</m:t>
                  </m:r>
                </m:sub>
              </m:sSub>
            </m:e>
          </m:acc>
          <m:r>
            <m:rPr>
              <m:sty m:val="p"/>
            </m:rPr>
            <m:t>,</m:t>
          </m:r>
          <m:acc>
            <m:accPr>
              <m:chr m:val="̂"/>
            </m:accPr>
            <m:e>
              <m:sSub>
                <m:e>
                  <m:r>
                    <m:t>W</m:t>
                  </m:r>
                </m:e>
                <m:sub>
                  <m:r>
                    <m:t>k</m:t>
                  </m:r>
                </m:sub>
              </m:sSub>
              <m:sSub>
                <m:e>
                  <m:r>
                    <m:t>c</m:t>
                  </m:r>
                </m:e>
                <m:sub>
                  <m:r>
                    <m:t>k</m:t>
                  </m:r>
                </m:sub>
              </m:sSub>
            </m:e>
          </m:acc>
          <m:r>
            <m:rPr>
              <m:sty m:val="p"/>
            </m:rPr>
            <m:t>⟩</m:t>
          </m:r>
          <m:r>
            <m:rPr>
              <m:sty m:val="p"/>
            </m:rPr>
            <m:t>/</m:t>
          </m:r>
          <m:sSub>
            <m:e>
              <m:r>
                <m:t>τ</m:t>
              </m:r>
            </m:e>
            <m:sub>
              <m:r>
                <m:t>q</m:t>
              </m:r>
            </m:sub>
          </m:sSub>
          <m:r>
            <m:rPr>
              <m:sty m:val="p"/>
            </m:rPr>
            <m:t>−</m:t>
          </m:r>
          <m:sSub>
            <m:e>
              <m:r>
                <m:t>λ</m:t>
              </m:r>
            </m:e>
            <m:sub>
              <m:r>
                <m:t>x</m:t>
              </m:r>
            </m:sub>
          </m:sSub>
          <m:r>
            <m:rPr>
              <m:sty m:val="p"/>
            </m:rPr>
            <m:t>∥</m:t>
          </m:r>
          <m:sSub>
            <m:e>
              <m:r>
                <m:t>x</m:t>
              </m:r>
            </m:e>
            <m:sub>
              <m:r>
                <m:t>i</m:t>
              </m:r>
            </m:sub>
          </m:sSub>
          <m:r>
            <m:rPr>
              <m:sty m:val="p"/>
            </m:rPr>
            <m:t>−</m:t>
          </m:r>
          <m:sSub>
            <m:e>
              <m:acc>
                <m:accPr>
                  <m:chr m:val="‾"/>
                </m:accPr>
                <m:e>
                  <m:r>
                    <m:t>x</m:t>
                  </m:r>
                </m:e>
              </m:acc>
            </m:e>
            <m:sub>
              <m:r>
                <m:t>k</m:t>
              </m:r>
            </m:sub>
          </m:sSub>
          <m:sSubSup>
            <m:e>
              <m:r>
                <m:rPr>
                  <m:sty m:val="p"/>
                </m:rPr>
                <m:t>∥</m:t>
              </m:r>
            </m:e>
            <m:sub>
              <m:r>
                <m:t>2</m:t>
              </m:r>
            </m:sub>
            <m:sup>
              <m:r>
                <m:t>2</m:t>
              </m:r>
            </m:sup>
          </m:sSubSup>
          <m:r>
            <m:rPr>
              <m:sty m:val="p"/>
            </m:rPr>
            <m:t>+</m:t>
          </m:r>
          <m:sSub>
            <m:e>
              <m:r>
                <m:t>λ</m:t>
              </m:r>
            </m:e>
            <m:sub>
              <m:r>
                <m:t>B</m:t>
              </m:r>
            </m:sub>
          </m:sSub>
          <m:r>
            <m:rPr>
              <m:sty m:val="p"/>
            </m:rPr>
            <m:t>log</m:t>
          </m:r>
          <m:r>
            <m:rPr>
              <m:sty m:val="p"/>
            </m:rPr>
            <m:t>max</m:t>
          </m:r>
          <m:d>
            <m:dPr>
              <m:begChr m:val="("/>
              <m:endChr m:val=")"/>
              <m:sepChr m:val=""/>
              <m:grow/>
            </m:dPr>
            <m:e>
              <m:sSub>
                <m:e>
                  <m:r>
                    <m:t>κ</m:t>
                  </m:r>
                </m:e>
                <m:sub>
                  <m:r>
                    <m:t>i</m:t>
                  </m:r>
                  <m:r>
                    <m:t>k</m:t>
                  </m:r>
                </m:sub>
              </m:sSub>
              <m:r>
                <m:rPr>
                  <m:sty m:val="p"/>
                </m:rPr>
                <m:t>,</m:t>
              </m:r>
              <m:r>
                <m:t>ϵ</m:t>
              </m:r>
            </m:e>
          </m:d>
          <m:r>
            <m:rPr>
              <m:sty m:val="p"/>
            </m:rPr>
            <m:t>.</m:t>
          </m:r>
        </m:oMath>
      </m:oMathPara>
    </w:p>
    <w:p>
      <w:pPr>
        <w:pStyle w:val="FirstParagraph"/>
      </w:pPr>
      <w:r>
        <w:t xml:space="preserve">在有效局部候选中使用Softmax获得</w:t>
      </w:r>
      <w:r>
        <w:t xml:space="preserve"> </w:t>
      </w:r>
      <m:oMath>
        <m:sSub>
          <m:e>
            <m:r>
              <m:t>q</m:t>
            </m:r>
          </m:e>
          <m:sub>
            <m:r>
              <m:t>i</m:t>
            </m:r>
            <m:r>
              <m:t>k</m:t>
            </m:r>
          </m:sub>
        </m:sSub>
      </m:oMath>
      <w:r>
        <w:t xml:space="preserve">，再按关联权重更新中心描述子、坐标和建筑概率。建筑概率进入该模块前停止梯度；标签不参与前向计算。对照实验关闭建筑相容项时只设置</w:t>
      </w:r>
      <w:r>
        <w:t xml:space="preserve"> </w:t>
      </w:r>
      <m:oMath>
        <m:sSub>
          <m:e>
            <m:r>
              <m:t>λ</m:t>
            </m:r>
          </m:e>
          <m:sub>
            <m:r>
              <m:t>B</m:t>
            </m:r>
          </m:sub>
        </m:sSub>
        <m:r>
          <m:rPr>
            <m:sty m:val="p"/>
          </m:rPr>
          <m:t>=</m:t>
        </m:r>
        <m:r>
          <m:t>0</m:t>
        </m:r>
      </m:oMath>
      <w:r>
        <w:t xml:space="preserve">，保持描述子、候选范围、种子预算、温度和训练协议一致。</w:t>
      </w:r>
    </w:p>
    <w:p>
      <w:pPr>
        <w:pStyle w:val="BodyText"/>
      </w:pPr>
      <w:r>
        <w:t xml:space="preserve">该相容项鼓励建筑状态接近的位置具有更相容的关联，但不提供建筑实例ID，也不强制区域连通。其效果应以实际混合度、有效区域数、边缘错误及最终预测共同判断。</w:t>
      </w:r>
    </w:p>
    <w:bookmarkEnd w:id="28"/>
    <w:bookmarkStart w:id="29" w:name="分区状态条件的内容适配"/>
    <w:p>
      <w:pPr>
        <w:pStyle w:val="Heading3"/>
      </w:pPr>
      <w:r>
        <w:t xml:space="preserve">3.3 分区状态条件的内容适配</w:t>
      </w:r>
    </w:p>
    <w:p>
      <w:pPr>
        <w:pStyle w:val="FirstParagraph"/>
      </w:pPr>
      <w:r>
        <w:t xml:space="preserve">对相邻位置的归属，应先按全局区域ID对齐；不能直接比较各位置局部候选数组中相同下标。沿用初稿的相容变化量：</w:t>
      </w:r>
    </w:p>
    <w:p>
      <w:pPr>
        <w:pStyle w:val="BodyText"/>
      </w:pPr>
      <m:oMathPara>
        <m:oMathParaPr>
          <m:jc m:val="center"/>
        </m:oMathParaPr>
        <m:oMath>
          <m:sSub>
            <m:e>
              <m:r>
                <m:t>b</m:t>
              </m:r>
            </m:e>
            <m:sub>
              <m:r>
                <m:t>i</m:t>
              </m:r>
            </m:sub>
          </m:sSub>
          <m:d>
            <m:dPr>
              <m:begChr m:val="("/>
              <m:endChr m:val=")"/>
              <m:sepChr m:val=""/>
              <m:grow/>
            </m:dPr>
            <m:e>
              <m:r>
                <m:t>Q</m:t>
              </m:r>
            </m:e>
          </m:d>
          <m:r>
            <m:rPr>
              <m:sty m:val="p"/>
            </m:rPr>
            <m:t>=</m:t>
          </m:r>
          <m:limLow>
            <m:e>
              <m:r>
                <m:rPr>
                  <m:sty m:val="p"/>
                </m:rPr>
                <m:t>max</m:t>
              </m:r>
            </m:e>
            <m:lim>
              <m:r>
                <m:t>j</m:t>
              </m:r>
              <m:r>
                <m:rPr>
                  <m:sty m:val="p"/>
                </m:rPr>
                <m:t>∈</m:t>
              </m:r>
              <m:r>
                <m:rPr>
                  <m:sty m:val="p"/>
                  <m:scr m:val="script"/>
                </m:rPr>
                <m:t>A</m:t>
              </m:r>
              <m:d>
                <m:dPr>
                  <m:begChr m:val="("/>
                  <m:endChr m:val=")"/>
                  <m:sepChr m:val=""/>
                  <m:grow/>
                </m:dPr>
                <m:e>
                  <m:r>
                    <m:t>i</m:t>
                  </m:r>
                </m:e>
              </m:d>
            </m:lim>
          </m:limLow>
          <m:d>
            <m:dPr>
              <m:begChr m:val="("/>
              <m:endChr m:val=")"/>
              <m:sepChr m:val=""/>
              <m:grow/>
            </m:dPr>
            <m:e>
              <m:r>
                <m:t>1</m:t>
              </m:r>
              <m:r>
                <m:rPr>
                  <m:sty m:val="p"/>
                </m:rPr>
                <m:t>−</m:t>
              </m:r>
              <m:nary>
                <m:naryPr>
                  <m:chr m:val="∑"/>
                  <m:limLoc m:val="undOvr"/>
                  <m:subHide m:val="off"/>
                  <m:supHide m:val="on"/>
                </m:naryPr>
                <m:sub>
                  <m:r>
                    <m:t>k</m:t>
                  </m:r>
                </m:sub>
                <m:sup>
                  <m:r>
                    <m:t>​</m:t>
                  </m:r>
                </m:sup>
                <m:e>
                  <m:sSub>
                    <m:e>
                      <m:r>
                        <m:t>q</m:t>
                      </m:r>
                    </m:e>
                    <m:sub>
                      <m:r>
                        <m:t>i</m:t>
                      </m:r>
                      <m:r>
                        <m:t>k</m:t>
                      </m:r>
                    </m:sub>
                  </m:sSub>
                </m:e>
              </m:nary>
              <m:sSub>
                <m:e>
                  <m:r>
                    <m:t>q</m:t>
                  </m:r>
                </m:e>
                <m:sub>
                  <m:r>
                    <m:t>j</m:t>
                  </m:r>
                  <m:r>
                    <m:t>k</m:t>
                  </m:r>
                </m:sub>
              </m:sSub>
            </m:e>
          </m:d>
          <m:r>
            <m:rPr>
              <m:sty m:val="p"/>
            </m:rPr>
            <m:t>,</m:t>
          </m:r>
          <m:r>
            <m:t>  </m:t>
          </m:r>
          <m:sSub>
            <m:e>
              <m:r>
                <m:t>H</m:t>
              </m:r>
            </m:e>
            <m:sub>
              <m:r>
                <m:t>i</m:t>
              </m:r>
            </m:sub>
          </m:sSub>
          <m:d>
            <m:dPr>
              <m:begChr m:val="("/>
              <m:endChr m:val=")"/>
              <m:sepChr m:val=""/>
              <m:grow/>
            </m:dPr>
            <m:e>
              <m:r>
                <m:t>Q</m:t>
              </m:r>
            </m:e>
          </m:d>
          <m:r>
            <m:rPr>
              <m:sty m:val="p"/>
            </m:rPr>
            <m:t>=</m:t>
          </m:r>
          <m:r>
            <m:rPr>
              <m:sty m:val="p"/>
            </m:rPr>
            <m:t>−</m:t>
          </m:r>
          <m:nary>
            <m:naryPr>
              <m:chr m:val="∑"/>
              <m:limLoc m:val="undOvr"/>
              <m:subHide m:val="off"/>
              <m:supHide m:val="on"/>
            </m:naryPr>
            <m:sub>
              <m:r>
                <m:t>k</m:t>
              </m:r>
            </m:sub>
            <m:sup>
              <m:r>
                <m:t>​</m:t>
              </m:r>
            </m:sup>
            <m:e>
              <m:sSub>
                <m:e>
                  <m:r>
                    <m:t>q</m:t>
                  </m:r>
                </m:e>
                <m:sub>
                  <m:r>
                    <m:t>i</m:t>
                  </m:r>
                  <m:r>
                    <m:t>k</m:t>
                  </m:r>
                </m:sub>
              </m:sSub>
            </m:e>
          </m:nary>
          <m:r>
            <m:rPr>
              <m:sty m:val="p"/>
            </m:rPr>
            <m:t>log</m:t>
          </m:r>
          <m:r>
            <m:rPr>
              <m:sty m:val="p"/>
            </m:rPr>
            <m:t>max</m:t>
          </m:r>
          <m:d>
            <m:dPr>
              <m:begChr m:val="("/>
              <m:endChr m:val=")"/>
              <m:sepChr m:val=""/>
              <m:grow/>
            </m:dPr>
            <m:e>
              <m:sSub>
                <m:e>
                  <m:r>
                    <m:t>q</m:t>
                  </m:r>
                </m:e>
                <m:sub>
                  <m:r>
                    <m:t>i</m:t>
                  </m:r>
                  <m:r>
                    <m:t>k</m:t>
                  </m:r>
                </m:sub>
              </m:sSub>
              <m:r>
                <m:rPr>
                  <m:sty m:val="p"/>
                </m:rPr>
                <m:t>,</m:t>
              </m:r>
              <m:r>
                <m:t>ϵ</m:t>
              </m:r>
            </m:e>
          </m:d>
          <m:r>
            <m:rPr>
              <m:sty m:val="p"/>
            </m:rPr>
            <m:t>/</m:t>
          </m:r>
          <m:r>
            <m:rPr>
              <m:sty m:val="p"/>
            </m:rPr>
            <m:t>log</m:t>
          </m:r>
          <m:r>
            <m:t>9</m:t>
          </m:r>
          <m:r>
            <m:rPr>
              <m:sty m:val="p"/>
            </m:rPr>
            <m:t>.</m:t>
          </m:r>
        </m:oMath>
      </m:oMathPara>
    </w:p>
    <w:p>
      <w:pPr>
        <w:pStyle w:val="FirstParagraph"/>
      </w:pPr>
      <w:r>
        <w:t xml:space="preserve">其中</w:t>
      </w:r>
      <w:r>
        <w:t xml:space="preserve"> </w:t>
      </w:r>
      <m:oMath>
        <m:r>
          <m:rPr>
            <m:sty m:val="p"/>
            <m:scr m:val="script"/>
          </m:rPr>
          <m:t>A</m:t>
        </m:r>
        <m:d>
          <m:dPr>
            <m:begChr m:val="("/>
            <m:endChr m:val=")"/>
            <m:sepChr m:val=""/>
            <m:grow/>
          </m:dPr>
          <m:e>
            <m:r>
              <m:t>i</m:t>
            </m:r>
          </m:e>
        </m:d>
      </m:oMath>
      <w:r>
        <w:t xml:space="preserve"> </w:t>
      </w:r>
      <w:r>
        <w:t xml:space="preserve">为四邻域。需要说明，</w:t>
      </w:r>
      <m:oMath>
        <m:r>
          <m:t>1</m:t>
        </m:r>
        <m:r>
          <m:rPr>
            <m:sty m:val="p"/>
          </m:rPr>
          <m:t>−</m:t>
        </m:r>
        <m:r>
          <m:rPr>
            <m:sty m:val="p"/>
          </m:rPr>
          <m:t>⟨</m:t>
        </m:r>
        <m:sSub>
          <m:e>
            <m:r>
              <m:t>q</m:t>
            </m:r>
          </m:e>
          <m:sub>
            <m:r>
              <m:t>i</m:t>
            </m:r>
          </m:sub>
        </m:sSub>
        <m:r>
          <m:rPr>
            <m:sty m:val="p"/>
          </m:rPr>
          <m:t>,</m:t>
        </m:r>
        <m:sSub>
          <m:e>
            <m:r>
              <m:t>q</m:t>
            </m:r>
          </m:e>
          <m:sub>
            <m:r>
              <m:t>j</m:t>
            </m:r>
          </m:sub>
        </m:sSub>
        <m:r>
          <m:rPr>
            <m:sty m:val="p"/>
          </m:rPr>
          <m:t>⟩</m:t>
        </m:r>
      </m:oMath>
      <w:r>
        <w:t xml:space="preserve"> </w:t>
      </w:r>
      <w:r>
        <w:t xml:space="preserve">不是严格的分布距离：即使两个分布相同，只要归属较分散，该值仍可能非零。因此本文称其为相容变化量，不把它直接称为真实建筑边界；</w:t>
      </w:r>
      <m:oMath>
        <m:r>
          <m:t>H</m:t>
        </m:r>
        <m:d>
          <m:dPr>
            <m:begChr m:val="("/>
            <m:endChr m:val=")"/>
            <m:sepChr m:val=""/>
            <m:grow/>
          </m:dPr>
          <m:e>
            <m:r>
              <m:t>Q</m:t>
            </m:r>
          </m:e>
        </m:d>
      </m:oMath>
      <w:r>
        <w:t xml:space="preserve"> </w:t>
      </w:r>
      <w:r>
        <w:t xml:space="preserve">也不是经过校准的损毁预测不确定性。二者可能相关，其独立作用由条件消融决定。</w:t>
      </w:r>
    </w:p>
    <w:p>
      <w:pPr>
        <w:pStyle w:val="BodyText"/>
      </w:pPr>
      <w:r>
        <w:t xml:space="preserve">以</w:t>
      </w:r>
      <w:r>
        <w:t xml:space="preserve"> </w:t>
      </w:r>
      <m:oMath>
        <m:sSub>
          <m:e>
            <m:r>
              <m:t>S</m:t>
            </m:r>
          </m:e>
          <m:sub>
            <m:r>
              <m:t>i</m:t>
            </m:r>
          </m:sub>
        </m:sSub>
        <m:r>
          <m:rPr>
            <m:sty m:val="p"/>
          </m:rPr>
          <m:t>=</m:t>
        </m:r>
        <m:d>
          <m:dPr>
            <m:begChr m:val="["/>
            <m:endChr m:val="]"/>
            <m:sepChr m:val=""/>
            <m:grow/>
          </m:dPr>
          <m:e>
            <m:sSub>
              <m:e>
                <m:r>
                  <m:t>B</m:t>
                </m:r>
              </m:e>
              <m:sub>
                <m:r>
                  <m:t>i</m:t>
                </m:r>
              </m:sub>
            </m:sSub>
            <m:r>
              <m:rPr>
                <m:sty m:val="p"/>
              </m:rPr>
              <m:t>,</m:t>
            </m:r>
            <m:sSub>
              <m:e>
                <m:r>
                  <m:t>b</m:t>
                </m:r>
              </m:e>
              <m:sub>
                <m:r>
                  <m:t>i</m:t>
                </m:r>
              </m:sub>
            </m:sSub>
            <m:d>
              <m:dPr>
                <m:begChr m:val="("/>
                <m:endChr m:val=")"/>
                <m:sepChr m:val=""/>
                <m:grow/>
              </m:dPr>
              <m:e>
                <m:r>
                  <m:t>Q</m:t>
                </m:r>
              </m:e>
            </m:d>
            <m:r>
              <m:rPr>
                <m:sty m:val="p"/>
              </m:rPr>
              <m:t>,</m:t>
            </m:r>
            <m:sSub>
              <m:e>
                <m:r>
                  <m:t>H</m:t>
                </m:r>
              </m:e>
              <m:sub>
                <m:r>
                  <m:t>i</m:t>
                </m:r>
              </m:sub>
            </m:sSub>
            <m:d>
              <m:dPr>
                <m:begChr m:val="("/>
                <m:endChr m:val=")"/>
                <m:sepChr m:val=""/>
                <m:grow/>
              </m:dPr>
              <m:e>
                <m:r>
                  <m:t>Q</m:t>
                </m:r>
              </m:e>
            </m:d>
          </m:e>
        </m:d>
      </m:oMath>
      <w:r>
        <w:t xml:space="preserve"> </w:t>
      </w:r>
      <w:r>
        <w:t xml:space="preserve">构造条件嵌入，对内容进行残差适配：</w:t>
      </w:r>
    </w:p>
    <w:p>
      <w:pPr>
        <w:pStyle w:val="BodyText"/>
      </w:pPr>
      <m:oMathPara>
        <m:oMathParaPr>
          <m:jc m:val="center"/>
        </m:oMathParaPr>
        <m:oMath>
          <m:sSub>
            <m:e>
              <m:acc>
                <m:accPr>
                  <m:chr m:val="̃"/>
                </m:accPr>
                <m:e>
                  <m:r>
                    <m:t>F</m:t>
                  </m:r>
                </m:e>
              </m:acc>
            </m:e>
            <m:sub>
              <m:r>
                <m:t>i</m:t>
              </m:r>
            </m:sub>
          </m:sSub>
          <m:r>
            <m:rPr>
              <m:sty m:val="p"/>
            </m:rPr>
            <m:t>=</m:t>
          </m:r>
          <m:sSub>
            <m:e>
              <m:r>
                <m:t>P</m:t>
              </m:r>
            </m:e>
            <m:sub>
              <m:r>
                <m:t>f</m:t>
              </m:r>
            </m:sub>
          </m:sSub>
          <m:d>
            <m:dPr>
              <m:begChr m:val="("/>
              <m:endChr m:val=")"/>
              <m:sepChr m:val=""/>
              <m:grow/>
            </m:dPr>
            <m:e>
              <m:sSub>
                <m:e>
                  <m:r>
                    <m:t>F</m:t>
                  </m:r>
                </m:e>
                <m:sub>
                  <m:r>
                    <m:t>i</m:t>
                  </m:r>
                </m:sub>
              </m:sSub>
            </m:e>
          </m:d>
          <m:r>
            <m:rPr>
              <m:sty m:val="p"/>
            </m:rPr>
            <m:t>+</m:t>
          </m:r>
          <m:r>
            <m:t>Λ</m:t>
          </m:r>
          <m:r>
            <m:rPr>
              <m:sty m:val="p"/>
            </m:rPr>
            <m:t>⊙</m:t>
          </m:r>
          <m:r>
            <m:rPr>
              <m:sty m:val="p"/>
            </m:rPr>
            <m:t>MLP</m:t>
          </m:r>
          <m:r>
            <m:t>​</m:t>
          </m:r>
          <m:d>
            <m:dPr>
              <m:begChr m:val="("/>
              <m:endChr m:val=")"/>
              <m:sepChr m:val=""/>
              <m:grow/>
            </m:dPr>
            <m:e>
              <m:r>
                <m:rPr>
                  <m:sty m:val="p"/>
                </m:rPr>
                <m:t>LN</m:t>
              </m:r>
              <m:d>
                <m:dPr>
                  <m:begChr m:val="["/>
                  <m:endChr m:val="]"/>
                  <m:sepChr m:val=""/>
                  <m:grow/>
                </m:dPr>
                <m:e>
                  <m:sSub>
                    <m:e>
                      <m:r>
                        <m:t>P</m:t>
                      </m:r>
                    </m:e>
                    <m:sub>
                      <m:r>
                        <m:t>f</m:t>
                      </m:r>
                    </m:sub>
                  </m:sSub>
                  <m:d>
                    <m:dPr>
                      <m:begChr m:val="("/>
                      <m:endChr m:val=")"/>
                      <m:sepChr m:val=""/>
                      <m:grow/>
                    </m:dPr>
                    <m:e>
                      <m:sSub>
                        <m:e>
                          <m:r>
                            <m:t>F</m:t>
                          </m:r>
                        </m:e>
                        <m:sub>
                          <m:r>
                            <m:t>i</m:t>
                          </m:r>
                        </m:sub>
                      </m:sSub>
                    </m:e>
                  </m:d>
                  <m:r>
                    <m:rPr>
                      <m:sty m:val="p"/>
                    </m:rPr>
                    <m:t>;</m:t>
                  </m:r>
                  <m:sSub>
                    <m:e>
                      <m:r>
                        <m:t>P</m:t>
                      </m:r>
                    </m:e>
                    <m:sub>
                      <m:r>
                        <m:t>s</m:t>
                      </m:r>
                    </m:sub>
                  </m:sSub>
                  <m:d>
                    <m:dPr>
                      <m:begChr m:val="("/>
                      <m:endChr m:val=")"/>
                      <m:sepChr m:val=""/>
                      <m:grow/>
                    </m:dPr>
                    <m:e>
                      <m:sSub>
                        <m:e>
                          <m:r>
                            <m:t>S</m:t>
                          </m:r>
                        </m:e>
                        <m:sub>
                          <m:r>
                            <m:t>i</m:t>
                          </m:r>
                        </m:sub>
                      </m:sSub>
                    </m:e>
                  </m:d>
                </m:e>
              </m:d>
            </m:e>
          </m:d>
          <m:r>
            <m:rPr>
              <m:sty m:val="p"/>
            </m:rPr>
            <m:t>.</m:t>
          </m:r>
        </m:oMath>
      </m:oMathPara>
    </w:p>
    <w:p>
      <w:pPr>
        <w:pStyle w:val="FirstParagraph"/>
      </w:pPr>
      <w:r>
        <w:t xml:space="preserve">基础内容投影</w:t>
      </w:r>
      <w:r>
        <w:t xml:space="preserve"> </w:t>
      </w:r>
      <m:oMath>
        <m:sSub>
          <m:e>
            <m:r>
              <m:t>P</m:t>
            </m:r>
          </m:e>
          <m:sub>
            <m:r>
              <m:t>f</m:t>
            </m:r>
          </m:sub>
        </m:sSub>
      </m:oMath>
      <w:r>
        <w:t xml:space="preserve"> </w:t>
      </w:r>
      <w:r>
        <w:t xml:space="preserve">在所有结构变体中保留。对照中的“无适配”仅去除残差适配，不能同时删除内容投影或改变输出维度。普通内容Adapter使用实际内容输入和匹配的瓶颈结构；把条件置零并保留闲置参数只适合条件删除，不足以替代有效容量对照。</w:t>
      </w:r>
    </w:p>
    <w:p>
      <w:pPr>
        <w:pStyle w:val="BodyText"/>
      </w:pPr>
      <w:r>
        <w:t xml:space="preserve">区域表示由三条路径组成：注意力加权的适配内容</w:t>
      </w:r>
      <w:r>
        <w:t xml:space="preserve"> </w:t>
      </w:r>
      <m:oMath>
        <m:sSubSup>
          <m:e>
            <m:r>
              <m:t>μ</m:t>
            </m:r>
          </m:e>
          <m:sub>
            <m:r>
              <m:t>k</m:t>
            </m:r>
          </m:sub>
          <m:sup>
            <m:r>
              <m:t>a</m:t>
            </m:r>
            <m:r>
              <m:t>t</m:t>
            </m:r>
            <m:r>
              <m:t>t</m:t>
            </m:r>
          </m:sup>
        </m:sSubSup>
      </m:oMath>
      <w:r>
        <w:t xml:space="preserve">、适配前融合内容的加权均值与标准差</w:t>
      </w:r>
      <w:r>
        <w:t xml:space="preserve"> </w:t>
      </w:r>
      <m:oMath>
        <m:d>
          <m:dPr>
            <m:begChr m:val="["/>
            <m:endChr m:val="]"/>
            <m:sepChr m:val=""/>
            <m:grow/>
          </m:dPr>
          <m:e>
            <m:sSubSup>
              <m:e>
                <m:r>
                  <m:t>μ</m:t>
                </m:r>
              </m:e>
              <m:sub>
                <m:r>
                  <m:t>k</m:t>
                </m:r>
              </m:sub>
              <m:sup>
                <m:r>
                  <m:t>r</m:t>
                </m:r>
                <m:r>
                  <m:t>a</m:t>
                </m:r>
                <m:r>
                  <m:t>w</m:t>
                </m:r>
              </m:sup>
            </m:sSubSup>
            <m:r>
              <m:rPr>
                <m:sty m:val="p"/>
              </m:rPr>
              <m:t>;</m:t>
            </m:r>
            <m:sSubSup>
              <m:e>
                <m:r>
                  <m:t>σ</m:t>
                </m:r>
              </m:e>
              <m:sub>
                <m:r>
                  <m:t>k</m:t>
                </m:r>
              </m:sub>
              <m:sup>
                <m:r>
                  <m:t>r</m:t>
                </m:r>
                <m:r>
                  <m:t>a</m:t>
                </m:r>
                <m:r>
                  <m:t>w</m:t>
                </m:r>
              </m:sup>
            </m:sSubSup>
          </m:e>
        </m:d>
      </m:oMath>
      <w:r>
        <w:t xml:space="preserve">，以及区域质量、软质心和空间扩展等软几何</w:t>
      </w:r>
      <w:r>
        <w:t xml:space="preserve"> </w:t>
      </w:r>
      <m:oMath>
        <m:sSub>
          <m:e>
            <m:r>
              <m:t>g</m:t>
            </m:r>
          </m:e>
          <m:sub>
            <m:r>
              <m:t>k</m:t>
            </m:r>
          </m:sub>
        </m:sSub>
      </m:oMath>
      <w:r>
        <w:t xml:space="preserve">：</w:t>
      </w:r>
    </w:p>
    <w:p>
      <w:pPr>
        <w:pStyle w:val="BodyText"/>
      </w:pPr>
      <m:oMathPara>
        <m:oMathParaPr>
          <m:jc m:val="center"/>
        </m:oMathParaPr>
        <m:oMath>
          <m:sSub>
            <m:e>
              <m:r>
                <m:t>T</m:t>
              </m:r>
            </m:e>
            <m:sub>
              <m:r>
                <m:t>k</m:t>
              </m:r>
            </m:sub>
          </m:sSub>
          <m:r>
            <m:rPr>
              <m:sty m:val="p"/>
            </m:rPr>
            <m:t>=</m:t>
          </m:r>
          <m:r>
            <m:rPr>
              <m:sty m:val="p"/>
            </m:rPr>
            <m:t>LN</m:t>
          </m:r>
          <m:d>
            <m:dPr>
              <m:begChr m:val="["/>
              <m:endChr m:val="]"/>
              <m:sepChr m:val=""/>
              <m:grow/>
            </m:dPr>
            <m:e>
              <m:r>
                <m:t>ϕ</m:t>
              </m:r>
              <m:d>
                <m:dPr>
                  <m:begChr m:val="("/>
                  <m:endChr m:val=")"/>
                  <m:sepChr m:val=""/>
                  <m:grow/>
                </m:dPr>
                <m:e>
                  <m:sSubSup>
                    <m:e>
                      <m:r>
                        <m:t>μ</m:t>
                      </m:r>
                    </m:e>
                    <m:sub>
                      <m:r>
                        <m:t>k</m:t>
                      </m:r>
                    </m:sub>
                    <m:sup>
                      <m:r>
                        <m:t>a</m:t>
                      </m:r>
                      <m:r>
                        <m:t>t</m:t>
                      </m:r>
                      <m:r>
                        <m:t>t</m:t>
                      </m:r>
                    </m:sup>
                  </m:sSubSup>
                </m:e>
              </m:d>
              <m:r>
                <m:rPr>
                  <m:sty m:val="p"/>
                </m:rPr>
                <m:t>+</m:t>
              </m:r>
              <m:r>
                <m:rPr>
                  <m:sty m:val="p"/>
                </m:rPr>
                <m:t>tanh</m:t>
              </m:r>
              <m:d>
                <m:dPr>
                  <m:begChr m:val="("/>
                  <m:endChr m:val=")"/>
                  <m:sepChr m:val=""/>
                  <m:grow/>
                </m:dPr>
                <m:e>
                  <m:r>
                    <m:t>α</m:t>
                  </m:r>
                </m:e>
              </m:d>
              <m:r>
                <m:t>ψ</m:t>
              </m:r>
              <m:d>
                <m:dPr>
                  <m:begChr m:val="("/>
                  <m:endChr m:val=")"/>
                  <m:sepChr m:val=""/>
                  <m:grow/>
                </m:dPr>
                <m:e>
                  <m:d>
                    <m:dPr>
                      <m:begChr m:val="["/>
                      <m:endChr m:val="]"/>
                      <m:sepChr m:val=""/>
                      <m:grow/>
                    </m:dPr>
                    <m:e>
                      <m:sSubSup>
                        <m:e>
                          <m:r>
                            <m:t>μ</m:t>
                          </m:r>
                        </m:e>
                        <m:sub>
                          <m:r>
                            <m:t>k</m:t>
                          </m:r>
                        </m:sub>
                        <m:sup>
                          <m:r>
                            <m:t>r</m:t>
                          </m:r>
                          <m:r>
                            <m:t>a</m:t>
                          </m:r>
                          <m:r>
                            <m:t>w</m:t>
                          </m:r>
                        </m:sup>
                      </m:sSubSup>
                      <m:r>
                        <m:rPr>
                          <m:sty m:val="p"/>
                        </m:rPr>
                        <m:t>;</m:t>
                      </m:r>
                      <m:sSubSup>
                        <m:e>
                          <m:r>
                            <m:t>σ</m:t>
                          </m:r>
                        </m:e>
                        <m:sub>
                          <m:r>
                            <m:t>k</m:t>
                          </m:r>
                        </m:sub>
                        <m:sup>
                          <m:r>
                            <m:t>r</m:t>
                          </m:r>
                          <m:r>
                            <m:t>a</m:t>
                          </m:r>
                          <m:r>
                            <m:t>w</m:t>
                          </m:r>
                        </m:sup>
                      </m:sSubSup>
                    </m:e>
                  </m:d>
                </m:e>
              </m:d>
              <m:r>
                <m:rPr>
                  <m:sty m:val="p"/>
                </m:rPr>
                <m:t>+</m:t>
              </m:r>
              <m:r>
                <m:t>γ</m:t>
              </m:r>
              <m:d>
                <m:dPr>
                  <m:begChr m:val="("/>
                  <m:endChr m:val=")"/>
                  <m:sepChr m:val=""/>
                  <m:grow/>
                </m:dPr>
                <m:e>
                  <m:sSub>
                    <m:e>
                      <m:r>
                        <m:t>g</m:t>
                      </m:r>
                    </m:e>
                    <m:sub>
                      <m:r>
                        <m:t>k</m:t>
                      </m:r>
                    </m:sub>
                  </m:sSub>
                </m:e>
              </m:d>
            </m:e>
          </m:d>
          <m:r>
            <m:rPr>
              <m:sty m:val="p"/>
            </m:rPr>
            <m:t>.</m:t>
          </m:r>
        </m:oMath>
      </m:oMathPara>
    </w:p>
    <w:p>
      <w:pPr>
        <w:pStyle w:val="FirstParagraph"/>
      </w:pPr>
      <w:r>
        <w:t xml:space="preserve">所有池化按有效质量归一化，零质量区域进行显式屏蔽。统计旁路用于保留适配前的信息，不能据此声称恢复了区域压缩已经丢失的像素细节。</w:t>
      </w:r>
    </w:p>
    <w:bookmarkEnd w:id="29"/>
    <w:bookmarkStart w:id="30" w:name="固定训练支持库与跨事件检索投影"/>
    <w:p>
      <w:pPr>
        <w:pStyle w:val="Heading3"/>
      </w:pPr>
      <w:r>
        <w:t xml:space="preserve">3.4 固定训练支持库与跨事件检索投影</w:t>
      </w:r>
    </w:p>
    <w:p>
      <w:pPr>
        <w:pStyle w:val="FirstParagraph"/>
      </w:pPr>
      <w:r>
        <w:t xml:space="preserve">在选定并冻结的区域编码快照上对训练图像确定性编码。每条支持记录定义为</w:t>
      </w:r>
      <w:r>
        <w:t xml:space="preserve"> </w:t>
      </w:r>
      <m:oMath>
        <m:sSub>
          <m:e>
            <m:r>
              <m:t>m</m:t>
            </m:r>
          </m:e>
          <m:sub>
            <m:r>
              <m:t>s</m:t>
            </m:r>
          </m:sub>
        </m:sSub>
        <m:r>
          <m:rPr>
            <m:sty m:val="p"/>
          </m:rPr>
          <m:t>=</m:t>
        </m:r>
        <m:d>
          <m:dPr>
            <m:begChr m:val="("/>
            <m:endChr m:val=")"/>
            <m:sepChr m:val=""/>
            <m:grow/>
          </m:dPr>
          <m:e>
            <m:r>
              <m:t>I</m:t>
            </m:r>
            <m:sSub>
              <m:e>
                <m:r>
                  <m:t>D</m:t>
                </m:r>
              </m:e>
              <m:sub>
                <m:r>
                  <m:t>s</m:t>
                </m:r>
              </m:sub>
            </m:sSub>
            <m:r>
              <m:rPr>
                <m:sty m:val="p"/>
              </m:rPr>
              <m:t>,</m:t>
            </m:r>
            <m:sSub>
              <m:e>
                <m:r>
                  <m:t>T</m:t>
                </m:r>
              </m:e>
              <m:sub>
                <m:r>
                  <m:t>s</m:t>
                </m:r>
              </m:sub>
            </m:sSub>
            <m:r>
              <m:rPr>
                <m:sty m:val="p"/>
              </m:rPr>
              <m:t>,</m:t>
            </m:r>
            <m:sSub>
              <m:e>
                <m:r>
                  <m:t>π</m:t>
                </m:r>
              </m:e>
              <m:sub>
                <m:r>
                  <m:t>s</m:t>
                </m:r>
              </m:sub>
            </m:sSub>
            <m:r>
              <m:rPr>
                <m:sty m:val="p"/>
              </m:rPr>
              <m:t>,</m:t>
            </m:r>
            <m:sSub>
              <m:e>
                <m:r>
                  <m:t>g</m:t>
                </m:r>
              </m:e>
              <m:sub>
                <m:r>
                  <m:t>s</m:t>
                </m:r>
              </m:sub>
            </m:sSub>
            <m:r>
              <m:rPr>
                <m:sty m:val="p"/>
              </m:rPr>
              <m:t>,</m:t>
            </m:r>
            <m:sSub>
              <m:e>
                <m:r>
                  <m:t>e</m:t>
                </m:r>
              </m:e>
              <m:sub>
                <m:r>
                  <m:t>s</m:t>
                </m:r>
              </m:sub>
            </m:sSub>
            <m:r>
              <m:rPr>
                <m:sty m:val="p"/>
              </m:rPr>
              <m:t>,</m:t>
            </m:r>
            <m:sSub>
              <m:e>
                <m:r>
                  <m:t>d</m:t>
                </m:r>
              </m:e>
              <m:sub>
                <m:r>
                  <m:t>s</m:t>
                </m:r>
              </m:sub>
            </m:sSub>
            <m:r>
              <m:rPr>
                <m:sty m:val="p"/>
              </m:rPr>
              <m:t>,</m:t>
            </m:r>
            <m:r>
              <m:t>i</m:t>
            </m:r>
            <m:r>
              <m:t>m</m:t>
            </m:r>
            <m:r>
              <m:t>a</m:t>
            </m:r>
            <m:r>
              <m:t>g</m:t>
            </m:r>
            <m:sSub>
              <m:e>
                <m:r>
                  <m:t>e</m:t>
                </m:r>
              </m:e>
              <m:sub>
                <m:r>
                  <m:t>s</m:t>
                </m:r>
              </m:sub>
            </m:sSub>
          </m:e>
        </m:d>
      </m:oMath>
      <w:r>
        <w:t xml:space="preserve">，其中</w:t>
      </w:r>
      <w:r>
        <w:t xml:space="preserve"> </w:t>
      </w:r>
      <m:oMath>
        <m:sSub>
          <m:e>
            <m:r>
              <m:t>π</m:t>
            </m:r>
          </m:e>
          <m:sub>
            <m:r>
              <m:t>s</m:t>
            </m:r>
          </m:sub>
        </m:sSub>
      </m:oMath>
      <w:r>
        <w:t xml:space="preserve"> </w:t>
      </w:r>
      <w:r>
        <w:t xml:space="preserve">为按同一软归属汇总的四类训练标签组成，</w:t>
      </w:r>
      <m:oMath>
        <m:sSub>
          <m:e>
            <m:r>
              <m:t>e</m:t>
            </m:r>
          </m:e>
          <m:sub>
            <m:r>
              <m:t>s</m:t>
            </m:r>
          </m:sub>
        </m:sSub>
      </m:oMath>
      <w:r>
        <w:t xml:space="preserve"> </w:t>
      </w:r>
      <w:r>
        <w:t xml:space="preserve">和</w:t>
      </w:r>
      <w:r>
        <w:t xml:space="preserve"> </w:t>
      </w:r>
      <m:oMath>
        <m:sSub>
          <m:e>
            <m:r>
              <m:t>d</m:t>
            </m:r>
          </m:e>
          <m:sub>
            <m:r>
              <m:t>s</m:t>
            </m:r>
          </m:sub>
        </m:sSub>
      </m:oMath>
      <w:r>
        <w:t xml:space="preserve"> </w:t>
      </w:r>
      <w:r>
        <w:t xml:space="preserve">为事件与灾害类型。无效标签从计数分母中排除。建库成员、抽样种子、来源图像和特征版本均需保存。</w:t>
      </w:r>
    </w:p>
    <w:p>
      <w:pPr>
        <w:pStyle w:val="BodyText"/>
      </w:pPr>
      <w:r>
        <w:t xml:space="preserve">为控制来源，主配置可沿用“事件×主类别”的分组抽样，每组上限64条；四类包含背景。该上限属于支持协议，不意味着实际条目数必然均衡。正式报告还应给出有效标签质量、前景质量、来源多样性及排除查询事件后的候选数。若删除背景或改变纯度阈值，应另列支持筛选实验，不与主方法混合变更。</w:t>
      </w:r>
    </w:p>
    <w:p>
      <w:pPr>
        <w:pStyle w:val="BodyText"/>
      </w:pPr>
      <w:r>
        <w:t xml:space="preserve">在固定</w:t>
      </w:r>
      <w:r>
        <w:t xml:space="preserve"> </w:t>
      </w:r>
      <m:oMath>
        <m:sSub>
          <m:e>
            <m:r>
              <m:t>T</m:t>
            </m:r>
          </m:e>
          <m:sub>
            <m:r>
              <m:t>s</m:t>
            </m:r>
          </m:sub>
        </m:sSub>
      </m:oMath>
      <w:r>
        <w:t xml:space="preserve"> </w:t>
      </w:r>
      <w:r>
        <w:t xml:space="preserve">上学习投影</w:t>
      </w:r>
      <w:r>
        <w:t xml:space="preserve"> </w:t>
      </w:r>
      <m:oMath>
        <m:r>
          <m:t>G</m:t>
        </m:r>
      </m:oMath>
      <w:r>
        <w:t xml:space="preserve">，以</w:t>
      </w:r>
      <w:r>
        <w:t xml:space="preserve"> </w:t>
      </w:r>
      <m:oMath>
        <m:sSub>
          <m:e>
            <m:r>
              <m:t>v</m:t>
            </m:r>
          </m:e>
          <m:sub>
            <m:r>
              <m:t>s</m:t>
            </m:r>
          </m:sub>
        </m:sSub>
        <m:r>
          <m:rPr>
            <m:sty m:val="p"/>
          </m:rPr>
          <m:t>=</m:t>
        </m:r>
        <m:r>
          <m:t>G</m:t>
        </m:r>
        <m:d>
          <m:dPr>
            <m:begChr m:val="("/>
            <m:endChr m:val=")"/>
            <m:sepChr m:val=""/>
            <m:grow/>
          </m:dPr>
          <m:e>
            <m:sSub>
              <m:e>
                <m:r>
                  <m:t>T</m:t>
                </m:r>
              </m:e>
              <m:sub>
                <m:r>
                  <m:t>s</m:t>
                </m:r>
              </m:sub>
            </m:sSub>
          </m:e>
        </m:d>
        <m:r>
          <m:rPr>
            <m:sty m:val="p"/>
          </m:rPr>
          <m:t>/</m:t>
        </m:r>
        <m:r>
          <m:rPr>
            <m:sty m:val="p"/>
          </m:rPr>
          <m:t>∥</m:t>
        </m:r>
        <m:r>
          <m:t>G</m:t>
        </m:r>
        <m:d>
          <m:dPr>
            <m:begChr m:val="("/>
            <m:endChr m:val=")"/>
            <m:sepChr m:val=""/>
            <m:grow/>
          </m:dPr>
          <m:e>
            <m:sSub>
              <m:e>
                <m:r>
                  <m:t>T</m:t>
                </m:r>
              </m:e>
              <m:sub>
                <m:r>
                  <m:t>s</m:t>
                </m:r>
              </m:sub>
            </m:sSub>
          </m:e>
        </m:d>
        <m:sSub>
          <m:e>
            <m:r>
              <m:rPr>
                <m:sty m:val="p"/>
              </m:rPr>
              <m:t>∥</m:t>
            </m:r>
          </m:e>
          <m:sub>
            <m:r>
              <m:t>2</m:t>
            </m:r>
          </m:sub>
        </m:sSub>
      </m:oMath>
      <w:r>
        <w:t xml:space="preserve"> </w:t>
      </w:r>
      <w:r>
        <w:t xml:space="preserve">为检索键。初稿采用恒等初始化的128维线性映射；投影学习时只更新</w:t>
      </w:r>
      <w:r>
        <w:t xml:space="preserve"> </w:t>
      </w:r>
      <m:oMath>
        <m:r>
          <m:t>G</m:t>
        </m:r>
      </m:oMath>
      <w:r>
        <w:t xml:space="preserve">。高纯度训练区域用于构造不同事件的同主类别正例和异类别负例。主配置的类别纯度阈值为四类分布中的</w:t>
      </w:r>
      <w:r>
        <w:t xml:space="preserve"> </w:t>
      </w:r>
      <m:oMath>
        <m:sSub>
          <m:e>
            <m:r>
              <m:rPr>
                <m:sty m:val="p"/>
              </m:rPr>
              <m:t>max</m:t>
            </m:r>
          </m:e>
          <m:sub>
            <m:r>
              <m:t>c</m:t>
            </m:r>
          </m:sub>
        </m:sSub>
        <m:sSub>
          <m:e>
            <m:r>
              <m:t>π</m:t>
            </m:r>
          </m:e>
          <m:sub>
            <m:r>
              <m:t>s</m:t>
            </m:r>
            <m:r>
              <m:t>c</m:t>
            </m:r>
          </m:sub>
        </m:sSub>
        <m:r>
          <m:rPr>
            <m:sty m:val="p"/>
          </m:rPr>
          <m:t>≥</m:t>
        </m:r>
        <m:r>
          <m:t>0.8</m:t>
        </m:r>
      </m:oMath>
      <w:r>
        <w:t xml:space="preserve">，它不等于前景比例阈值，也不等于前景内部纯度。</w:t>
      </w:r>
    </w:p>
    <w:p>
      <w:pPr>
        <w:pStyle w:val="BodyText"/>
      </w:pPr>
      <w:r>
        <w:t xml:space="preserve">对有效锚点集合</w:t>
      </w:r>
      <w:r>
        <w:t xml:space="preserve"> </w:t>
      </w:r>
      <m:oMath>
        <m:r>
          <m:rPr>
            <m:sty m:val="p"/>
            <m:scr m:val="script"/>
          </m:rPr>
          <m:t>U</m:t>
        </m:r>
      </m:oMath>
      <w:r>
        <w:t xml:space="preserve">，使用跨事件监督对比目标：</w:t>
      </w:r>
    </w:p>
    <w:p>
      <w:pPr>
        <w:pStyle w:val="BodyText"/>
      </w:pPr>
      <m:oMathPara>
        <m:oMathParaPr>
          <m:jc m:val="center"/>
        </m:oMathParaPr>
        <m:oMath>
          <m:sSub>
            <m:e>
              <m:r>
                <m:rPr>
                  <m:sty m:val="p"/>
                  <m:scr m:val="script"/>
                </m:rPr>
                <m:t>L</m:t>
              </m:r>
            </m:e>
            <m:sub>
              <m:r>
                <m:t>r</m:t>
              </m:r>
              <m:r>
                <m:t>e</m:t>
              </m:r>
              <m:r>
                <m:t>t</m:t>
              </m:r>
            </m:sub>
          </m:sSub>
          <m:r>
            <m:rPr>
              <m:sty m:val="p"/>
            </m:rPr>
            <m:t>=</m:t>
          </m:r>
          <m:r>
            <m:rPr>
              <m:sty m:val="p"/>
            </m:rPr>
            <m:t>−</m:t>
          </m:r>
          <m:f>
            <m:fPr>
              <m:type m:val="bar"/>
            </m:fPr>
            <m:num>
              <m:r>
                <m:t>1</m:t>
              </m:r>
            </m:num>
            <m:den>
              <m:d>
                <m:dPr>
                  <m:begChr m:val="|"/>
                  <m:endChr m:val="|"/>
                  <m:sepChr m:val=""/>
                  <m:grow/>
                </m:dPr>
                <m:e>
                  <m:r>
                    <m:rPr>
                      <m:sty m:val="p"/>
                      <m:scr m:val="script"/>
                    </m:rPr>
                    <m:t>U</m:t>
                  </m:r>
                </m:e>
              </m:d>
            </m:den>
          </m:f>
          <m:nary>
            <m:naryPr>
              <m:chr m:val="∑"/>
              <m:limLoc m:val="undOvr"/>
              <m:subHide m:val="off"/>
              <m:supHide m:val="on"/>
            </m:naryPr>
            <m:sub>
              <m:r>
                <m:t>a</m:t>
              </m:r>
              <m:r>
                <m:rPr>
                  <m:sty m:val="p"/>
                </m:rPr>
                <m:t>∈</m:t>
              </m:r>
              <m:r>
                <m:rPr>
                  <m:sty m:val="p"/>
                  <m:scr m:val="script"/>
                </m:rPr>
                <m:t>U</m:t>
              </m:r>
            </m:sub>
            <m:sup>
              <m:r>
                <m:t>​</m:t>
              </m:r>
            </m:sup>
            <m:e>
              <m:f>
                <m:fPr>
                  <m:type m:val="bar"/>
                </m:fPr>
                <m:num>
                  <m:r>
                    <m:t>1</m:t>
                  </m:r>
                </m:num>
                <m:den>
                  <m:d>
                    <m:dPr>
                      <m:begChr m:val="|"/>
                      <m:endChr m:val="|"/>
                      <m:sepChr m:val=""/>
                      <m:grow/>
                    </m:dPr>
                    <m:e>
                      <m:r>
                        <m:t>P</m:t>
                      </m:r>
                      <m:d>
                        <m:dPr>
                          <m:begChr m:val="("/>
                          <m:endChr m:val=")"/>
                          <m:sepChr m:val=""/>
                          <m:grow/>
                        </m:dPr>
                        <m:e>
                          <m:r>
                            <m:t>a</m:t>
                          </m:r>
                        </m:e>
                      </m:d>
                    </m:e>
                  </m:d>
                </m:den>
              </m:f>
            </m:e>
          </m:nary>
          <m:nary>
            <m:naryPr>
              <m:chr m:val="∑"/>
              <m:limLoc m:val="undOvr"/>
              <m:subHide m:val="off"/>
              <m:supHide m:val="on"/>
            </m:naryPr>
            <m:sub>
              <m:r>
                <m:t>p</m:t>
              </m:r>
              <m:r>
                <m:rPr>
                  <m:sty m:val="p"/>
                </m:rPr>
                <m:t>∈</m:t>
              </m:r>
              <m:r>
                <m:t>P</m:t>
              </m:r>
              <m:d>
                <m:dPr>
                  <m:begChr m:val="("/>
                  <m:endChr m:val=")"/>
                  <m:sepChr m:val=""/>
                  <m:grow/>
                </m:dPr>
                <m:e>
                  <m:r>
                    <m:t>a</m:t>
                  </m:r>
                </m:e>
              </m:d>
            </m:sub>
            <m:sup>
              <m:r>
                <m:t>​</m:t>
              </m:r>
            </m:sup>
            <m:e>
              <m:r>
                <m:rPr>
                  <m:sty m:val="p"/>
                </m:rPr>
                <m:t>log</m:t>
              </m:r>
            </m:e>
          </m:nary>
          <m:f>
            <m:fPr>
              <m:type m:val="bar"/>
            </m:fPr>
            <m:num>
              <m:r>
                <m:rPr>
                  <m:sty m:val="p"/>
                </m:rPr>
                <m:t>exp</m:t>
              </m:r>
              <m:d>
                <m:dPr>
                  <m:begChr m:val="("/>
                  <m:endChr m:val=")"/>
                  <m:sepChr m:val=""/>
                  <m:grow/>
                </m:dPr>
                <m:e>
                  <m:sSubSup>
                    <m:e>
                      <m:r>
                        <m:t>v</m:t>
                      </m:r>
                    </m:e>
                    <m:sub>
                      <m:r>
                        <m:t>a</m:t>
                      </m:r>
                    </m:sub>
                    <m:sup>
                      <m:r>
                        <m:t>T</m:t>
                      </m:r>
                    </m:sup>
                  </m:sSubSup>
                  <m:sSub>
                    <m:e>
                      <m:r>
                        <m:t>v</m:t>
                      </m:r>
                    </m:e>
                    <m:sub>
                      <m:r>
                        <m:t>p</m:t>
                      </m:r>
                    </m:sub>
                  </m:sSub>
                  <m:r>
                    <m:rPr>
                      <m:sty m:val="p"/>
                    </m:rPr>
                    <m:t>/</m:t>
                  </m:r>
                  <m:sSub>
                    <m:e>
                      <m:r>
                        <m:t>τ</m:t>
                      </m:r>
                    </m:e>
                    <m:sub>
                      <m:r>
                        <m:t>m</m:t>
                      </m:r>
                    </m:sub>
                  </m:sSub>
                </m:e>
              </m:d>
            </m:num>
            <m:den>
              <m:nary>
                <m:naryPr>
                  <m:chr m:val="∑"/>
                  <m:limLoc m:val="undOvr"/>
                  <m:subHide m:val="off"/>
                  <m:supHide m:val="on"/>
                </m:naryPr>
                <m:sub>
                  <m:r>
                    <m:t>s</m:t>
                  </m:r>
                  <m:r>
                    <m:rPr>
                      <m:sty m:val="p"/>
                    </m:rPr>
                    <m:t>∈</m:t>
                  </m:r>
                  <m:r>
                    <m:t>C</m:t>
                  </m:r>
                  <m:d>
                    <m:dPr>
                      <m:begChr m:val="("/>
                      <m:endChr m:val=")"/>
                      <m:sepChr m:val=""/>
                      <m:grow/>
                    </m:dPr>
                    <m:e>
                      <m:r>
                        <m:t>a</m:t>
                      </m:r>
                    </m:e>
                  </m:d>
                </m:sub>
                <m:sup>
                  <m:r>
                    <m:t>​</m:t>
                  </m:r>
                </m:sup>
                <m:e>
                  <m:r>
                    <m:rPr>
                      <m:sty m:val="p"/>
                    </m:rPr>
                    <m:t>exp</m:t>
                  </m:r>
                </m:e>
              </m:nary>
              <m:d>
                <m:dPr>
                  <m:begChr m:val="("/>
                  <m:endChr m:val=")"/>
                  <m:sepChr m:val=""/>
                  <m:grow/>
                </m:dPr>
                <m:e>
                  <m:sSubSup>
                    <m:e>
                      <m:r>
                        <m:t>v</m:t>
                      </m:r>
                    </m:e>
                    <m:sub>
                      <m:r>
                        <m:t>a</m:t>
                      </m:r>
                    </m:sub>
                    <m:sup>
                      <m:r>
                        <m:t>T</m:t>
                      </m:r>
                    </m:sup>
                  </m:sSubSup>
                  <m:sSub>
                    <m:e>
                      <m:r>
                        <m:t>v</m:t>
                      </m:r>
                    </m:e>
                    <m:sub>
                      <m:r>
                        <m:t>s</m:t>
                      </m:r>
                    </m:sub>
                  </m:sSub>
                  <m:r>
                    <m:rPr>
                      <m:sty m:val="p"/>
                    </m:rPr>
                    <m:t>/</m:t>
                  </m:r>
                  <m:sSub>
                    <m:e>
                      <m:r>
                        <m:t>τ</m:t>
                      </m:r>
                    </m:e>
                    <m:sub>
                      <m:r>
                        <m:t>m</m:t>
                      </m:r>
                    </m:sub>
                  </m:sSub>
                </m:e>
              </m:d>
            </m:den>
          </m:f>
          <m:r>
            <m:rPr>
              <m:sty m:val="p"/>
            </m:rPr>
            <m:t>.</m:t>
          </m:r>
        </m:oMath>
      </m:oMathPara>
    </w:p>
    <w:p>
      <w:pPr>
        <w:pStyle w:val="FirstParagraph"/>
      </w:pPr>
      <w:r>
        <w:t xml:space="preserve">缺少跨事件正例或负例的锚点不进入该损失，并报告其覆盖率。类别均衡抽样仅用于Train投影拟合，不按评测查询的真实类别挑选邻居。推理时统一排除同事件及同图像记录，选取Top-8支持。原始余弦与学习投影必须使用相同成员、标签、候选排除规则和K。</w:t>
      </w:r>
    </w:p>
    <w:p>
      <w:pPr>
        <w:pStyle w:val="BodyText"/>
      </w:pPr>
      <w:r>
        <w:t xml:space="preserve">投影只改变支持ID。若实现额外把投影特征或相似度送入Reader，应单独说明并设置对照，不能继续声称仅改变排序。</w:t>
      </w:r>
    </w:p>
    <w:bookmarkEnd w:id="30"/>
    <w:bookmarkStart w:id="31" w:name="支持读取与像素联合预测"/>
    <w:p>
      <w:pPr>
        <w:pStyle w:val="Heading3"/>
      </w:pPr>
      <w:r>
        <w:t xml:space="preserve">3.5 支持读取与像素联合预测</w:t>
      </w:r>
    </w:p>
    <w:p>
      <w:pPr>
        <w:pStyle w:val="FirstParagraph"/>
      </w:pPr>
      <w:r>
        <w:t xml:space="preserve">选中ID后，从原始支持库读取</w:t>
      </w:r>
      <w:r>
        <w:t xml:space="preserve"> </w:t>
      </w:r>
      <m:oMath>
        <m:sSub>
          <m:e>
            <m:r>
              <m:t>T</m:t>
            </m:r>
          </m:e>
          <m:sub>
            <m:r>
              <m:t>s</m:t>
            </m:r>
          </m:sub>
        </m:sSub>
        <m:r>
          <m:rPr>
            <m:sty m:val="p"/>
          </m:rPr>
          <m:t>,</m:t>
        </m:r>
        <m:sSub>
          <m:e>
            <m:r>
              <m:t>π</m:t>
            </m:r>
          </m:e>
          <m:sub>
            <m:r>
              <m:t>s</m:t>
            </m:r>
          </m:sub>
        </m:sSub>
        <m:r>
          <m:rPr>
            <m:sty m:val="p"/>
          </m:rPr>
          <m:t>,</m:t>
        </m:r>
        <m:sSub>
          <m:e>
            <m:r>
              <m:t>m</m:t>
            </m:r>
          </m:e>
          <m:sub>
            <m:r>
              <m:t>s</m:t>
            </m:r>
          </m:sub>
        </m:sSub>
      </m:oMath>
      <w:r>
        <w:t xml:space="preserve">，而不是用投影后的向量替换内容。支持特征形成键，特征与软标签、元数据嵌入形成值：</w:t>
      </w:r>
    </w:p>
    <w:p>
      <w:pPr>
        <w:pStyle w:val="BodyText"/>
      </w:pPr>
      <m:oMathPara>
        <m:oMathParaPr>
          <m:jc m:val="center"/>
        </m:oMathParaPr>
        <m:oMath>
          <m:sSub>
            <m:e>
              <m:r>
                <m:t>K</m:t>
              </m:r>
            </m:e>
            <m:sub>
              <m:r>
                <m:t>s</m:t>
              </m:r>
            </m:sub>
          </m:sSub>
          <m:r>
            <m:rPr>
              <m:sty m:val="p"/>
            </m:rPr>
            <m:t>=</m:t>
          </m:r>
          <m:sSub>
            <m:e>
              <m:r>
                <m:t>T</m:t>
              </m:r>
            </m:e>
            <m:sub>
              <m:r>
                <m:t>s</m:t>
              </m:r>
            </m:sub>
          </m:sSub>
          <m:r>
            <m:rPr>
              <m:sty m:val="p"/>
            </m:rPr>
            <m:t>,</m:t>
          </m:r>
          <m:r>
            <m:t>  </m:t>
          </m:r>
          <m:sSub>
            <m:e>
              <m:r>
                <m:t>V</m:t>
              </m:r>
            </m:e>
            <m:sub>
              <m:r>
                <m:t>s</m:t>
              </m:r>
            </m:sub>
          </m:sSub>
          <m:r>
            <m:rPr>
              <m:sty m:val="p"/>
            </m:rPr>
            <m:t>=</m:t>
          </m:r>
          <m:sSub>
            <m:e>
              <m:r>
                <m:t>T</m:t>
              </m:r>
            </m:e>
            <m:sub>
              <m:r>
                <m:t>s</m:t>
              </m:r>
            </m:sub>
          </m:sSub>
          <m:r>
            <m:rPr>
              <m:sty m:val="p"/>
            </m:rPr>
            <m:t>+</m:t>
          </m:r>
          <m:sSub>
            <m:e>
              <m:r>
                <m:t>π</m:t>
              </m:r>
            </m:e>
            <m:sub>
              <m:r>
                <m:t>s</m:t>
              </m:r>
            </m:sub>
          </m:sSub>
          <m:sSub>
            <m:e>
              <m:r>
                <m:t>E</m:t>
              </m:r>
            </m:e>
            <m:sub>
              <m:r>
                <m:t>y</m:t>
              </m:r>
            </m:sub>
          </m:sSub>
          <m:r>
            <m:rPr>
              <m:sty m:val="p"/>
            </m:rPr>
            <m:t>+</m:t>
          </m:r>
          <m:sSub>
            <m:e>
              <m:r>
                <m:t>E</m:t>
              </m:r>
            </m:e>
            <m:sub>
              <m:r>
                <m:t>d</m:t>
              </m:r>
            </m:sub>
          </m:sSub>
          <m:d>
            <m:dPr>
              <m:begChr m:val="("/>
              <m:endChr m:val=")"/>
              <m:sepChr m:val=""/>
              <m:grow/>
            </m:dPr>
            <m:e>
              <m:sSub>
                <m:e>
                  <m:r>
                    <m:t>d</m:t>
                  </m:r>
                </m:e>
                <m:sub>
                  <m:r>
                    <m:t>s</m:t>
                  </m:r>
                </m:sub>
              </m:sSub>
            </m:e>
          </m:d>
          <m:r>
            <m:rPr>
              <m:sty m:val="p"/>
            </m:rPr>
            <m:t>+</m:t>
          </m:r>
          <m:sSub>
            <m:e>
              <m:r>
                <m:t>E</m:t>
              </m:r>
            </m:e>
            <m:sub>
              <m:r>
                <m:t>e</m:t>
              </m:r>
            </m:sub>
          </m:sSub>
          <m:d>
            <m:dPr>
              <m:begChr m:val="("/>
              <m:endChr m:val=")"/>
              <m:sepChr m:val=""/>
              <m:grow/>
            </m:dPr>
            <m:e>
              <m:sSub>
                <m:e>
                  <m:r>
                    <m:t>e</m:t>
                  </m:r>
                </m:e>
                <m:sub>
                  <m:r>
                    <m:t>s</m:t>
                  </m:r>
                </m:sub>
              </m:sSub>
            </m:e>
          </m:d>
          <m:r>
            <m:rPr>
              <m:sty m:val="p"/>
            </m:rPr>
            <m:t>+</m:t>
          </m:r>
          <m:sSub>
            <m:e>
              <m:r>
                <m:t>E</m:t>
              </m:r>
            </m:e>
            <m:sub>
              <m:r>
                <m:t>g</m:t>
              </m:r>
            </m:sub>
          </m:sSub>
          <m:d>
            <m:dPr>
              <m:begChr m:val="("/>
              <m:endChr m:val=")"/>
              <m:sepChr m:val=""/>
              <m:grow/>
            </m:dPr>
            <m:e>
              <m:sSub>
                <m:e>
                  <m:r>
                    <m:t>g</m:t>
                  </m:r>
                </m:e>
                <m:sub>
                  <m:r>
                    <m:t>s</m:t>
                  </m:r>
                </m:sub>
              </m:sSub>
            </m:e>
          </m:d>
          <m:r>
            <m:rPr>
              <m:sty m:val="p"/>
            </m:rPr>
            <m:t>.</m:t>
          </m:r>
        </m:oMath>
      </m:oMathPara>
    </w:p>
    <w:p>
      <w:pPr>
        <w:pStyle w:val="FirstParagraph"/>
      </w:pPr>
      <w:r>
        <w:t xml:space="preserve">Reader以当前区域为查询，执行带残差的交叉注意力与前馈更新，得到</w:t>
      </w:r>
      <w:r>
        <w:t xml:space="preserve"> </w:t>
      </w:r>
      <m:oMath>
        <m:sSub>
          <m:e>
            <m:r>
              <m:t>T</m:t>
            </m:r>
          </m:e>
          <m:sub>
            <m:r>
              <m:t>k</m:t>
            </m:r>
          </m:sub>
        </m:sSub>
        <m:r>
          <m:rPr>
            <m:sty m:val="p"/>
          </m:rPr>
          <m:t>′</m:t>
        </m:r>
      </m:oMath>
      <w:r>
        <w:t xml:space="preserve">。不足K条支持时使用显式屏蔽及预定义的可学习槽位策略，并报告实际真实支持覆盖。可学习槽位不是新的历史案例，也不等于模型能够拒绝错误支持。</w:t>
      </w:r>
    </w:p>
    <w:p>
      <w:pPr>
        <w:pStyle w:val="BodyText"/>
      </w:pPr>
      <w:r>
        <w:t xml:space="preserve">增强区域特征通过同一</w:t>
      </w:r>
      <w:r>
        <w:t xml:space="preserve"> </w:t>
      </w:r>
      <m:oMath>
        <m:r>
          <m:t>Q</m:t>
        </m:r>
      </m:oMath>
      <w:r>
        <w:t xml:space="preserve"> </w:t>
      </w:r>
      <w:r>
        <w:t xml:space="preserve">回投：</w:t>
      </w:r>
    </w:p>
    <w:p>
      <w:pPr>
        <w:pStyle w:val="BodyText"/>
      </w:pPr>
      <m:oMathPara>
        <m:oMathParaPr>
          <m:jc m:val="center"/>
        </m:oMathParaPr>
        <m:oMath>
          <m:sSub>
            <m:e>
              <m:r>
                <m:t>C</m:t>
              </m:r>
            </m:e>
            <m:sub>
              <m:r>
                <m:t>i</m:t>
              </m:r>
            </m:sub>
          </m:sSub>
          <m:r>
            <m:rPr>
              <m:sty m:val="p"/>
            </m:rPr>
            <m:t>=</m:t>
          </m:r>
          <m:nary>
            <m:naryPr>
              <m:chr m:val="∑"/>
              <m:limLoc m:val="undOvr"/>
              <m:subHide m:val="off"/>
              <m:supHide m:val="on"/>
            </m:naryPr>
            <m:sub>
              <m:r>
                <m:t>k</m:t>
              </m:r>
            </m:sub>
            <m:sup>
              <m:r>
                <m:t>​</m:t>
              </m:r>
            </m:sup>
            <m:e>
              <m:sSub>
                <m:e>
                  <m:r>
                    <m:t>q</m:t>
                  </m:r>
                </m:e>
                <m:sub>
                  <m:r>
                    <m:t>i</m:t>
                  </m:r>
                  <m:r>
                    <m:t>k</m:t>
                  </m:r>
                </m:sub>
              </m:sSub>
            </m:e>
          </m:nary>
          <m:sSub>
            <m:e>
              <m:r>
                <m:t>T</m:t>
              </m:r>
            </m:e>
            <m:sub>
              <m:r>
                <m:t>k</m:t>
              </m:r>
            </m:sub>
          </m:sSub>
          <m:r>
            <m:rPr>
              <m:sty m:val="p"/>
            </m:rPr>
            <m:t>′</m:t>
          </m:r>
          <m:r>
            <m:rPr>
              <m:sty m:val="p"/>
            </m:rPr>
            <m:t>,</m:t>
          </m:r>
          <m:r>
            <m:t>  </m:t>
          </m:r>
          <m:sSub>
            <m:e>
              <m:r>
                <m:t>z</m:t>
              </m:r>
            </m:e>
            <m:sub>
              <m:r>
                <m:t>i</m:t>
              </m:r>
            </m:sub>
          </m:sSub>
          <m:r>
            <m:rPr>
              <m:sty m:val="p"/>
            </m:rPr>
            <m:t>=</m:t>
          </m:r>
          <m:sSub>
            <m:e>
              <m:r>
                <m:t>W</m:t>
              </m:r>
            </m:e>
            <m:sub>
              <m:r>
                <m:t>p</m:t>
              </m:r>
            </m:sub>
          </m:sSub>
          <m:sSub>
            <m:e>
              <m:r>
                <m:t>F</m:t>
              </m:r>
            </m:e>
            <m:sub>
              <m:r>
                <m:t>i</m:t>
              </m:r>
            </m:sub>
          </m:sSub>
          <m:r>
            <m:rPr>
              <m:sty m:val="p"/>
            </m:rPr>
            <m:t>+</m:t>
          </m:r>
          <m:sSub>
            <m:e>
              <m:r>
                <m:t>W</m:t>
              </m:r>
            </m:e>
            <m:sub>
              <m:r>
                <m:t>c</m:t>
              </m:r>
            </m:sub>
          </m:sSub>
          <m:sSub>
            <m:e>
              <m:r>
                <m:t>C</m:t>
              </m:r>
            </m:e>
            <m:sub>
              <m:r>
                <m:t>i</m:t>
              </m:r>
            </m:sub>
          </m:sSub>
          <m:r>
            <m:rPr>
              <m:sty m:val="p"/>
            </m:rPr>
            <m:t>+</m:t>
          </m:r>
          <m:r>
            <m:t>b</m:t>
          </m:r>
          <m:r>
            <m:rPr>
              <m:sty m:val="p"/>
            </m:rPr>
            <m:t>.</m:t>
          </m:r>
        </m:oMath>
      </m:oMathPara>
    </w:p>
    <w:p>
      <w:pPr>
        <w:pStyle w:val="FirstParagraph"/>
      </w:pPr>
      <w:r>
        <w:t xml:space="preserve">分类得分按固定方式上采样后生成四类概率。该路径是特征回投后联合分类，不等同于先汇总类别概率再回填。像素与区域线性项也可写成拼接特征后的线性分类，不单独作为第四项创新。初始化时将像素权重和偏置复制自A1分类器，并将上下文权重置零；只有特征输入、分辨率、插值和概率解码也与指定A1路径一致时，才应通过实际核验确认初始预测一致。该初始化不保证后续训练不下降。</w:t>
      </w:r>
    </w:p>
    <w:bookmarkEnd w:id="31"/>
    <w:bookmarkStart w:id="32" w:name="分阶段学习"/>
    <w:p>
      <w:pPr>
        <w:pStyle w:val="Heading3"/>
      </w:pPr>
      <w:r>
        <w:t xml:space="preserve">3.6 分阶段学习</w:t>
      </w:r>
    </w:p>
    <w:p>
      <w:pPr>
        <w:pStyle w:val="FirstParagraph"/>
      </w:pPr>
      <w:r>
        <w:t xml:space="preserve">首先确定A1快照及数据协议。冻结其参数和运行状态，训练区域组织、内容适配、嵌入和辅助区域读出。分割目标使用负对数似然与Lovász-Softmax[13]，权重及所有变体保持一致。随后固定区域编码建立Train支持库，再拟合并冻结检索投影。最后固定前端、库和投影，仅学习Reader与联合头。</w:t>
      </w:r>
    </w:p>
    <w:p>
      <w:pPr>
        <w:pStyle w:val="BodyText"/>
      </w:pPr>
      <w:r>
        <w:t xml:space="preserve">结构变体改变了区域成员和表示，因此其完整系统比较应为每个编码版本重新建立自己的支持库；纯检索排序实验则必须固定同一个编码版本和同一库。训练步数、选型规则及种子在实验前记录，不能将中途快照写成预定训练预算已全部完成。</w:t>
      </w:r>
    </w:p>
    <w:bookmarkEnd w:id="32"/>
    <w:bookmarkEnd w:id="33"/>
    <w:bookmarkStart w:id="40" w:name="实验设计与结果报告"/>
    <w:p>
      <w:pPr>
        <w:pStyle w:val="Heading2"/>
      </w:pPr>
      <w:r>
        <w:t xml:space="preserve">4 实验设计与结果报告</w:t>
      </w:r>
    </w:p>
    <w:bookmarkStart w:id="34" w:name="数据划分与评价"/>
    <w:p>
      <w:pPr>
        <w:pStyle w:val="Heading3"/>
      </w:pPr>
      <w:r>
        <w:t xml:space="preserve">4.1 数据划分与评价</w:t>
      </w:r>
    </w:p>
    <w:p>
      <w:pPr>
        <w:pStyle w:val="FirstParagraph"/>
      </w:pPr>
      <w:r>
        <w:t xml:space="preserve">采用BRIGHT标准机器学习划分，训练、验证和测试影像数分别为2918、450和878：Train用于参数学习和支持库，Val用于有限选型，Test用于协议固定后的结果报告。标准划分的图像互不重叠，不等于事件互不重叠。推理时排除同事件支持只约束支持来源；若主干训练中见过该事件，不能据此声称未见事件泛化。严格留事件评价需从A1学习、区域编码、投影、支持库及选型中全部排除目标事件，并对事件嵌入使用未知标记或移除该输入。</w:t>
      </w:r>
    </w:p>
    <w:p>
      <w:pPr>
        <w:pStyle w:val="BodyText"/>
      </w:pPr>
      <w:r>
        <w:t xml:space="preserve">主指标同时报告四类mIoU与前景三类mIoU，并列四个类别IoU。全局指标由累计混淆矩阵计算；事件宏平均在每个事件内先计算，再等权平均，二者不能互换。分类F1按官方实现计算；独立建筑定位F1需要相应定位输出，不能用损毁分类混淆矩阵替代独立定位头。</w:t>
      </w:r>
    </w:p>
    <w:p>
      <w:pPr>
        <w:pStyle w:val="BodyText"/>
      </w:pPr>
      <w:r>
        <w:t xml:space="preserve">所有主要对照使用相同划分、预训练、输入、解码、预算和检查点选择规则。主结论使用至少3个预先指定种子，报告均值、标准差和配对差值。按事件重采样的区间用于描述事件变异，不把数亿像素作为独立样本进行显著性检验。</w:t>
      </w:r>
    </w:p>
    <w:bookmarkEnd w:id="34"/>
    <w:bookmarkStart w:id="35" w:name="总体比较"/>
    <w:p>
      <w:pPr>
        <w:pStyle w:val="Heading3"/>
      </w:pPr>
      <w:r>
        <w:t xml:space="preserve">4.2 总体比较</w:t>
      </w:r>
    </w:p>
    <w:p>
      <w:pPr>
        <w:pStyle w:val="FirstParagraph"/>
      </w:pPr>
      <w:r>
        <w:t xml:space="preserve">表1报告基础A1、相同预算的像素读出、当前区域读出、参数化空支持、余弦Memory和学习排序Memory。公开方法另列来源及协议，优先提供可复现的同设置重训结果。若公开数值来自不同设置，应明确分组，不与本文小幅差值作直接因果归因。</w:t>
      </w:r>
    </w:p>
    <w:p>
      <w:pPr>
        <w:pStyle w:val="BodyText"/>
      </w:pPr>
      <w:r>
        <w:t xml:space="preserve">【待填：完整方法的全局及逐类结果、种子变化、与匹配对照的差值。只有真实结果支持时才写“改善”</w:t>
      </w:r>
      <w:r>
        <w:t xml:space="preserve">“</w:t>
      </w:r>
      <w:r>
        <w:t xml:space="preserve">优于</w:t>
      </w:r>
      <w:r>
        <w:t xml:space="preserve">”</w:t>
      </w:r>
      <w:r>
        <w:t xml:space="preserve">或“稳定”。】</w:t>
      </w:r>
    </w:p>
    <w:bookmarkEnd w:id="35"/>
    <w:bookmarkStart w:id="36" w:name="区域组织与内容适配"/>
    <w:p>
      <w:pPr>
        <w:pStyle w:val="Heading3"/>
      </w:pPr>
      <w:r>
        <w:t xml:space="preserve">4.3 区域组织与内容适配</w:t>
      </w:r>
    </w:p>
    <w:p>
      <w:pPr>
        <w:pStyle w:val="FirstParagraph"/>
      </w:pPr>
      <w:r>
        <w:t xml:space="preserve">表2使用建筑概率是否进入Q与结构残差适配是否开启的二因素实验。各组冻结同一A1，关闭真实历史支持，使用相同区域—像素读出。表3增加普通内容Adapter及去除B、b(Q)、H(Q)的对照，避免把增大容量或重复使用建筑概率解释为分区状态收益。</w:t>
      </w:r>
    </w:p>
    <w:p>
      <w:pPr>
        <w:pStyle w:val="BodyText"/>
      </w:pPr>
      <w:r>
        <w:t xml:space="preserve">结构评价除分割指标外，报告有效区域数、区域质量分布及面积加权的建筑—背景混合度。令</w:t>
      </w:r>
      <w:r>
        <w:t xml:space="preserve"> </w:t>
      </w:r>
      <m:oMath>
        <m:sSub>
          <m:e>
            <m:r>
              <m:t>f</m:t>
            </m:r>
          </m:e>
          <m:sub>
            <m:r>
              <m:t>k</m:t>
            </m:r>
          </m:sub>
        </m:sSub>
        <m:r>
          <m:rPr>
            <m:sty m:val="p"/>
          </m:rPr>
          <m:t>=</m:t>
        </m:r>
        <m:sSub>
          <m:e>
            <m:r>
              <m:t>π</m:t>
            </m:r>
          </m:e>
          <m:sub>
            <m:r>
              <m:t>k</m:t>
            </m:r>
            <m:r>
              <m:t>1</m:t>
            </m:r>
          </m:sub>
        </m:sSub>
        <m:r>
          <m:rPr>
            <m:sty m:val="p"/>
          </m:rPr>
          <m:t>+</m:t>
        </m:r>
        <m:sSub>
          <m:e>
            <m:r>
              <m:t>π</m:t>
            </m:r>
          </m:e>
          <m:sub>
            <m:r>
              <m:t>k</m:t>
            </m:r>
            <m:r>
              <m:t>2</m:t>
            </m:r>
          </m:sub>
        </m:sSub>
        <m:r>
          <m:rPr>
            <m:sty m:val="p"/>
          </m:rPr>
          <m:t>+</m:t>
        </m:r>
        <m:sSub>
          <m:e>
            <m:r>
              <m:t>π</m:t>
            </m:r>
          </m:e>
          <m:sub>
            <m:r>
              <m:t>k</m:t>
            </m:r>
            <m:r>
              <m:t>3</m:t>
            </m:r>
          </m:sub>
        </m:sSub>
      </m:oMath>
      <w:r>
        <w:t xml:space="preserve">，可报告</w:t>
      </w:r>
      <w:r>
        <w:t xml:space="preserve"> </w:t>
      </w:r>
      <m:oMath>
        <m:r>
          <m:t>4</m:t>
        </m:r>
        <m:sSub>
          <m:e>
            <m:r>
              <m:t>f</m:t>
            </m:r>
          </m:e>
          <m:sub>
            <m:r>
              <m:t>k</m:t>
            </m:r>
          </m:sub>
        </m:sSub>
        <m:d>
          <m:dPr>
            <m:begChr m:val="("/>
            <m:endChr m:val=")"/>
            <m:sepChr m:val=""/>
            <m:grow/>
          </m:dPr>
          <m:e>
            <m:r>
              <m:t>1</m:t>
            </m:r>
            <m:r>
              <m:rPr>
                <m:sty m:val="p"/>
              </m:rPr>
              <m:t>−</m:t>
            </m:r>
            <m:sSub>
              <m:e>
                <m:r>
                  <m:t>f</m:t>
                </m:r>
              </m:e>
              <m:sub>
                <m:r>
                  <m:t>k</m:t>
                </m:r>
              </m:sub>
            </m:sSub>
          </m:e>
        </m:d>
      </m:oMath>
      <w:r>
        <w:t xml:space="preserve"> </w:t>
      </w:r>
      <w:r>
        <w:t xml:space="preserve">的质量加权平均；该量反映前景与背景混合，不能检测不同前景损毁类别之间的混合。因此同时报告前景类别组成及预定义边界带内的错误率。改变Q也改变了池化、几何、条件量和回投，二因素差值是该结构干预的总体作用，不能只归因于边界更准确。</w:t>
      </w:r>
    </w:p>
    <w:p>
      <w:pPr>
        <w:pStyle w:val="BodyText"/>
      </w:pPr>
      <w:r>
        <w:t xml:space="preserve">【待填：二因素主效应、交互项、条件消融和区域诊断。若只有联用有效，应将其表述为相互依赖的结构编码设计。】</w:t>
      </w:r>
    </w:p>
    <w:bookmarkEnd w:id="36"/>
    <w:bookmarkStart w:id="37" w:name="支持信息与排序质量"/>
    <w:p>
      <w:pPr>
        <w:pStyle w:val="Heading3"/>
      </w:pPr>
      <w:r>
        <w:t xml:space="preserve">4.4 支持信息与排序质量</w:t>
      </w:r>
    </w:p>
    <w:p>
      <w:pPr>
        <w:pStyle w:val="FirstParagraph"/>
      </w:pPr>
      <w:r>
        <w:t xml:space="preserve">表4比较当前区域直接回投、可学习空支持、真实余弦支持与学习排序支持。真实支持相对空支持的差值用于检验案例信息增量；空支持仍可能学习全局先验，不能称为纯当前区域。两个分别训练的Reader之间的差值是完整配置比较，不能单独证明纯排序作用。</w:t>
      </w:r>
    </w:p>
    <w:p>
      <w:pPr>
        <w:pStyle w:val="BodyText"/>
      </w:pPr>
      <w:r>
        <w:t xml:space="preserve">为隔离排序，另以固定比例混合余弦邻居和学习邻居训练共同Reader；评价时冻结该Reader、联合头及其他权重，仅替换支持ID。若不使用混合训练，则执行“Reader训练邻居来源×评价邻居来源”的完整二乘二交叉替换。该对照连同检索相关度共同检验第三项设计。</w:t>
      </w:r>
    </w:p>
    <w:p>
      <w:pPr>
        <w:pStyle w:val="BodyText"/>
      </w:pPr>
      <w:r>
        <w:t xml:space="preserve">检索评价对高纯度查询报告按类别及事件宏平均的Precision@K；对混合查询报告软标签组成相关度，并分别展示背景、完好、受损和毁坏。有效K邻居覆盖率描述支持是否充足，不能替代语义相关性。对比普通监督与跨事件监督时，前者仅放宽事件限制，仍排除锚点自身及同图像记录；两者匹配有效采样规模，并在评价时统一排除同事件。评测标签只参与事后评分，不能影响支持选择。</w:t>
      </w:r>
    </w:p>
    <w:p>
      <w:pPr>
        <w:pStyle w:val="BodyText"/>
      </w:pPr>
      <w:r>
        <w:t xml:space="preserve">【待填：邻居质量变化、固定Reader下的分类差值及其一致性。若只改善邻居指标，结论限定为支持选择改善。】</w:t>
      </w:r>
    </w:p>
    <w:bookmarkEnd w:id="37"/>
    <w:bookmarkStart w:id="38" w:name="reader内容事件表现与失败案例"/>
    <w:p>
      <w:pPr>
        <w:pStyle w:val="Heading3"/>
      </w:pPr>
      <w:r>
        <w:t xml:space="preserve">4.5 Reader内容、事件表现与失败案例</w:t>
      </w:r>
    </w:p>
    <w:p>
      <w:pPr>
        <w:pStyle w:val="FirstParagraph"/>
      </w:pPr>
      <w:r>
        <w:t xml:space="preserve">固定成员ID，删除标签或元数据并重新训练Reader，用于检验其增量价值；推理时打乱标签或改用随机合格支持，用于检验已训练模型对证据的依赖与脆弱性。两类操作分别报告，不能把推理破坏造成的下降直接当作重新训练后的消融收益。</w:t>
      </w:r>
    </w:p>
    <w:p>
      <w:pPr>
        <w:pStyle w:val="BodyText"/>
      </w:pPr>
      <w:r>
        <w:t xml:space="preserve">图4—图7分别提供区域机制、实际支持案例、固定Reader预测差异和逐事件差值。所有模型使用同一窗口、分辨率和颜色图例；至少包含改善、持平与退化案例。A1前端预测仅作为基础模型案例，不替代完整方法及Memory对照。若主张建筑实例一致性，还需真实实例多边形或ID，报告实例内预测一致性与实例正确性；仅有语义掩膜时，连通块只能作为代理。</w:t>
      </w:r>
    </w:p>
    <w:p>
      <w:pPr>
        <w:pStyle w:val="BodyText"/>
      </w:pPr>
      <w:r>
        <w:t xml:space="preserve">【待填：逐事件分布、受损/毁坏救回与误改、典型失败，以及哪些结论不成立。】</w:t>
      </w:r>
    </w:p>
    <w:bookmarkEnd w:id="38"/>
    <w:bookmarkStart w:id="39" w:name="计算代价"/>
    <w:p>
      <w:pPr>
        <w:pStyle w:val="Heading3"/>
      </w:pPr>
      <w:r>
        <w:t xml:space="preserve">4.6 计算代价</w:t>
      </w:r>
    </w:p>
    <w:p>
      <w:pPr>
        <w:pStyle w:val="FirstParagraph"/>
      </w:pPr>
      <w:r>
        <w:t xml:space="preserve">分别报告A1、区域编码、检索与Reader的新增参数量、训练时间、单图推理延迟、峰值显存及库容量。区分一次性建库/投影训练成本和在线推理成本；在固定硬件、线程、精度与批大小下测量。K、支持库规模及前景筛选阈值等敏感性实验放在核心机制证实之后，不同时改动多个因素。</w:t>
      </w:r>
    </w:p>
    <w:bookmarkEnd w:id="39"/>
    <w:bookmarkEnd w:id="40"/>
    <w:bookmarkStart w:id="41" w:name="讨论与结论"/>
    <w:p>
      <w:pPr>
        <w:pStyle w:val="Heading2"/>
      </w:pPr>
      <w:r>
        <w:t xml:space="preserve">5 讨论与结论</w:t>
      </w:r>
    </w:p>
    <w:p>
      <w:pPr>
        <w:pStyle w:val="FirstParagraph"/>
      </w:pPr>
      <w:r>
        <w:t xml:space="preserve">本文围绕区域成员、区域内容与历史支持构建光学—SAR建筑损毁评估框架。建筑概率约束软归属，分区状态条件化融合内容，跨事件类别关系调整支持选择，增强区域特征与保留的像素路径联合预测。对应实验分别检验结构、检索及最终分类，避免将更规整的区域、更相似的邻居或额外模型容量直接解释为任务收益。</w:t>
      </w:r>
    </w:p>
    <w:p>
      <w:pPr>
        <w:pStyle w:val="BodyText"/>
      </w:pPr>
      <w:r>
        <w:t xml:space="preserve">【待填：只总结已完成、可追溯且稳定的实验结论；明确不获益的模块与失败条件。】</w:t>
      </w:r>
    </w:p>
    <w:p>
      <w:pPr>
        <w:pStyle w:val="BodyText"/>
      </w:pPr>
      <w:r>
        <w:t xml:space="preserve">方法存在若干边界。预测建筑概率可能出错，结构适配仍受基础特征限制；外部案例提供训练经验而非当前场景的新观测；跨事件支持排除不保证域不变或未见事件泛化；超像素不自动具备建筑实例身份。若关键消融不支持某项设计，应缩小贡献表述或简化模型，而不是继续以预设有效性解释结果。</w:t>
      </w:r>
    </w:p>
    <w:bookmarkEnd w:id="41"/>
    <w:bookmarkStart w:id="42" w:name="参考文献与核验入口"/>
    <w:p>
      <w:pPr>
        <w:pStyle w:val="Heading2"/>
      </w:pPr>
      <w:r>
        <w:t xml:space="preserve">参考文献与核验入口</w:t>
      </w:r>
    </w:p>
    <w:p>
      <w:pPr>
        <w:pStyle w:val="FirstParagraph"/>
      </w:pPr>
      <w:r>
        <w:t xml:space="preserve">下列为与设计直接相关的文献。完整题名、可访问入口及本轮核验范围见《实验与配图规划》的文献表；SRAC仅按现有目录/新闻证据讨论，不引用其未核实实现细节。</w:t>
      </w:r>
    </w:p>
    <w:p>
      <w:pPr>
        <w:pStyle w:val="BodyText"/>
      </w:pPr>
      <w:r>
        <w:t xml:space="preserve">[1] BRIGHT: a globally distributed multimodal building damage assessment dataset with very-high-resolution for all-weather disaster response. Earth System Science Data, 2025.</w:t>
      </w:r>
    </w:p>
    <w:p>
      <w:pPr>
        <w:pStyle w:val="BodyText"/>
      </w:pPr>
      <w:r>
        <w:t xml:space="preserve">[2] Creating xBD: A Dataset for Assessing Building Damage from Satellite Imagery. CVPR Workshops, 2019.</w:t>
      </w:r>
    </w:p>
    <w:p>
      <w:pPr>
        <w:pStyle w:val="BodyText"/>
      </w:pPr>
      <w:r>
        <w:t xml:space="preserve">[3] Superpixel Sampling Networks. ECCV, 2018.</w:t>
      </w:r>
    </w:p>
    <w:p>
      <w:pPr>
        <w:pStyle w:val="BodyText"/>
      </w:pPr>
      <w:r>
        <w:t xml:space="preserve">[4] Superpixel Segmentation with Fully Convolutional Networks. CVPR, 2020.</w:t>
      </w:r>
    </w:p>
    <w:p>
      <w:pPr>
        <w:pStyle w:val="BodyText"/>
      </w:pPr>
      <w:r>
        <w:t xml:space="preserve">[5] Superpixel Anything: A general object-based framework for accurate yet regular superpixel segmentation. BMVC, 2025.</w:t>
      </w:r>
    </w:p>
    <w:p>
      <w:pPr>
        <w:pStyle w:val="BodyText"/>
      </w:pPr>
      <w:r>
        <w:t xml:space="preserve">[6] Object-Contextual Representations for Semantic Segmentation. ECCV, 2020.</w:t>
      </w:r>
    </w:p>
    <w:p>
      <w:pPr>
        <w:pStyle w:val="BodyText"/>
      </w:pPr>
      <w:r>
        <w:t xml:space="preserve">[7] FiLM: Visual Reasoning with a General Conditioning Layer. AAAI, 2018.</w:t>
      </w:r>
    </w:p>
    <w:p>
      <w:pPr>
        <w:pStyle w:val="BodyText"/>
      </w:pPr>
      <w:r>
        <w:t xml:space="preserve">[8] Exploring Cross-Image Pixel Contrast for Semantic Segmentation. ICCV, 2021.</w:t>
      </w:r>
    </w:p>
    <w:p>
      <w:pPr>
        <w:pStyle w:val="BodyText"/>
      </w:pPr>
      <w:r>
        <w:t xml:space="preserve">[9] Supervised Contrastive Learning. NeurIPS, 2020.</w:t>
      </w:r>
    </w:p>
    <w:p>
      <w:pPr>
        <w:pStyle w:val="BodyText"/>
      </w:pPr>
      <w:r>
        <w:t xml:space="preserve">[10] Retrieval Augmented Classification for Long-Tail Visual Recognition. CVPR, 2022.</w:t>
      </w:r>
    </w:p>
    <w:p>
      <w:pPr>
        <w:pStyle w:val="BodyText"/>
      </w:pPr>
      <w:r>
        <w:t xml:space="preserve">[11] Tip-Adapter: Training-Free Adaption of CLIP for Few-Shot Classification. ECCV, 2022.</w:t>
      </w:r>
    </w:p>
    <w:p>
      <w:pPr>
        <w:pStyle w:val="BodyText"/>
      </w:pPr>
      <w:r>
        <w:t xml:space="preserve">[12] SRAC: Superpixel Retrieval-Augmented Classification for Multi-Modal Disaster Building Damage Assessment. IGARSS 2026，现有证据限目录/新闻及用户提供的方法图。</w:t>
      </w:r>
    </w:p>
    <w:p>
      <w:pPr>
        <w:pStyle w:val="BodyText"/>
      </w:pPr>
      <w:r>
        <w:t xml:space="preserve">[13] The Lovász-Softmax Loss: A Tractable Surrogate for the Optimization of the Intersection-Over-Union Measure in Neural Networks. CVPR, 2018.</w:t>
      </w:r>
    </w:p>
    <w:bookmarkEnd w:id="42"/>
    <w:bookmarkEnd w:id="43"/>
    <w:sectPr>
      <w:footerReference r:id="rId9" w:type="default"/>
      <w:pgSz w:h="16838" w:w="11906"/>
      <w:pgMar w:bottom="964" w:left="964" w:right="964"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结果待补稿 · 2026-10-16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88" w:lineRule="auto"/>
    </w:pPr>
    <w:rPr>
      <w:rFonts w:ascii="Noto Sans CJK SC" w:eastAsia="Noto Sans CJK SC" w:hAnsi="Noto Sans CJK SC"/>
      <w:sz w:val="21"/>
    </w:rPr>
  </w:style>
  <w:style w:styleId="BodyText" w:type="paragraph">
    <w:name w:val="Body Text"/>
    <w:basedOn w:val="Normal"/>
    <w:link w:val="BodyTextChar"/>
    <w:qFormat/>
    <w:pPr>
      <w:spacing w:after="100" w:before="180" w:line="288" w:lineRule="auto"/>
    </w:pPr>
    <w:rPr>
      <w:rFonts w:ascii="Noto Sans CJK SC" w:eastAsia="Noto Sans CJK SC" w:hAnsi="Noto Sans CJK SC"/>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Noto Sans CJK SC" w:eastAsia="Noto Sans CJK SC" w:hAnsi="Noto Sans CJK SC"/>
    </w:rPr>
  </w:style>
  <w:style w:styleId="Title" w:type="paragraph">
    <w:name w:val="Title"/>
    <w:basedOn w:val="Normal"/>
    <w:next w:val="BodyText"/>
    <w:qFormat/>
    <w:pPr>
      <w:keepNext/>
      <w:keepLines/>
      <w:spacing w:after="240" w:before="480"/>
      <w:jc w:val="center"/>
    </w:pPr>
    <w:rPr>
      <w:rFonts w:ascii="Noto Sans CJK SC" w:asciiTheme="majorHAnsi" w:cstheme="majorBidi" w:eastAsia="Noto Sans CJK SC" w:eastAsiaTheme="majorEastAsia" w:hAnsi="Noto Sans CJK SC"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oto Sans CJK SC" w:eastAsia="Noto Sans CJK SC" w:hAnsi="Noto Sans CJK SC"/>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2026-10-16T04:10:34Z</dcterms:created>
  <dcterms:modified xsi:type="dcterms:W3CDTF">2026-10-16T04:10:34Z</dcterms:modified>
</cp:coreProperties>
</file>

<file path=docProps/custom.xml><?xml version="1.0" encoding="utf-8"?>
<Properties xmlns="http://schemas.openxmlformats.org/officeDocument/2006/custom-properties" xmlns:vt="http://schemas.openxmlformats.org/officeDocument/2006/docPropsVTypes"/>
</file>