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2"/>
        <w:widowControl/>
        <w:jc w:val="center"/>
        <w:rPr>
          <w:rFonts w:hint="eastAsia" w:ascii="宋体" w:hAnsi="宋体" w:eastAsia="宋体" w:cs="宋体"/>
        </w:rPr>
      </w:pPr>
      <w:r>
        <w:rPr>
          <w:rFonts w:hint="eastAsia" w:ascii="Times New Roman" w:hAnsi="Times New Roman" w:eastAsia="宋体" w:cs="宋体"/>
          <w:b/>
          <w:sz w:val="32"/>
        </w:rPr>
        <w:t>面向光学–SAR建筑损毁评估的</w:t>
      </w:r>
      <w:r>
        <w:rPr>
          <w:rFonts w:hint="eastAsia" w:ascii="Times New Roman" w:hAnsi="Times New Roman" w:eastAsia="宋体" w:cs="宋体"/>
          <w:b/>
          <w:sz w:val="32"/>
        </w:rPr>
        <w:br w:type="textWrapping"/>
      </w:r>
      <w:r>
        <w:rPr>
          <w:rFonts w:hint="eastAsia" w:ascii="Times New Roman" w:hAnsi="Times New Roman" w:eastAsia="宋体" w:cs="宋体"/>
          <w:b/>
          <w:sz w:val="32"/>
        </w:rPr>
        <w:t>结构条件区域编码与跨事件检索</w:t>
      </w:r>
    </w:p>
    <w:p w14:paraId="7D31518B">
      <w:pPr>
        <w:pStyle w:val="165"/>
        <w:widowControl/>
        <w:rPr>
          <w:rFonts w:hint="eastAsia" w:ascii="宋体" w:hAnsi="宋体" w:eastAsia="宋体" w:cs="宋体"/>
        </w:rPr>
      </w:pPr>
      <w:r>
        <w:rPr>
          <w:rFonts w:ascii="Times New Roman" w:hAnsi="Times New Roman" w:eastAsia="宋体"/>
          <w:sz w:val="21"/>
        </w:rPr>
        <w:t>摘要—灾前光学与灾后合成孔径雷达（SAR）影像为建筑损毁评估提供互补观测，但区域混合与外观相似性限制了结构组织和历史案例使用。本文构建结构条件区域编码与跨事件监督检索相结合的评估框架。首先，将预测建筑概率的连续相容项引入局部软归属，组织像素与区域的关系；其次，以建筑概率、软归属相容变化和归属熵调节融合内容，并保留适配前统计与软几何形成区域表示；最后，在固定区域表示上利用跨事件类别关系学习支持排序，读取阶段仍使用原始支持特征、Train标签组成及元数据。增强区域经当前图像的同一软归属回投，与像素特征联合分类。实验在BRIGHT标准划分上组织总体比较、递进配置、结构条件和支持干预，并以同窗口案例与事件统计分析错误类型。完整方法的四类mIoU与前景mIoU分别为   和   ，相对同协议像素基线的变化为   和   个百分点。</w:t>
      </w:r>
    </w:p>
    <w:p w14:paraId="7618B83C">
      <w:pPr>
        <w:pStyle w:val="165"/>
        <w:widowControl/>
        <w:rPr>
          <w:rFonts w:hint="eastAsia" w:ascii="宋体" w:hAnsi="宋体" w:eastAsia="宋体" w:cs="宋体"/>
        </w:rPr>
      </w:pPr>
      <w:r>
        <w:rPr>
          <w:rFonts w:hint="eastAsia" w:ascii="Times New Roman" w:hAnsi="Times New Roman" w:eastAsia="宋体" w:cs="宋体"/>
          <w:b/>
          <w:sz w:val="21"/>
        </w:rPr>
        <w:t>关键词：</w:t>
      </w:r>
      <w:r>
        <w:rPr>
          <w:rFonts w:hint="eastAsia" w:ascii="Times New Roman" w:hAnsi="Times New Roman" w:eastAsia="宋体" w:cs="宋体"/>
          <w:sz w:val="21"/>
        </w:rPr>
        <w:t>建筑损毁评估；光学–SAR遥感；建筑软分区；结构条件特征适配；跨事件区域检索</w:t>
      </w:r>
    </w:p>
    <w:p w14:paraId="79E28A03">
      <w:pPr>
        <w:pStyle w:val="3"/>
        <w:keepNext/>
        <w:widowControl/>
        <w:rPr>
          <w:rFonts w:hint="eastAsia" w:ascii="宋体" w:hAnsi="宋体" w:eastAsia="宋体" w:cs="宋体"/>
        </w:rPr>
      </w:pPr>
      <w:r>
        <w:rPr>
          <w:rFonts w:hint="eastAsia" w:ascii="Times New Roman" w:hAnsi="Times New Roman" w:eastAsia="宋体" w:cs="宋体"/>
          <w:sz w:val="21"/>
        </w:rPr>
        <w:t>I. 引言</w:t>
      </w:r>
    </w:p>
    <w:p w14:paraId="3B44B6DE">
      <w:pPr>
        <w:widowControl/>
        <w:rPr>
          <w:rFonts w:hint="eastAsia" w:ascii="宋体" w:hAnsi="宋体" w:eastAsia="宋体" w:cs="宋体"/>
        </w:rPr>
      </w:pPr>
      <w:r>
        <w:rPr>
          <w:rFonts w:ascii="Times New Roman" w:hAnsi="Times New Roman" w:eastAsia="宋体"/>
          <w:sz w:val="21"/>
        </w:rPr>
        <w:t>建筑损毁的位置和程度为灾后救援与资源分配提供空间依据。xBD推动了灾前、灾后光学影像中的建筑定位和损毁分级研究[1]。灾后光学获取受云雾、光照和重访时机限制，灾前光学与灾后SAR构成可用的互补观测；BRIGHT为这一组合提供了多事件标准评测数据[2]。本文以背景、完好、受损、毁坏四类密集预测为目标，不将既有数据集或跨模态输入组合本身作为贡献。</w:t>
      </w:r>
    </w:p>
    <w:p w14:paraId="2C997B24">
      <w:pPr>
        <w:widowControl/>
        <w:rPr>
          <w:rFonts w:hint="eastAsia" w:ascii="宋体" w:hAnsi="宋体" w:eastAsia="宋体" w:cs="宋体"/>
        </w:rPr>
      </w:pPr>
      <w:r>
        <w:rPr>
          <w:rFonts w:ascii="Times New Roman" w:hAnsi="Times New Roman" w:eastAsia="宋体"/>
          <w:sz w:val="21"/>
        </w:rPr>
        <w:t>已有方法从对象变化、双任务表征和状态空间建模等角度组织损毁证据。ChangeOS将建筑对象语义与损毁状态联系起来[3]，双任务孪生Transformer联合建模定位与等级[4]，ChangeMamba探索时空状态空间表征[5]。同时，迁移研究表明熟悉划分上的性能不能代替对新灾害分布的验证[6,7]。因此，本研究同时区分区域组织、区域内容和外部支持，分别检验其作用，而不把整条路径的增益归于某一个组件。</w:t>
      </w:r>
    </w:p>
    <w:p w14:paraId="67FD1E1B">
      <w:pPr>
        <w:widowControl/>
        <w:rPr>
          <w:rFonts w:hint="eastAsia" w:ascii="宋体" w:hAnsi="宋体" w:eastAsia="宋体" w:cs="宋体"/>
        </w:rPr>
      </w:pPr>
      <w:r>
        <w:rPr>
          <w:rFonts w:hint="eastAsia" w:ascii="Times New Roman" w:hAnsi="Times New Roman" w:eastAsia="宋体" w:cs="宋体"/>
          <w:sz w:val="21"/>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Times New Roman" w:hAnsi="Times New Roman" w:eastAsia="宋体" w:cs="宋体"/>
          <w:sz w:val="21"/>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rPr>
          <w:rFonts w:ascii="Times New Roman" w:hAnsi="Times New Roman" w:eastAsia="宋体"/>
          <w:sz w:val="21"/>
        </w:rPr>
        <w:t>围绕三个设计环节，本文构建由总体比较、区域组织与内容适配消融、历史支持与排序对照、检索质量、事件表现和配对案例组成的验证链。区域组织指标与最终分割指标分别报告，检索相关度与分类收益分别分析。所有结果表保留原始计数的可追溯来源，避免将递进配置的差值直接解释为单个模块的独立作用。</w:t>
      </w:r>
    </w:p>
    <w:p w14:paraId="42566789">
      <w:pPr>
        <w:widowControl/>
        <w:rPr>
          <w:rFonts w:hint="eastAsia" w:ascii="宋体" w:hAnsi="宋体" w:eastAsia="宋体" w:cs="宋体"/>
        </w:rPr>
      </w:pPr>
      <w:r>
        <w:rPr>
          <w:rFonts w:ascii="Times New Roman" w:hAnsi="Times New Roman" w:eastAsia="宋体"/>
          <w:sz w:val="21"/>
        </w:rP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widowControl/>
        <w:rPr>
          <w:rFonts w:hint="eastAsia" w:ascii="宋体" w:hAnsi="宋体" w:eastAsia="宋体" w:cs="宋体"/>
        </w:rPr>
      </w:pPr>
      <w:r>
        <w:rPr>
          <w:rFonts w:hint="eastAsia" w:ascii="Times New Roman" w:hAnsi="Times New Roman" w:eastAsia="宋体" w:cs="宋体"/>
          <w:sz w:val="21"/>
        </w:rPr>
        <w:t>II. 相关工作</w:t>
      </w:r>
    </w:p>
    <w:p w14:paraId="4A80AA40">
      <w:pPr>
        <w:pStyle w:val="4"/>
        <w:keepNext/>
        <w:widowControl/>
        <w:rPr>
          <w:rFonts w:hint="eastAsia" w:ascii="宋体" w:hAnsi="宋体" w:eastAsia="宋体" w:cs="宋体"/>
        </w:rPr>
      </w:pPr>
      <w:r>
        <w:rPr>
          <w:rFonts w:hint="eastAsia" w:ascii="Times New Roman" w:hAnsi="Times New Roman" w:eastAsia="宋体" w:cs="宋体"/>
          <w:sz w:val="21"/>
        </w:rPr>
        <w:t>A. 建筑损毁评估与光学–SAR融合</w:t>
      </w:r>
    </w:p>
    <w:p w14:paraId="60E7A3D8">
      <w:pPr>
        <w:widowControl/>
        <w:rPr>
          <w:rFonts w:hint="eastAsia" w:ascii="宋体" w:hAnsi="宋体" w:eastAsia="宋体" w:cs="宋体"/>
        </w:rPr>
      </w:pPr>
      <w:r>
        <w:rPr>
          <w:rFonts w:ascii="Times New Roman" w:hAnsi="Times New Roman" w:eastAsia="宋体"/>
          <w:sz w:val="21"/>
        </w:rPr>
        <w:t>像素分割研究形成了从FCN、U-Net到空洞卷积编码–解码器的技术路线[8,9,10]，残差网络、Swin和SegFormer进一步丰富了视觉骨干与多尺度表示[11,12,13]。多源变化检测的SiamCRNN为双时相关系建模提供了相关基础[14]；建筑任务中的MS4D-Net研究少标注条件下的多任务一致性，OCD-BDA研究对象级震后变化[15,16]。这些研究输入、监督与输出层级不同，本文只在BRIGHT统一协议下比较适配版本，不能直接拼接不同任务的成绩。</w:t>
      </w:r>
    </w:p>
    <w:p w14:paraId="6B3F7D1E">
      <w:pPr>
        <w:widowControl/>
        <w:rPr>
          <w:rFonts w:hint="eastAsia" w:ascii="宋体" w:hAnsi="宋体" w:eastAsia="宋体" w:cs="宋体"/>
        </w:rPr>
      </w:pPr>
      <w:r>
        <w:rPr>
          <w:rFonts w:ascii="Times New Roman" w:hAnsi="Times New Roman" w:eastAsia="宋体"/>
          <w:sz w:val="21"/>
        </w:rPr>
        <w:t>BRIGHT以灾前光学与灾后SAR建立多灾种损毁评测[2]。本文沿用既有多模态像素前端（MPF），重点考察像素预测之后的区域成员、区域内容和历史支持。已有建筑信息不因关闭新增相容项而消失，因此后续“B→Q关闭”仅表示移除本文新增的归属项。跨事件支持选择与真正未见事件泛化也分开表述；后一问题需要专门划分和实验[6,7]。</w:t>
      </w:r>
    </w:p>
    <w:p w14:paraId="51E13AB3">
      <w:pPr>
        <w:pStyle w:val="4"/>
        <w:keepNext/>
        <w:widowControl/>
        <w:rPr>
          <w:rFonts w:hint="eastAsia" w:ascii="宋体" w:hAnsi="宋体" w:eastAsia="宋体" w:cs="宋体"/>
        </w:rPr>
      </w:pPr>
      <w:r>
        <w:rPr>
          <w:rFonts w:hint="eastAsia" w:ascii="Times New Roman" w:hAnsi="Times New Roman" w:eastAsia="宋体" w:cs="宋体"/>
          <w:sz w:val="21"/>
        </w:rPr>
        <w:t>B. 建筑先验与可学习软分区</w:t>
      </w:r>
    </w:p>
    <w:p w14:paraId="5DF5FECD">
      <w:pPr>
        <w:widowControl/>
        <w:rPr>
          <w:rFonts w:hint="eastAsia" w:ascii="宋体" w:hAnsi="宋体" w:eastAsia="宋体" w:cs="宋体"/>
        </w:rPr>
      </w:pPr>
      <w:r>
        <w:rPr>
          <w:rFonts w:ascii="Times New Roman" w:hAnsi="Times New Roman" w:eastAsia="宋体"/>
          <w:sz w:val="21"/>
        </w:rPr>
        <w:t>SLIC在颜色与空间位置的联合空间中构造超像素[17]；SSN将区域关联更新改为可微过程[18]；全卷积超像素方法直接预测局部关联[19]。这些工作已经建立软关联、区域汇总与回投的基础，本文不将“采用超像素”本身作为创新。</w:t>
      </w:r>
    </w:p>
    <w:p w14:paraId="089EB2A4">
      <w:pPr>
        <w:widowControl/>
      </w:pPr>
      <w:r>
        <w:rPr>
          <w:rFonts w:ascii="Times New Roman" w:hAnsi="Times New Roman" w:eastAsia="宋体"/>
          <w:sz w:val="21"/>
        </w:rPr>
        <w:t>对象先验指导区域组织已有研究。Superpixel Anything将对象信息用于超像素生成[20]，因而建筑或对象先验本身不能构成首创性主张。本文检验的是预测建筑概率进入局部连续相容项的具体方式，并同时考察区域混合率、有效区域数量和最终分类，避免将视觉上规整的分区等同于损毁识别改善。</w:t>
      </w:r>
    </w:p>
    <w:p w14:paraId="2375619C">
      <w:pPr>
        <w:widowControl/>
        <w:rPr>
          <w:rFonts w:hint="eastAsia" w:ascii="宋体" w:hAnsi="宋体" w:eastAsia="宋体" w:cs="宋体"/>
        </w:rPr>
      </w:pPr>
      <w:r>
        <w:rPr>
          <w:rFonts w:hint="eastAsia" w:ascii="Times New Roman" w:hAnsi="Times New Roman" w:eastAsia="宋体" w:cs="宋体"/>
          <w:sz w:val="21"/>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widowControl/>
        <w:rPr>
          <w:rFonts w:hint="eastAsia" w:ascii="宋体" w:hAnsi="宋体" w:eastAsia="宋体" w:cs="宋体"/>
        </w:rPr>
      </w:pPr>
      <w:r>
        <w:rPr>
          <w:rFonts w:hint="eastAsia" w:ascii="Times New Roman" w:hAnsi="Times New Roman" w:eastAsia="宋体" w:cs="宋体"/>
          <w:sz w:val="21"/>
        </w:rPr>
        <w:t>C. 区域内容表征与像素上下文</w:t>
      </w:r>
    </w:p>
    <w:p w14:paraId="5896BA1B">
      <w:pPr>
        <w:widowControl/>
        <w:rPr>
          <w:rFonts w:hint="eastAsia" w:ascii="宋体" w:hAnsi="宋体" w:eastAsia="宋体" w:cs="宋体"/>
        </w:rPr>
      </w:pPr>
      <w:r>
        <w:rPr>
          <w:rFonts w:ascii="Times New Roman" w:hAnsi="Times New Roman" w:eastAsia="宋体"/>
          <w:sz w:val="21"/>
        </w:rPr>
        <w:t>区域与上下文表征已有多种路径。OCR聚合对象上下文，PSPNet汇聚多尺度区域，DANet和Non-local模块扩大特征关系的作用范围[21,22,23,24]；SENet与二阶池化分别研究通道重标定和统计表征[25,26]。WANet针对遥感沟渠提取研究小结构和背景干扰[27]，其任务与建筑损毁不同，本文仅参考其分层结果分析方式，不将其数值作为建筑任务基线。由此，注意力、统计汇总和回投是基础组件，本文的结构侧问题是分区状态如何具体影响融合内容。</w:t>
      </w:r>
    </w:p>
    <w:p w14:paraId="6910D84C">
      <w:pPr>
        <w:widowControl/>
        <w:rPr>
          <w:rFonts w:hint="eastAsia" w:ascii="宋体" w:hAnsi="宋体" w:eastAsia="宋体" w:cs="宋体"/>
        </w:rPr>
      </w:pPr>
      <w:r>
        <w:rPr>
          <w:rFonts w:hint="eastAsia" w:ascii="Times New Roman" w:hAnsi="Times New Roman" w:eastAsia="宋体" w:cs="宋体"/>
          <w:sz w:val="21"/>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14:paraId="7F5B4646">
      <w:pPr>
        <w:widowControl/>
      </w:pPr>
      <w:r>
        <w:rPr>
          <w:rFonts w:ascii="Times New Roman" w:hAnsi="Times New Roman" w:eastAsia="宋体"/>
          <w:sz w:val="21"/>
        </w:rPr>
        <w:t>条件化中间特征已有FiLM等方法[28]。本文的结构条件残差适配不等同于FiLM：输入是建筑概率、软归属相容变化和归属熵。是否优于普通内容处理，需在固定Q、相近活跃参数和训练预算下检验，并逐项去除这些条件；不能仅凭额外MLP带来的结果主张结构条件有效。</w:t>
      </w:r>
    </w:p>
    <w:p w14:paraId="02469D6B">
      <w:pPr>
        <w:pStyle w:val="4"/>
        <w:keepNext/>
        <w:widowControl/>
        <w:rPr>
          <w:rFonts w:hint="eastAsia" w:ascii="宋体" w:hAnsi="宋体" w:eastAsia="宋体" w:cs="宋体"/>
        </w:rPr>
      </w:pPr>
      <w:r>
        <w:rPr>
          <w:rFonts w:hint="eastAsia" w:ascii="Times New Roman" w:hAnsi="Times New Roman" w:eastAsia="宋体" w:cs="宋体"/>
          <w:sz w:val="21"/>
        </w:rPr>
        <w:t>D. 外部支持与跨事件检索</w:t>
      </w:r>
    </w:p>
    <w:p w14:paraId="66B52A09">
      <w:pPr>
        <w:widowControl/>
        <w:rPr>
          <w:rFonts w:hint="eastAsia" w:ascii="宋体" w:hAnsi="宋体" w:eastAsia="宋体" w:cs="宋体"/>
        </w:rPr>
      </w:pPr>
      <w:r>
        <w:rPr>
          <w:rFonts w:ascii="Times New Roman" w:hAnsi="Times New Roman" w:eastAsia="宋体"/>
          <w:sz w:val="21"/>
        </w:rPr>
        <w:t>跨图像像素对比学习和原型分割利用标签关系组织密集特征[29,30]；Prototypical Networks及FEAT研究支持样本的类别表示与适配[31,32]，Tip-Adapter将训练特征与标签构成预测缓存[33]。这些研究支持将“寻找何种支持”和“如何读取内容”作为两个问题，但其分类任务及训练设置不能直接替代本任务的控制实验。</w:t>
      </w:r>
    </w:p>
    <w:p w14:paraId="47E3F351">
      <w:pPr>
        <w:widowControl/>
        <w:rPr>
          <w:rFonts w:hint="eastAsia" w:ascii="宋体" w:hAnsi="宋体" w:eastAsia="宋体" w:cs="宋体"/>
        </w:rPr>
      </w:pPr>
      <w:r>
        <w:rPr>
          <w:rFonts w:ascii="Times New Roman" w:hAnsi="Times New Roman" w:eastAsia="宋体"/>
          <w:sz w:val="21"/>
        </w:rPr>
        <w:t>还需区分训练字典与推理支持库。Cross-Batch Memory、MoCo和DenseCL分别在度量学习或表征预训练中使用跨批特征与密集对比[34,35,36]，不等于部署时读取带损毁标注的历史案例。本文使用Train区域的跨事件类别关系拟合投影，其监督与SupCon的类别约束有关[37]；推理仅按投影返回支持ID，再由注意力式读取器使用原始记录[38]。同类邻居是否更多、最终分类是否提高、是否真正依赖支持标签，需分别验证。</w:t>
      </w:r>
    </w:p>
    <w:p w14:paraId="51CD567E">
      <w:pPr>
        <w:widowControl/>
      </w:pPr>
      <w:r>
        <w:rPr>
          <w:rFonts w:ascii="Times New Roman" w:hAnsi="Times New Roman" w:eastAsia="宋体"/>
          <w:sz w:val="21"/>
        </w:rPr>
        <w:t>本文不把“超像素加Memory”作为充分的新颖性依据，而将方法落在建筑连续相容、分区状态内容适配与跨事件支持排序三项可检验设计上。相关任务、区域上下文、原型与缓存研究共同提示：额外上下文、读取容量或类别先验本身都可能改变成绩。因此，必须匹配当前图像上下文与参数化支持，并对固定读取器进行邻居ID替换，才能进一步讨论历史案例的增量。</w:t>
      </w:r>
    </w:p>
    <w:p w14:paraId="49EA1A57">
      <w:pPr>
        <w:pStyle w:val="3"/>
        <w:keepNext/>
        <w:widowControl/>
        <w:rPr>
          <w:rFonts w:hint="eastAsia" w:ascii="宋体" w:hAnsi="宋体" w:eastAsia="宋体" w:cs="宋体"/>
        </w:rPr>
      </w:pPr>
      <w:r>
        <w:rPr>
          <w:rFonts w:hint="eastAsia" w:ascii="Times New Roman" w:hAnsi="Times New Roman" w:eastAsia="宋体" w:cs="宋体"/>
          <w:sz w:val="21"/>
        </w:rPr>
        <w:t>III. 所提方法</w:t>
      </w:r>
    </w:p>
    <w:p w14:paraId="433630B2">
      <w:pPr>
        <w:pStyle w:val="4"/>
        <w:keepNext/>
        <w:widowControl/>
        <w:rPr>
          <w:rFonts w:hint="eastAsia" w:ascii="宋体" w:hAnsi="宋体" w:eastAsia="宋体" w:cs="宋体"/>
        </w:rPr>
      </w:pPr>
      <w:r>
        <w:rPr>
          <w:rFonts w:hint="eastAsia" w:ascii="Times New Roman" w:hAnsi="Times New Roman" w:eastAsia="宋体" w:cs="宋体"/>
          <w:sz w:val="21"/>
        </w:rPr>
        <w:t>A. 任务定义与总体框架</w:t>
      </w:r>
    </w:p>
    <w:p w14:paraId="61A0269D">
      <w:pPr>
        <w:widowControl/>
        <w:rPr>
          <w:rFonts w:hint="eastAsia" w:ascii="宋体" w:hAnsi="宋体" w:eastAsia="宋体" w:cs="宋体"/>
        </w:rPr>
      </w:pPr>
      <w:r>
        <w:rPr>
          <w:rFonts w:hint="eastAsia" w:ascii="Times New Roman" w:hAnsi="Times New Roman" w:eastAsia="宋体" w:cs="宋体"/>
          <w:sz w:val="21"/>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Times New Roman" w:hAnsi="Times New Roman" w:eastAsia="宋体" w:cs="宋体"/>
          <w:sz w:val="21"/>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w:t>
      </w:r>
    </w:p>
    <w:p w14:paraId="5FDEE0CA">
      <w:pPr>
        <w:widowControl/>
      </w:pPr>
      <w:r>
        <w:rPr>
          <w:rFonts w:ascii="Times New Roman" w:hAnsi="Times New Roman" w:eastAsia="宋体"/>
          <w:sz w:val="21"/>
        </w:rPr>
        <w:t>本文将提供建筑概率、融合内容和像素预测的基础网络统一称为多模态像素前端（Multimodal Pixel Frontend，MPF）。直接使用其既有分类器时写为MPF；冻结同一前端、按匹配预算只训练像素头的对照写为像素头适配（Pixel-Head Adaptation）。完整检索框架写为Ours，内部配置按实际计算路径命名，不沿用A1、J0等内部编号。</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Transformer[12]，建筑定位与等级预测采用双任务设置[4]。预训练像素前端提供多尺度光学特征、预测建筑概率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drawing>
          <wp:inline xmlns:a="http://schemas.openxmlformats.org/drawingml/2006/main" xmlns:pic="http://schemas.openxmlformats.org/drawingml/2006/picture">
            <wp:extent cx="6228000" cy="4325353"/>
            <wp:docPr id="4" name="Picture 4"/>
            <wp:cNvGraphicFramePr>
              <a:graphicFrameLocks noChangeAspect="1"/>
            </wp:cNvGraphicFramePr>
            <a:graphic>
              <a:graphicData uri="http://schemas.openxmlformats.org/drawingml/2006/picture">
                <pic:pic>
                  <pic:nvPicPr>
                    <pic:cNvPr id="0" name="Fig1_framework.png"/>
                    <pic:cNvPicPr/>
                  </pic:nvPicPr>
                  <pic:blipFill>
                    <a:blip r:embed="rId22"/>
                    <a:stretch>
                      <a:fillRect/>
                    </a:stretch>
                  </pic:blipFill>
                  <pic:spPr>
                    <a:xfrm>
                      <a:off x="0" y="0"/>
                      <a:ext cx="6228000" cy="4325353"/>
                    </a:xfrm>
                    <a:prstGeom prst="rect"/>
                  </pic:spPr>
                </pic:pic>
              </a:graphicData>
            </a:graphic>
          </wp:inline>
        </w:drawing>
      </w:r>
    </w:p>
    <w:p w14:paraId="363248B5">
      <w:pPr>
        <w:pStyle w:val="15"/>
        <w:keepNext w:val="0"/>
        <w:keepLines/>
        <w:widowControl/>
        <w:jc w:val="center"/>
        <w:rPr>
          <w:rFonts w:hint="eastAsia" w:ascii="宋体" w:hAnsi="宋体" w:eastAsia="宋体" w:cs="宋体"/>
        </w:rPr>
      </w:pPr>
      <w:r>
        <w:rPr>
          <w:rFonts w:ascii="Times New Roman" w:hAnsi="Times New Roman" w:eastAsia="宋体"/>
          <w:sz w:val="19"/>
        </w:rPr>
        <w:t>图1　总体框架。离线支持仅来自Train；查询端由MPF提供建筑概率B、结构描述R与融合内容F，Q组织区域，检索返回ID并读取原始支持，增强区域经当前图像自己的Q回投，与F共同分类。</w:t>
      </w:r>
    </w:p>
    <w:p w14:paraId="3EBFB7BD">
      <w:pPr>
        <w:pStyle w:val="4"/>
        <w:keepNext/>
        <w:widowControl/>
        <w:rPr>
          <w:rFonts w:hint="eastAsia" w:ascii="宋体" w:hAnsi="宋体" w:eastAsia="宋体" w:cs="宋体"/>
        </w:rPr>
      </w:pPr>
      <w:r>
        <w:rPr>
          <w:rFonts w:hint="eastAsia" w:ascii="Times New Roman" w:hAnsi="Times New Roman" w:eastAsia="宋体" w:cs="宋体"/>
          <w:sz w:val="21"/>
        </w:rPr>
        <w:t>B. 建筑概率约束的局部软分区</w:t>
      </w:r>
    </w:p>
    <w:p w14:paraId="363AE1ED">
      <w:pPr>
        <w:widowControl/>
        <w:rPr>
          <w:rFonts w:hint="eastAsia" w:ascii="宋体" w:hAnsi="宋体" w:eastAsia="宋体" w:cs="宋体"/>
        </w:rPr>
      </w:pPr>
      <w:r>
        <w:rPr>
          <w:rFonts w:hint="eastAsia" w:ascii="Times New Roman" w:hAnsi="Times New Roman" w:eastAsia="宋体" w:cs="宋体"/>
          <w:sz w:val="21"/>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局部迭代沿用可微超像素的关联更新思路[18]。在特征网格上以步长8均匀设置种子。对位置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Times New Roman" w:hAnsi="Times New Roman" w:eastAsia="宋体" w:cs="宋体"/>
          <w:sz w:val="21"/>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widowControl/>
        <w:rPr>
          <w:rFonts w:hint="eastAsia" w:ascii="宋体" w:hAnsi="宋体" w:eastAsia="宋体" w:cs="宋体"/>
        </w:rPr>
      </w:pPr>
      <w:r>
        <w:rPr>
          <w:rFonts w:hint="eastAsia" w:ascii="Times New Roman" w:hAnsi="Times New Roman" w:eastAsia="宋体" w:cs="宋体"/>
          <w:sz w:val="21"/>
        </w:rPr>
        <w:t>C. 分区状态条件的区域特征适配</w:t>
      </w:r>
    </w:p>
    <w:p w14:paraId="7F6BF241">
      <w:pPr>
        <w:widowControl/>
        <w:rPr>
          <w:rFonts w:hint="eastAsia" w:ascii="宋体" w:hAnsi="宋体" w:eastAsia="宋体" w:cs="宋体"/>
        </w:rPr>
      </w:pPr>
      <w:r>
        <w:rPr>
          <w:rFonts w:hint="eastAsia" w:ascii="Times New Roman" w:hAnsi="Times New Roman" w:eastAsia="宋体" w:cs="宋体"/>
          <w:sz w:val="21"/>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14:paraId="2A916DB8">
      <w:pPr>
        <w:widowControl/>
      </w:pPr>
      <w:r>
        <w:rPr>
          <w:rFonts w:ascii="Times New Roman" w:hAnsi="Times New Roman" w:eastAsia="宋体"/>
          <w:sz w:val="21"/>
        </w:rP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center"/>
        <w:rPr>
          <w:rFonts w:hint="eastAsia" w:ascii="宋体" w:hAnsi="宋体" w:eastAsia="宋体" w:cs="宋体"/>
        </w:rPr>
      </w:pPr>
      <w:r>
        <w:drawing>
          <wp:inline xmlns:a="http://schemas.openxmlformats.org/drawingml/2006/main" xmlns:pic="http://schemas.openxmlformats.org/drawingml/2006/picture">
            <wp:extent cx="6228000" cy="4325353"/>
            <wp:docPr id="5" name="Picture 5"/>
            <wp:cNvGraphicFramePr>
              <a:graphicFrameLocks noChangeAspect="1"/>
            </wp:cNvGraphicFramePr>
            <a:graphic>
              <a:graphicData uri="http://schemas.openxmlformats.org/drawingml/2006/picture">
                <pic:pic>
                  <pic:nvPicPr>
                    <pic:cNvPr id="0" name="Fig2_region_encoding.png"/>
                    <pic:cNvPicPr/>
                  </pic:nvPicPr>
                  <pic:blipFill>
                    <a:blip r:embed="rId23"/>
                    <a:stretch>
                      <a:fillRect/>
                    </a:stretch>
                  </pic:blipFill>
                  <pic:spPr>
                    <a:xfrm>
                      <a:off x="0" y="0"/>
                      <a:ext cx="6228000" cy="4325353"/>
                    </a:xfrm>
                    <a:prstGeom prst="rect"/>
                  </pic:spPr>
                </pic:pic>
              </a:graphicData>
            </a:graphic>
          </wp:inline>
        </w:drawing>
      </w:r>
    </w:p>
    <w:p w14:paraId="7D248BA8">
      <w:pPr>
        <w:pStyle w:val="15"/>
        <w:keepNext w:val="0"/>
        <w:keepLines/>
        <w:widowControl/>
        <w:jc w:val="center"/>
        <w:rPr>
          <w:rFonts w:hint="eastAsia" w:ascii="宋体" w:hAnsi="宋体" w:eastAsia="宋体" w:cs="宋体"/>
        </w:rPr>
      </w:pPr>
      <w:r>
        <w:rPr>
          <w:rFonts w:ascii="Times New Roman" w:hAnsi="Times New Roman" w:eastAsia="宋体"/>
          <w:sz w:val="19"/>
        </w:rPr>
        <w:t>图2　建筑相容分区与结构条件区域编码。建筑概率进入局部相容项；B、b(Q)、H(Q)调节融合内容，并结合适配前统计和软几何形成区域表示。b(Q)不是GT建筑边界，H(Q)不是损毁概率的不确定性。</w:t>
      </w:r>
    </w:p>
    <w:p w14:paraId="7A50BAC7">
      <w:pPr>
        <w:pStyle w:val="4"/>
        <w:keepNext/>
        <w:widowControl/>
        <w:rPr>
          <w:rFonts w:hint="eastAsia" w:ascii="宋体" w:hAnsi="宋体" w:eastAsia="宋体" w:cs="宋体"/>
        </w:rPr>
      </w:pPr>
      <w:r>
        <w:rPr>
          <w:rFonts w:hint="eastAsia" w:ascii="Times New Roman" w:hAnsi="Times New Roman" w:eastAsia="宋体" w:cs="宋体"/>
          <w:sz w:val="21"/>
        </w:rPr>
        <w:t>D. 跨事件目标类别监督的区域检索</w:t>
      </w:r>
    </w:p>
    <w:p w14:paraId="3DD2A2DC">
      <w:pPr>
        <w:pStyle w:val="5"/>
        <w:keepNext/>
        <w:widowControl/>
        <w:rPr>
          <w:rFonts w:hint="eastAsia" w:ascii="宋体" w:hAnsi="宋体" w:eastAsia="宋体" w:cs="宋体"/>
        </w:rPr>
      </w:pPr>
      <w:r>
        <w:rPr>
          <w:rFonts w:hint="eastAsia" w:ascii="Times New Roman" w:hAnsi="Times New Roman" w:eastAsia="宋体" w:cs="宋体"/>
          <w:sz w:val="21"/>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Times New Roman" w:hAnsi="Times New Roman" w:eastAsia="宋体" w:cs="宋体"/>
          <w:sz w:val="21"/>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widowControl/>
        <w:rPr>
          <w:rFonts w:hint="eastAsia" w:ascii="宋体" w:hAnsi="宋体" w:eastAsia="宋体" w:cs="宋体"/>
        </w:rPr>
      </w:pPr>
      <w:r>
        <w:rPr>
          <w:rFonts w:hint="eastAsia" w:ascii="Times New Roman" w:hAnsi="Times New Roman" w:eastAsia="宋体" w:cs="宋体"/>
          <w:sz w:val="21"/>
        </w:rPr>
        <w:t>2) 跨事件类别监督的检索投影</w:t>
      </w:r>
    </w:p>
    <w:p w14:paraId="3C022851">
      <w:pPr>
        <w:widowControl/>
        <w:rPr>
          <w:rFonts w:hint="eastAsia" w:ascii="宋体" w:hAnsi="宋体" w:eastAsia="宋体" w:cs="宋体"/>
        </w:rPr>
      </w:pPr>
      <w:r>
        <w:rPr>
          <w:rFonts w:hint="eastAsia" w:ascii="Times New Roman" w:hAnsi="Times New Roman" w:eastAsia="宋体" w:cs="宋体"/>
          <w:sz w:val="21"/>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进一步要求主类别相同，其余候选为负样本。依据监督对比学习的类别约束[37]，采用跨事件候选上的目标：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widowControl/>
        <w:rPr>
          <w:rFonts w:hint="eastAsia" w:ascii="宋体" w:hAnsi="宋体" w:eastAsia="宋体" w:cs="宋体"/>
        </w:rPr>
      </w:pPr>
      <w:r>
        <w:rPr>
          <w:rFonts w:hint="eastAsia" w:ascii="Times New Roman" w:hAnsi="Times New Roman" w:eastAsia="宋体" w:cs="宋体"/>
          <w:sz w:val="21"/>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Times New Roman" w:hAnsi="Times New Roman" w:eastAsia="宋体" w:cs="宋体"/>
          <w:sz w:val="21"/>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rPr>
      </w:pPr>
      <w:r>
        <w:drawing>
          <wp:inline xmlns:a="http://schemas.openxmlformats.org/drawingml/2006/main" xmlns:pic="http://schemas.openxmlformats.org/drawingml/2006/picture">
            <wp:extent cx="6228000" cy="4325353"/>
            <wp:docPr id="6" name="Picture 6"/>
            <wp:cNvGraphicFramePr>
              <a:graphicFrameLocks noChangeAspect="1"/>
            </wp:cNvGraphicFramePr>
            <a:graphic>
              <a:graphicData uri="http://schemas.openxmlformats.org/drawingml/2006/picture">
                <pic:pic>
                  <pic:nvPicPr>
                    <pic:cNvPr id="0" name="Fig3_retrieval_reader.png"/>
                    <pic:cNvPicPr/>
                  </pic:nvPicPr>
                  <pic:blipFill>
                    <a:blip r:embed="rId24"/>
                    <a:stretch>
                      <a:fillRect/>
                    </a:stretch>
                  </pic:blipFill>
                  <pic:spPr>
                    <a:xfrm>
                      <a:off x="0" y="0"/>
                      <a:ext cx="6228000" cy="4325353"/>
                    </a:xfrm>
                    <a:prstGeom prst="rect"/>
                  </pic:spPr>
                </pic:pic>
              </a:graphicData>
            </a:graphic>
          </wp:inline>
        </w:drawing>
      </w:r>
    </w:p>
    <w:p w14:paraId="45219362">
      <w:pPr>
        <w:pStyle w:val="15"/>
        <w:keepNext w:val="0"/>
        <w:keepLines/>
        <w:widowControl/>
        <w:jc w:val="center"/>
        <w:rPr>
          <w:rFonts w:hint="eastAsia" w:ascii="宋体" w:hAnsi="宋体" w:eastAsia="宋体" w:cs="宋体"/>
        </w:rPr>
      </w:pPr>
      <w:r>
        <w:rPr>
          <w:rFonts w:ascii="Times New Roman" w:hAnsi="Times New Roman" w:eastAsia="宋体"/>
          <w:sz w:val="19"/>
        </w:rPr>
        <w:t>图3　跨事件支持选择与读取。投影改变支持ID；Reader读取未投影特征、Train标签组成与元数据。区域上下文与独立保留的像素路径共同进入分类头，不同图像分别计算各自的Q。</w:t>
      </w:r>
    </w:p>
    <w:p w14:paraId="60ED4BB3">
      <w:pPr>
        <w:pStyle w:val="4"/>
        <w:keepNext/>
        <w:widowControl/>
        <w:rPr>
          <w:rFonts w:hint="eastAsia" w:ascii="宋体" w:hAnsi="宋体" w:eastAsia="宋体" w:cs="宋体"/>
        </w:rPr>
      </w:pPr>
      <w:r>
        <w:rPr>
          <w:rFonts w:hint="eastAsia" w:ascii="Times New Roman" w:hAnsi="Times New Roman" w:eastAsia="宋体" w:cs="宋体"/>
          <w:sz w:val="21"/>
        </w:rPr>
        <w:t>F. 分阶段训练与目标函数</w:t>
      </w:r>
    </w:p>
    <w:p w14:paraId="38B7DAD4">
      <w:pPr>
        <w:widowControl/>
        <w:rPr>
          <w:rFonts w:hint="eastAsia" w:ascii="宋体" w:hAnsi="宋体" w:eastAsia="宋体" w:cs="宋体"/>
        </w:rPr>
      </w:pPr>
      <w:r>
        <w:rPr>
          <w:rFonts w:ascii="Times New Roman" w:hAnsi="Times New Roman" w:eastAsia="宋体"/>
          <w:sz w:val="21"/>
        </w:rPr>
        <w:t>训练分为区域前端学习、固定Train支持库构建、检索投影拟合及联合读出学习四步。建筑相容项与结构适配器在区域前端中学习，检索投影在区域表示固定后拟合。联合阶段冻结像素前端、区域编码、支持库及投影，仅更新Reader与联合头。最终预算、种子、权重、代码与评估版本在补充表S1记录，不以历史中途快照替代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，分割训练目标由平均负对数似然与Lovász-Softmax组成，后者用于构造分割交并比的优化代理[39]：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Times New Roman" w:hAnsi="Times New Roman" w:eastAsia="宋体" w:cs="宋体"/>
          <w:sz w:val="21"/>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rPr>
          <w:rFonts w:ascii="Times New Roman" w:hAnsi="Times New Roman" w:eastAsia="宋体"/>
          <w:sz w:val="21"/>
        </w:rP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pPr>
        <w:pStyle w:val="3"/>
      </w:pPr>
      <w:r>
        <w:rPr>
          <w:rFonts w:ascii="Times New Roman" w:hAnsi="Times New Roman" w:eastAsia="宋体"/>
          <w:sz w:val="21"/>
        </w:rPr>
        <w:t>IV. 实验与结果分析</w:t>
      </w:r>
    </w:p>
    <w:p>
      <w:pPr>
        <w:pStyle w:val="4"/>
      </w:pPr>
      <w:r>
        <w:rPr>
          <w:rFonts w:ascii="Times New Roman" w:hAnsi="Times New Roman" w:eastAsia="宋体"/>
          <w:sz w:val="21"/>
        </w:rPr>
        <w:t>A. 数据、评价指标与比较协议</w:t>
      </w:r>
    </w:p>
    <w:p>
      <w:pPr/>
      <w:r>
        <w:rPr>
          <w:rFonts w:ascii="Times New Roman" w:hAnsi="Times New Roman" w:eastAsia="宋体"/>
          <w:sz w:val="21"/>
        </w:rPr>
        <w:t>实验采用BRIGHT标准机器学习划分，Train、Val、Test分别为2918、450和878幅影像[2]。Train用于拟合网络、构建支持库和学习排序；Val用于选型；配置锁定后统一评价Test。此前探索性Test访问在实验记录中保留，不重新称为未访问的盲测。图4展示事件与模态范围。</w:t>
      </w:r>
    </w:p>
    <w:p>
      <w:pPr>
        <w:keepNext/>
        <w:ind w:firstLine="0"/>
        <w:jc w:val="center"/>
      </w:pPr>
      <w:r>
        <w:drawing>
          <wp:inline xmlns:a="http://schemas.openxmlformats.org/drawingml/2006/main" xmlns:pic="http://schemas.openxmlformats.org/drawingml/2006/picture">
            <wp:extent cx="5580000" cy="3043113"/>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043113"/>
                    </a:xfrm>
                    <a:prstGeom prst="rect"/>
                  </pic:spPr>
                </pic:pic>
              </a:graphicData>
            </a:graphic>
          </wp:inline>
        </w:drawing>
      </w:r>
    </w:p>
    <w:p>
      <w:pPr>
        <w:pStyle w:val="15"/>
        <w:keepNext w:val="0"/>
      </w:pPr>
      <w:r>
        <w:rPr>
          <w:rFonts w:ascii="Times New Roman" w:hAnsi="Times New Roman" w:eastAsia="宋体"/>
          <w:sz w:val="19"/>
        </w:rPr>
        <w:t>图4　BRIGHT事件分布与影像示例。数据覆盖多灾种场景；标准名单决定实际划分。该图说明数据来源和评价范围，不代表本文创建了新数据集。数据来源：BRIGHT[2]。</w:t>
      </w:r>
    </w:p>
    <w:p>
      <w:pPr/>
      <w:r>
        <w:rPr>
          <w:rFonts w:ascii="Times New Roman" w:hAnsi="Times New Roman" w:eastAsia="宋体"/>
          <w:sz w:val="21"/>
        </w:rPr>
        <w:t>由有效像素累计4×4混淆矩阵，行是真值、列是预测；背景、完好、受损、毁坏按固定类序计算IoU。四类mIoU平均全部四类；前景mIoU只平均后三类。OA不能代替少数损毁类别指标。定位F1若来自独立定位头，使用其二类计数；损毁输出折叠的定位指标单独标注。分类F1沿用BRIGHT规定的类别范围和平均方式，不能由现有几个IoU反推出。</w:t>
      </w:r>
    </w:p>
    <w:p>
      <w:pPr/>
      <w:r>
        <w:rPr>
          <w:rFonts w:ascii="Times New Roman" w:hAnsi="Times New Roman" w:eastAsia="宋体"/>
          <w:sz w:val="21"/>
        </w:rPr>
        <w:t>所有本地控制实验匹配输入、标签、像素前端、冻结状态、损失、数据流、更新预算、种子与概率解码。损失中的Lovász-Softmax提供IoU优化代理[39]；优化器及权重衰减亦需固定并记录，若采用AdamW，应使用其解耦权重衰减定义[40]。本稿不以文献引用替代实际运行参数；完整运行记录填写补充表S1。</w:t>
      </w:r>
    </w:p>
    <w:p>
      <w:pPr>
        <w:pStyle w:val="4"/>
      </w:pPr>
      <w:r>
        <w:rPr>
          <w:rFonts w:ascii="Times New Roman" w:hAnsi="Times New Roman" w:eastAsia="宋体"/>
          <w:sz w:val="21"/>
        </w:rPr>
        <w:t>B. 总体定量结果及多灾种定性比较</w:t>
      </w:r>
    </w:p>
    <w:p>
      <w:pPr>
        <w:keepLines/>
      </w:pPr>
      <w:r>
        <w:rPr>
          <w:rFonts w:ascii="Times New Roman" w:hAnsi="Times New Roman" w:eastAsia="宋体"/>
          <w:sz w:val="21"/>
        </w:rPr>
        <w:t>先看总体结果。表1将公开基准与本地结果分组列出：BRIGHT原文中DamageFormer和ChangeMamba的四类mIoU分别为67.09%与67.63%，受损IoU分别为39.86%与40.05%，低于各自完好IoU，说明总体比较需要单独考察损毁等级[2]。本地MPF与完整方法的统一Test成绩尚待原始记录回填，不把旧递进表或所选图片直接当作完整方法成绩。完整方法的四类/前景mIoU为</w:t>
      </w:r>
      <w:r>
        <w:rPr>
          <w:rFonts w:ascii="Times New Roman" w:hAnsi="Times New Roman" w:eastAsia="宋体"/>
          <w:sz w:val="21"/>
          <w:u w:val="single"/>
        </w:rPr>
        <w:t xml:space="preserve">   </w:t>
      </w:r>
      <w:r>
        <w:rPr>
          <w:rFonts w:ascii="Times New Roman" w:hAnsi="Times New Roman" w:eastAsia="宋体"/>
          <w:sz w:val="21"/>
        </w:rPr>
        <w:t>/</w:t>
      </w:r>
      <w:r>
        <w:rPr>
          <w:rFonts w:ascii="Times New Roman" w:hAnsi="Times New Roman" w:eastAsia="宋体"/>
          <w:sz w:val="21"/>
          <w:u w:val="single"/>
        </w:rPr>
        <w:t xml:space="preserve">   </w:t>
      </w:r>
      <w:r>
        <w:rPr>
          <w:rFonts w:ascii="Times New Roman" w:hAnsi="Times New Roman" w:eastAsia="宋体"/>
          <w:sz w:val="21"/>
        </w:rPr>
        <w:t>，相对同协议MPF变化为</w:t>
      </w:r>
      <w:r>
        <w:rPr>
          <w:rFonts w:ascii="Times New Roman" w:hAnsi="Times New Roman" w:eastAsia="宋体"/>
          <w:sz w:val="21"/>
          <w:u w:val="single"/>
        </w:rPr>
        <w:t xml:space="preserve">   </w:t>
      </w:r>
      <w:r>
        <w:rPr>
          <w:rFonts w:ascii="Times New Roman" w:hAnsi="Times New Roman" w:eastAsia="宋体"/>
          <w:sz w:val="21"/>
        </w:rPr>
        <w:t>/</w:t>
      </w:r>
      <w:r>
        <w:rPr>
          <w:rFonts w:ascii="Times New Roman" w:hAnsi="Times New Roman" w:eastAsia="宋体"/>
          <w:sz w:val="21"/>
          <w:u w:val="single"/>
        </w:rPr>
        <w:t xml:space="preserve">   </w:t>
      </w:r>
      <w:r>
        <w:rPr>
          <w:rFonts w:ascii="Times New Roman" w:hAnsi="Times New Roman" w:eastAsia="宋体"/>
          <w:sz w:val="21"/>
        </w:rPr>
        <w:t>个百分点。</w:t>
      </w:r>
    </w:p>
    <w:p>
      <w:pPr>
        <w:pStyle w:val="15"/>
        <w:keepNext/>
      </w:pPr>
      <w:r>
        <w:rPr>
          <w:rFonts w:ascii="Times New Roman" w:hAnsi="Times New Roman" w:eastAsia="宋体"/>
          <w:sz w:val="19"/>
        </w:rPr>
        <w:t>表1　BRIGHT标准Test的总体比较（%）</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1973"/>
        <w:gridCol w:w="986"/>
        <w:gridCol w:w="986"/>
        <w:gridCol w:w="986"/>
        <w:gridCol w:w="986"/>
        <w:gridCol w:w="986"/>
        <w:gridCol w:w="986"/>
        <w:gridCol w:w="986"/>
        <w:gridCol w:w="986"/>
      </w:tblGrid>
      <w:tr>
        <w:trPr>
          <w:cantSplit/>
          <w:tblHeader/>
        </w:trPr>
        <w:tc>
          <w:tcPr>
            <w:tcW w:type="dxa" w:w="197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方法</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定位F1</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分类F1</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OA</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四类mIoU</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背景IoU</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完好IoU</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受损IoU</w:t>
            </w:r>
          </w:p>
        </w:tc>
        <w:tc>
          <w:tcPr>
            <w:tcW w:type="dxa" w:w="98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毁坏IoU</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UNet†</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87.97</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72.24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95.47</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64.94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96.19</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71.27</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39.13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53.17</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DeepLabV3+†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87.00</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70.33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95.43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64.80</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95.98</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70.98</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37.53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54.69</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SiamAttnUNet†</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88.16</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70.13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95.45</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64.26</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96.14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71.90</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35.06</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53.92</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SiamCRNN†</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89.45</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72.02</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95.76</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65.73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96.48</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73.44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38.91</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54.18</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ChangeOS†</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89.60</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71.88</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95.84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65.98</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96.54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73.85</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38.99</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54.53</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DamageFormer†</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90.29</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72.51</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96.13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67.09</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96.87</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75.04</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39.86</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56.59</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ChangeMamba†</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90.90</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72.70</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96.22</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67.63</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96.96</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75.59</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40.05</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57.91</w:t>
            </w:r>
          </w:p>
        </w:tc>
      </w:tr>
      <w:tr>
        <w:trPr>
          <w:cantSplit/>
        </w:trPr>
        <w:tc>
          <w:tcPr>
            <w:tcW w:type="dxa" w:w="197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MPF（本地）</w:t>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97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Ours（完整）</w:t>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8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r>
    </w:tbl>
    <w:p>
      <w:pPr/>
    </w:p>
    <w:p>
      <w:pPr/>
      <w:r>
        <w:rPr>
          <w:rFonts w:ascii="Times New Roman" w:hAnsi="Times New Roman" w:eastAsia="宋体"/>
          <w:sz w:val="21"/>
        </w:rPr>
        <w:t>表注：†为BRIGHT原文表5公开报告值[2]，并非本文重新评测，也不自动对应图5本地权重。SiamCRNN原表报告65.73%，其打印分项均值为65.7525%，此处保留原文报告并注明内部差异。MPF/Ours空白等待统一评价；正式填表后仅在同协议、同来源行之间计算增益。</w:t>
      </w:r>
    </w:p>
    <w:p>
      <w:pPr/>
      <w:r>
        <w:rPr>
          <w:rFonts w:ascii="Times New Roman" w:hAnsi="Times New Roman" w:eastAsia="宋体"/>
          <w:sz w:val="21"/>
        </w:rPr>
        <w:t>与表1配合，图5保留18个真实测试裁窗，按地震与冲突、火山与山火、飓风/洪水/爆炸三个子图展示。每行各列使用相同坐标；模型列是总体方法集合的子集，因此ChangeOS或ChangeMamba未出现在图中不构成矛盾。最后一列统一标为MPF，其来源记录绑定像素前端best_val_miou.pth；不能因旧图写“Ours (A1)”就将它改称完整检索模型。</w:t>
      </w:r>
    </w:p>
    <w:p>
      <w:pPr>
        <w:keepNext/>
        <w:ind w:firstLine="0"/>
        <w:jc w:val="center"/>
      </w:pPr>
      <w:r>
        <w:drawing>
          <wp:inline xmlns:a="http://schemas.openxmlformats.org/drawingml/2006/main" xmlns:pic="http://schemas.openxmlformats.org/drawingml/2006/picture">
            <wp:extent cx="6228000" cy="4325353"/>
            <wp:docPr id="8" name="Picture 8"/>
            <wp:cNvGraphicFramePr>
              <a:graphicFrameLocks noChangeAspect="1"/>
            </wp:cNvGraphicFramePr>
            <a:graphic>
              <a:graphicData uri="http://schemas.openxmlformats.org/drawingml/2006/picture">
                <pic:pic>
                  <pic:nvPicPr>
                    <pic:cNvPr id="0" name="FigS1_all_external_models.png"/>
                    <pic:cNvPicPr/>
                  </pic:nvPicPr>
                  <pic:blipFill>
                    <a:blip r:embed="rId25"/>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图5(a)　多灾种所选测试裁窗：地震与冲突。每行依次为灾前RGB、灾后SAR、GT、U-Net、DeepLabv3+、SiamAttnUNet、SiamCRNN、DamageFormer、MPF。白、绿、浅棕、红依次表示背景、完好、受损、毁坏；每个子图6例。不同裁窗按相同显示尺寸排版，不表示相同物理尺度。</w:t>
      </w:r>
    </w:p>
    <w:p>
      <w:pPr/>
      <w:r>
        <w:rPr>
          <w:rFonts w:ascii="Times New Roman" w:hAnsi="Times New Roman" w:eastAsia="宋体"/>
          <w:sz w:val="21"/>
        </w:rPr>
        <w:t>图5(a)前两行的土耳其样例同时包含完好、受损与毁坏建筑。即使建筑范围相近，不同模型仍有不同等级分配：首行DamageFormer在所选屋顶附近保留红绿混合，而MPF呈现较多浅棕色受损区域。能登第三行具有成片毁坏标签，多数对照将相当部分判为绿色完好，MPF在对应位置恢复较大范围红色；但绿色残留与边缘偏差仍然存在。乌克兰两行以完好为主，各模型主体范围接近，细小损毁仍有遗漏。由此可见，局部差异既有等级判断，也有定位，不宜概括为所有灾种一致改善。</w:t>
      </w:r>
    </w:p>
    <w:p>
      <w:pPr>
        <w:keepNext/>
        <w:ind w:firstLine="0"/>
        <w:jc w:val="center"/>
      </w:pPr>
      <w:r>
        <w:drawing>
          <wp:inline xmlns:a="http://schemas.openxmlformats.org/drawingml/2006/main" xmlns:pic="http://schemas.openxmlformats.org/drawingml/2006/picture">
            <wp:extent cx="6228000" cy="4325353"/>
            <wp:docPr id="9" name="Picture 9"/>
            <wp:cNvGraphicFramePr>
              <a:graphicFrameLocks noChangeAspect="1"/>
            </wp:cNvGraphicFramePr>
            <a:graphic>
              <a:graphicData uri="http://schemas.openxmlformats.org/drawingml/2006/picture">
                <pic:pic>
                  <pic:nvPicPr>
                    <pic:cNvPr id="0" name="FigS2_all_external_models.png"/>
                    <pic:cNvPicPr/>
                  </pic:nvPicPr>
                  <pic:blipFill>
                    <a:blip r:embed="rId26"/>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图5(b)　多灾种所选测试裁窗：火山与山火。每行依次为灾前RGB、灾后SAR、GT、U-Net、DeepLabv3+、SiamAttnUNet、SiamCRNN、DamageFormer、MPF。白、绿、浅棕、红依次表示背景、完好、受损、毁坏；每个子图6例。不同裁窗按相同显示尺寸排版，不表示相同物理尺度。</w:t>
      </w:r>
    </w:p>
    <w:p>
      <w:pPr/>
      <w:r>
        <w:rPr>
          <w:rFonts w:ascii="Times New Roman" w:hAnsi="Times New Roman" w:eastAsia="宋体"/>
          <w:sz w:val="21"/>
        </w:rPr>
        <w:t>图5(b)中的刚果样例包含相邻完好与毁坏建筑，应比较红绿交界与GT，而不是把红色更多当作更好。La Palma具有大面积背景，部分模型在稀疏建筑附近产生附加损毁斑块，需计入背景假阳性。夏威夷山火包含受损与毁坏混合建筑，各模型仍有等级互换和漏检，MPF也未消除这些错误。这些例子提示，图像解释应同时包含救回、误改和背景误报，避免只报告成功区域。</w:t>
      </w:r>
    </w:p>
    <w:p>
      <w:pPr>
        <w:keepNext/>
        <w:ind w:firstLine="0"/>
        <w:jc w:val="center"/>
      </w:pPr>
      <w:r>
        <w:drawing>
          <wp:inline xmlns:a="http://schemas.openxmlformats.org/drawingml/2006/main" xmlns:pic="http://schemas.openxmlformats.org/drawingml/2006/picture">
            <wp:extent cx="6228000" cy="4325353"/>
            <wp:docPr id="10" name="Picture 10"/>
            <wp:cNvGraphicFramePr>
              <a:graphicFrameLocks noChangeAspect="1"/>
            </wp:cNvGraphicFramePr>
            <a:graphic>
              <a:graphicData uri="http://schemas.openxmlformats.org/drawingml/2006/picture">
                <pic:pic>
                  <pic:nvPicPr>
                    <pic:cNvPr id="0" name="FigS3_all_external_models.png"/>
                    <pic:cNvPicPr/>
                  </pic:nvPicPr>
                  <pic:blipFill>
                    <a:blip r:embed="rId27"/>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图5(c)　多灾种所选测试裁窗：飓风、洪水与爆炸。每行依次为灾前RGB、灾后SAR、GT、U-Net、DeepLabv3+、SiamAttnUNet、SiamCRNN、DamageFormer、MPF。白、绿、浅棕、红依次表示背景、完好、受损、毁坏；每个子图6例。不同裁窗按相同显示尺寸排版，不表示相同物理尺度。</w:t>
      </w:r>
    </w:p>
    <w:p>
      <w:pPr/>
      <w:r>
        <w:rPr>
          <w:rFonts w:ascii="Times New Roman" w:hAnsi="Times New Roman" w:eastAsia="宋体"/>
          <w:sz w:val="21"/>
        </w:rPr>
        <w:t>图5(c)墨西哥样例的大面积受损主体在多数方法中能够保留，但局部毁坏仍有遗漏。缅甸两行建筑稀疏且较小，缩略图不足以评价损毁恢复，需要同坐标放大。利比亚样例中受损区域会混入完好或毁坏；Bata样例中仍可见毁坏被判为完好，MPF也存在剩余错误。图5所示是具体错误形态，不能由18个所选裁窗推出整个Test、事件或稀有等级的总体提升。</w:t>
      </w:r>
    </w:p>
    <w:p>
      <w:pPr/>
      <w:r>
        <w:rPr>
          <w:rFonts w:ascii="Times New Roman" w:hAnsi="Times New Roman" w:eastAsia="宋体"/>
          <w:sz w:val="21"/>
        </w:rPr>
        <w:t>总体图与总体表形成互补：表1回答全量评价中的指标差别，图5解释所选位置的错误类型。现有真实图片可继续使用，但将完整框架的结论写入正文前，必须在同窗口补充Ours真实输出，并由同协议全量计数支持；不能用重新命名替换缺失预测。</w:t>
      </w:r>
    </w:p>
    <w:p>
      <w:pPr>
        <w:pStyle w:val="4"/>
      </w:pPr>
      <w:r>
        <w:rPr>
          <w:rFonts w:ascii="Times New Roman" w:hAnsi="Times New Roman" w:eastAsia="宋体"/>
          <w:sz w:val="21"/>
        </w:rPr>
        <w:t>C. 递进配置汇总与三类局部误差</w:t>
      </w:r>
    </w:p>
    <w:p>
      <w:pPr/>
      <w:r>
        <w:rPr>
          <w:rFonts w:ascii="Times New Roman" w:hAnsi="Times New Roman" w:eastAsia="宋体"/>
          <w:sz w:val="21"/>
        </w:rPr>
        <w:t>表2整理既有base、region、roi、memory四阶段记录，中文改为基础、区域、结构与检索增强阶段，原名保留以便追溯。这些是既有配置汇总，不默认等同于本文新方法的四个开关版本，也不擅自对应旧J编号。每阶段的前端、Q、Adapter、Reader、支持规则与训练预算须由运行配置绑定后，才能将相邻差值解释为新增环节的作用。</w:t>
      </w:r>
    </w:p>
    <w:p>
      <w:pPr>
        <w:pStyle w:val="15"/>
        <w:keepNext/>
      </w:pPr>
      <w:r>
        <w:rPr>
          <w:rFonts w:ascii="Times New Roman" w:hAnsi="Times New Roman" w:eastAsia="宋体"/>
          <w:sz w:val="19"/>
        </w:rPr>
        <w:t>表2　既有递进配置报告（%，权重与协议待绑定）</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349"/>
        <w:gridCol w:w="939"/>
        <w:gridCol w:w="939"/>
        <w:gridCol w:w="939"/>
        <w:gridCol w:w="939"/>
        <w:gridCol w:w="939"/>
        <w:gridCol w:w="939"/>
        <w:gridCol w:w="939"/>
        <w:gridCol w:w="939"/>
      </w:tblGrid>
      <w:tr>
        <w:trPr>
          <w:cantSplit/>
          <w:tblHeader/>
        </w:trPr>
        <w:tc>
          <w:tcPr>
            <w:tcW w:type="dxa" w:w="234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配置</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定位F1</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分类F1</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OA</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四类mIoU</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背景IoU</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完好IoU</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受损IoU</w:t>
            </w:r>
          </w:p>
        </w:tc>
        <w:tc>
          <w:tcPr>
            <w:tcW w:type="dxa" w:w="93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毁坏IoU</w:t>
            </w:r>
          </w:p>
        </w:tc>
      </w:tr>
      <w:tr>
        <w:trPr>
          <w:cantSplit/>
        </w:trPr>
        <w:tc>
          <w:tcPr>
            <w:tcW w:type="dxa" w:w="23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基础阶段（base）</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90.29</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72.51</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96.12</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67.09</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96.87</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75.04</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39.86</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56.59</w:t>
            </w:r>
          </w:p>
        </w:tc>
      </w:tr>
      <w:tr>
        <w:trPr>
          <w:cantSplit/>
        </w:trPr>
        <w:tc>
          <w:tcPr>
            <w:tcW w:type="dxa" w:w="23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区域阶段（region）</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90.36</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72.72</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96.28</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67.84</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96.81</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75.23</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41.00</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58.33</w:t>
            </w:r>
          </w:p>
        </w:tc>
      </w:tr>
      <w:tr>
        <w:trPr>
          <w:cantSplit/>
        </w:trPr>
        <w:tc>
          <w:tcPr>
            <w:tcW w:type="dxa" w:w="234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结构阶段（roi）</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90.70</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73.29</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96.31</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68.54</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96.99</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76.24</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42.21</w:t>
            </w:r>
          </w:p>
        </w:tc>
        <w:tc>
          <w:tcPr>
            <w:tcW w:type="dxa" w:w="93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58.72</w:t>
            </w:r>
          </w:p>
        </w:tc>
      </w:tr>
      <w:tr>
        <w:trPr>
          <w:cantSplit/>
        </w:trPr>
        <w:tc>
          <w:tcPr>
            <w:tcW w:type="dxa" w:w="234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检索阶段（memory）</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90.91</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74.40</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96.12</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96.89</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76.24</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43.84</w:t>
            </w:r>
          </w:p>
        </w:tc>
        <w:tc>
          <w:tcPr>
            <w:tcW w:type="dxa" w:w="93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61.59</w:t>
            </w:r>
          </w:p>
        </w:tc>
      </w:tr>
    </w:tbl>
    <w:p>
      <w:pPr/>
    </w:p>
    <w:p>
      <w:pPr/>
      <w:r>
        <w:rPr>
          <w:rFonts w:ascii="Times New Roman" w:hAnsi="Times New Roman" w:eastAsia="宋体"/>
          <w:sz w:val="21"/>
        </w:rPr>
        <w:t>表注：数值为用户提供的旧阶段汇总，并非本次重新评测。memory旧报mIoU=69.62%，但所列四类IoU均值为69.64%，超过通常两位小数舍入可解释的范围；该单元格留空，等待原始矩阵确认，不自行替换。base的OA=96.12%与BRIGHT公开DamageFormer的96.13%来源尚未一致，不强行对齐。</w:t>
      </w:r>
    </w:p>
    <w:p>
      <w:pPr/>
      <w:r>
        <w:rPr>
          <w:rFonts w:ascii="Times New Roman" w:hAnsi="Times New Roman" w:eastAsia="宋体"/>
          <w:sz w:val="21"/>
        </w:rPr>
        <w:t>按表2已报告分项作算术比较，region相对base的受损与毁坏IoU分别增加1.14和1.74个百分点，而背景下降0.06个百分点；roi相对region的完好与受损分别增加1.01和1.21个百分点；memory相对roi的受损与毁坏分别增加1.63和2.87个百分点，但完好不变、背景下降0.10个百分点且OA下降0.19个百分点。因此，“所有指标均逐步提高”不成立。上述是既有记录的数值关系，尚不是三项新设计的独立因果贡献。</w:t>
      </w:r>
    </w:p>
    <w:p>
      <w:pPr/>
      <w:r>
        <w:rPr>
          <w:rFonts w:ascii="Times New Roman" w:hAnsi="Times New Roman" w:eastAsia="宋体"/>
          <w:sz w:val="21"/>
        </w:rPr>
        <w:t>图6–图8紧接递进表，分别分析毁坏漏判、屋顶等级混杂和稀疏目标恢复。三图目前都只比较DamageFormer与MPF，能解释像素前端的局部现象；它们没有region/roi/memory各阶段列，不能一一对应三个模块。补齐同一窗口各阶段真实预测后，才能进一步把图像现象与阶段增量连接。蓝框只定位放大窗口，不表示注意力、建筑实例或检索返回区域。</w:t>
      </w:r>
    </w:p>
    <w:p>
      <w:pPr>
        <w:keepNext/>
        <w:ind w:firstLine="0"/>
        <w:jc w:val="center"/>
      </w:pPr>
      <w:r>
        <w:drawing>
          <wp:inline xmlns:a="http://schemas.openxmlformats.org/drawingml/2006/main" xmlns:pic="http://schemas.openxmlformats.org/drawingml/2006/picture">
            <wp:extent cx="6048000" cy="3427200"/>
            <wp:docPr id="11" name="Picture 11"/>
            <wp:cNvGraphicFramePr>
              <a:graphicFrameLocks noChangeAspect="1"/>
            </wp:cNvGraphicFramePr>
            <a:graphic>
              <a:graphicData uri="http://schemas.openxmlformats.org/drawingml/2006/picture">
                <pic:pic>
                  <pic:nvPicPr>
                    <pic:cNvPr id="0" name="Fig6_noto.png"/>
                    <pic:cNvPicPr/>
                  </pic:nvPicPr>
                  <pic:blipFill>
                    <a:blip r:embed="rId28"/>
                    <a:stretch>
                      <a:fillRect/>
                    </a:stretch>
                  </pic:blipFill>
                  <pic:spPr>
                    <a:xfrm>
                      <a:off x="0" y="0"/>
                      <a:ext cx="6048000" cy="3427200"/>
                    </a:xfrm>
                    <a:prstGeom prst="rect"/>
                  </pic:spPr>
                </pic:pic>
              </a:graphicData>
            </a:graphic>
          </wp:inline>
        </w:drawing>
      </w:r>
    </w:p>
    <w:p>
      <w:pPr>
        <w:pStyle w:val="15"/>
        <w:keepNext w:val="0"/>
      </w:pPr>
      <w:r>
        <w:rPr>
          <w:rFonts w:ascii="Times New Roman" w:hAnsi="Times New Roman" w:eastAsia="宋体"/>
          <w:sz w:val="19"/>
        </w:rPr>
        <w:t>图6　能登地震：毁坏被判为完好的局部比较。上排为灾前RGB、GT、DamageFormer、MPF，下排为相同蓝框窗口的放大。样例noto-earthquake_00000038；类别配色与图5一致。</w:t>
      </w:r>
    </w:p>
    <w:p>
      <w:pPr/>
      <w:r>
        <w:rPr>
          <w:rFonts w:ascii="Times New Roman" w:hAnsi="Times New Roman" w:eastAsia="宋体"/>
          <w:sz w:val="21"/>
        </w:rPr>
        <w:t>图6的GT将蓝框内多栋建筑标为毁坏，DamageFormer在其主体范围主要输出绿色完好，MPF在相同位置输出较大面积红色，与等级标注更接近。该例主要是Destroyed→Intact混淆减少，不能写成Damaged改善。MPF仍有绿色残留和建筑间隔偏差，所以应统计毁坏类救回、误改及背景FP；红色面积增加本身不足以证明性能提高，也不能归因于图中没有展示的Memory。</w:t>
      </w:r>
    </w:p>
    <w:p>
      <w:pPr>
        <w:keepNext/>
        <w:ind w:firstLine="0"/>
        <w:jc w:val="center"/>
      </w:pPr>
      <w:r>
        <w:drawing>
          <wp:inline xmlns:a="http://schemas.openxmlformats.org/drawingml/2006/main" xmlns:pic="http://schemas.openxmlformats.org/drawingml/2006/picture">
            <wp:extent cx="6048000" cy="3427200"/>
            <wp:docPr id="12" name="Picture 12"/>
            <wp:cNvGraphicFramePr>
              <a:graphicFrameLocks noChangeAspect="1"/>
            </wp:cNvGraphicFramePr>
            <a:graphic>
              <a:graphicData uri="http://schemas.openxmlformats.org/drawingml/2006/picture">
                <pic:pic>
                  <pic:nvPicPr>
                    <pic:cNvPr id="0" name="Fig7_turkey.png"/>
                    <pic:cNvPicPr/>
                  </pic:nvPicPr>
                  <pic:blipFill>
                    <a:blip r:embed="rId29"/>
                    <a:stretch>
                      <a:fillRect/>
                    </a:stretch>
                  </pic:blipFill>
                  <pic:spPr>
                    <a:xfrm>
                      <a:off x="0" y="0"/>
                      <a:ext cx="6048000" cy="3427200"/>
                    </a:xfrm>
                    <a:prstGeom prst="rect"/>
                  </pic:spPr>
                </pic:pic>
              </a:graphicData>
            </a:graphic>
          </wp:inline>
        </w:drawing>
      </w:r>
    </w:p>
    <w:p>
      <w:pPr>
        <w:pStyle w:val="15"/>
        <w:keepNext w:val="0"/>
      </w:pPr>
      <w:r>
        <w:rPr>
          <w:rFonts w:ascii="Times New Roman" w:hAnsi="Times New Roman" w:eastAsia="宋体"/>
          <w:sz w:val="19"/>
        </w:rPr>
        <w:t>图7　土耳其地震：受损屋顶内部等级混杂。上排依次为灾前RGB、GT、DamageFormer、MPF，下排为同一蓝框屋顶放大。样例turkey-earthquake_00001065；浅棕、绿、红分别为受损、完好、毁坏。</w:t>
      </w:r>
    </w:p>
    <w:p>
      <w:pPr/>
      <w:r>
        <w:rPr>
          <w:rFonts w:ascii="Times New Roman" w:hAnsi="Times New Roman" w:eastAsia="宋体"/>
          <w:sz w:val="21"/>
        </w:rPr>
        <w:t>图7的参考标签将屋顶主体标为受损。DamageFormer在同一屋顶内分配绿色与红色，MPF的浅棕色覆盖更接近该建筑的标注等级，体现所选位置的Damaged恢复。但红色残留、绿色小孔及边缘扩张仍存在。这里的多种预测颜色是相对GT的类别混杂，不能解释为已识别建筑内部的真实多种损毁状态。后续除Damaged TP/FP/FN外，还应在有实例标注时计算建筑内等级不一致率。</w:t>
      </w:r>
    </w:p>
    <w:p>
      <w:pPr>
        <w:keepNext/>
        <w:ind w:firstLine="0"/>
        <w:jc w:val="center"/>
      </w:pPr>
      <w:r>
        <w:drawing>
          <wp:inline xmlns:a="http://schemas.openxmlformats.org/drawingml/2006/main" xmlns:pic="http://schemas.openxmlformats.org/drawingml/2006/picture">
            <wp:extent cx="6048000" cy="2845920"/>
            <wp:docPr id="13" name="Picture 13"/>
            <wp:cNvGraphicFramePr>
              <a:graphicFrameLocks noChangeAspect="1"/>
            </wp:cNvGraphicFramePr>
            <a:graphic>
              <a:graphicData uri="http://schemas.openxmlformats.org/drawingml/2006/picture">
                <pic:pic>
                  <pic:nvPicPr>
                    <pic:cNvPr id="0" name="Fig8_myanmar.png"/>
                    <pic:cNvPicPr/>
                  </pic:nvPicPr>
                  <pic:blipFill>
                    <a:blip r:embed="rId30"/>
                    <a:stretch>
                      <a:fillRect/>
                    </a:stretch>
                  </pic:blipFill>
                  <pic:spPr>
                    <a:xfrm>
                      <a:off x="0" y="0"/>
                      <a:ext cx="6048000" cy="2845920"/>
                    </a:xfrm>
                    <a:prstGeom prst="rect"/>
                  </pic:spPr>
                </pic:pic>
              </a:graphicData>
            </a:graphic>
          </wp:inline>
        </w:drawing>
      </w:r>
    </w:p>
    <w:p>
      <w:pPr>
        <w:pStyle w:val="15"/>
        <w:keepNext w:val="0"/>
      </w:pPr>
      <w:r>
        <w:rPr>
          <w:rFonts w:ascii="Times New Roman" w:hAnsi="Times New Roman" w:eastAsia="宋体"/>
          <w:sz w:val="19"/>
        </w:rPr>
        <w:t>图8　缅甸飓风：稀疏受损目标恢复与背景误报。上排为灾前RGB、灾后SAR、GT、DamageFormer、MPF，下排为相同96×96原始像素窗口。样例myanmar-hurricane_00000099；原图局部分数待原始计数复核。</w:t>
      </w:r>
    </w:p>
    <w:p>
      <w:pPr/>
      <w:r>
        <w:rPr>
          <w:rFonts w:ascii="Times New Roman" w:hAnsi="Times New Roman" w:eastAsia="宋体"/>
          <w:sz w:val="21"/>
        </w:rPr>
        <w:t>图8的放大窗口包含两个浅棕色受损目标。DamageFormer对其中一目标仅保留较小受损区域并混入绿色，MPF恢复了更完整的浅棕主体；但其左侧额外绿色斑块在GT中主要属于背景。这一例说明目标恢复与建筑误报可能并存，应同时报告受损召回与背景→建筑FP。局部IoU只属于明确窗口，不能移入全图或Test总体表，旧图局部数字也不直接沿用。</w:t>
      </w:r>
    </w:p>
    <w:p>
      <w:pPr/>
      <w:r>
        <w:rPr>
          <w:rFonts w:ascii="Times New Roman" w:hAnsi="Times New Roman" w:eastAsia="宋体"/>
          <w:sz w:val="21"/>
        </w:rPr>
        <w:t>三幅图共同表明，定位、等级和背景误报需要分开解释。它们保留了既有可追溯预测，而不以模拟热图或预估分数替代实测。真正的机制证明应使用下节控制实验；新的Q/Adapter/支持开关预测应保持图6–图8同一图像与裁窗，不另挑更有利区域。</w:t>
      </w:r>
    </w:p>
    <w:p>
      <w:pPr>
        <w:pStyle w:val="4"/>
      </w:pPr>
      <w:r>
        <w:rPr>
          <w:rFonts w:ascii="Times New Roman" w:hAnsi="Times New Roman" w:eastAsia="宋体"/>
          <w:sz w:val="21"/>
        </w:rPr>
        <w:t>D. 三项设计的控制实验与结果填写位置</w:t>
      </w:r>
    </w:p>
    <w:p>
      <w:pPr/>
      <w:r>
        <w:rPr>
          <w:rFonts w:ascii="Times New Roman" w:hAnsi="Times New Roman" w:eastAsia="宋体"/>
          <w:sz w:val="21"/>
        </w:rPr>
        <w:t>递进表不能隔离同时变化的网络和训练因素。下列空表将额外实验按待检验问题组织，成绩由实际运行回填。优先完成结构二因素、信息来源对照和固定读取器邻居替换，再补内容条件、事件与成本分析；不要求为每一个可调参数做全面网格搜索。</w:t>
      </w:r>
    </w:p>
    <w:p>
      <w:pPr>
        <w:pStyle w:val="5"/>
      </w:pPr>
      <w:r>
        <w:rPr>
          <w:rFonts w:ascii="Times New Roman" w:hAnsi="Times New Roman" w:eastAsia="宋体"/>
          <w:sz w:val="21"/>
        </w:rPr>
        <w:t>1) 区域成员与区域内容是否分别有效</w:t>
      </w:r>
    </w:p>
    <w:p>
      <w:pPr>
        <w:pStyle w:val="15"/>
        <w:keepNext/>
      </w:pPr>
      <w:r>
        <w:rPr>
          <w:rFonts w:ascii="Times New Roman" w:hAnsi="Times New Roman" w:eastAsia="宋体"/>
          <w:sz w:val="19"/>
        </w:rPr>
        <w:t>表3(a)　建筑相容项×结构适配的二因素控制</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192"/>
        <w:gridCol w:w="1096"/>
        <w:gridCol w:w="1096"/>
        <w:gridCol w:w="1096"/>
        <w:gridCol w:w="1096"/>
        <w:gridCol w:w="1096"/>
        <w:gridCol w:w="1096"/>
        <w:gridCol w:w="1096"/>
      </w:tblGrid>
      <w:tr>
        <w:trPr>
          <w:cantSplit/>
          <w:tblHeader/>
        </w:trPr>
        <w:tc>
          <w:tcPr>
            <w:tcW w:type="dxa" w:w="219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B→Q</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结构适配</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四类mIoU%</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前景mIoU%</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受损IoU%</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毁坏IoU%</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混合率%</w:t>
            </w:r>
          </w:p>
        </w:tc>
        <w:tc>
          <w:tcPr>
            <w:tcW w:type="dxa" w:w="109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边缘错率%</w:t>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关</w:t>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关</w:t>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开</w:t>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关</w:t>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219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关</w:t>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开</w:t>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219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开</w:t>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开</w:t>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09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r>
    </w:tbl>
    <w:p>
      <w:pPr/>
    </w:p>
    <w:p>
      <w:pPr/>
      <w:r>
        <w:rPr>
          <w:rFonts w:ascii="Times New Roman" w:hAnsi="Times New Roman" w:eastAsia="宋体"/>
          <w:sz w:val="21"/>
        </w:rPr>
        <w:t>四组使用相同MPF、区域预算、数据流与更新次数；统一将当前区域特征经Q直接回投并与F联合分类，不设置Reader或任何支持槽。B→Q关闭仅将新增相容项权重置零；Adapter关闭仍保留基础内容投影与输出维度。分别比较两个主效应和交互“联用−仅相容项−仅适配＋基准”。联用相对基准的前景变化为</w:t>
      </w:r>
      <w:r>
        <w:rPr>
          <w:rFonts w:ascii="Times New Roman" w:hAnsi="Times New Roman" w:eastAsia="宋体"/>
          <w:sz w:val="21"/>
          <w:u w:val="single"/>
        </w:rPr>
        <w:t xml:space="preserve">   </w:t>
      </w:r>
      <w:r>
        <w:rPr>
          <w:rFonts w:ascii="Times New Roman" w:hAnsi="Times New Roman" w:eastAsia="宋体"/>
          <w:sz w:val="21"/>
        </w:rPr>
        <w:t>，交互为</w:t>
      </w:r>
      <w:r>
        <w:rPr>
          <w:rFonts w:ascii="Times New Roman" w:hAnsi="Times New Roman" w:eastAsia="宋体"/>
          <w:sz w:val="21"/>
          <w:u w:val="single"/>
        </w:rPr>
        <w:t xml:space="preserve">   </w:t>
      </w:r>
      <w:r>
        <w:rPr>
          <w:rFonts w:ascii="Times New Roman" w:hAnsi="Times New Roman" w:eastAsia="宋体"/>
          <w:sz w:val="21"/>
        </w:rPr>
        <w:t>个百分点。若只有联用有效，仅支持二者在当前协议下相互依赖，不能宣称各自独立有效。</w:t>
      </w:r>
    </w:p>
    <w:p>
      <w:pPr/>
      <w:r>
        <w:rPr>
          <w:rFonts w:ascii="Times New Roman" w:hAnsi="Times New Roman" w:eastAsia="宋体"/>
          <w:sz w:val="21"/>
        </w:rPr>
        <w:t>混合率统计有效区域中Q加权GT建筑比例介于0.1和0.9的比例，同时报告有效区域数和质量分布；前景等级混合另记。边缘错率在原图GT建筑边界的预先固定宽度带内统计四类错误及像素分母，GT仅用于评价。配套图9应展示同窗口B、Q关闭/开启、b(Q)、H(Q)和四组预测，不能把GT边界当成模型响应。</w:t>
      </w:r>
    </w:p>
    <w:p>
      <w:pPr>
        <w:pStyle w:val="15"/>
        <w:keepNext/>
      </w:pPr>
      <w:r>
        <w:rPr>
          <w:rFonts w:ascii="Times New Roman" w:hAnsi="Times New Roman" w:eastAsia="宋体"/>
          <w:sz w:val="19"/>
        </w:rPr>
        <w:t>表3(b)　固定同一Q的内容条件与容量对照</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818"/>
        <w:gridCol w:w="1409"/>
        <w:gridCol w:w="1409"/>
        <w:gridCol w:w="1409"/>
        <w:gridCol w:w="1409"/>
        <w:gridCol w:w="1409"/>
      </w:tblGrid>
      <w:tr>
        <w:trPr>
          <w:cantSplit/>
          <w:tblHeader/>
        </w:trPr>
        <w:tc>
          <w:tcPr>
            <w:tcW w:type="dxa" w:w="2818"/>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适配设置</w:t>
            </w:r>
          </w:p>
        </w:tc>
        <w:tc>
          <w:tcPr>
            <w:tcW w:type="dxa" w:w="140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活跃参数M</w:t>
            </w:r>
          </w:p>
        </w:tc>
        <w:tc>
          <w:tcPr>
            <w:tcW w:type="dxa" w:w="140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前景mIoU%</w:t>
            </w:r>
          </w:p>
        </w:tc>
        <w:tc>
          <w:tcPr>
            <w:tcW w:type="dxa" w:w="140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40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c>
          <w:tcPr>
            <w:tcW w:type="dxa" w:w="140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边缘错率%</w:t>
            </w:r>
          </w:p>
        </w:tc>
      </w:tr>
      <w:tr>
        <w:trPr>
          <w:cantSplit/>
        </w:trPr>
        <w:tc>
          <w:tcPr>
            <w:tcW w:type="dxa" w:w="28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普通内容Adapter</w:t>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完整B、b(Q)、H(Q)</w:t>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去显式B</w:t>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去b(Q)</w:t>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18"/>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去H(Q)</w:t>
            </w:r>
          </w:p>
        </w:tc>
        <w:tc>
          <w:tcPr>
            <w:tcW w:type="dxa" w:w="140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40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表3(b)固定同一Q和融合输入，完整条件也按本协议重训；普通Adapter匹配活跃计算与容量，不能靠未使用参数凑数。去B只删除Adapter显式通道，B仍可经Q影响其他条件。完整条件相对普通Adapter的变化为</w:t>
      </w:r>
      <w:r>
        <w:rPr>
          <w:rFonts w:ascii="Times New Roman" w:hAnsi="Times New Roman" w:eastAsia="宋体"/>
          <w:sz w:val="21"/>
          <w:u w:val="single"/>
        </w:rPr>
        <w:t xml:space="preserve">   </w:t>
      </w:r>
      <w:r>
        <w:rPr>
          <w:rFonts w:ascii="Times New Roman" w:hAnsi="Times New Roman" w:eastAsia="宋体"/>
          <w:sz w:val="21"/>
        </w:rPr>
        <w:t>；去B、b(Q)、H(Q)后的变化为</w:t>
      </w:r>
      <w:r>
        <w:rPr>
          <w:rFonts w:ascii="Times New Roman" w:hAnsi="Times New Roman" w:eastAsia="宋体"/>
          <w:sz w:val="21"/>
          <w:u w:val="single"/>
        </w:rPr>
        <w:t xml:space="preserve">   </w:t>
      </w:r>
      <w:r>
        <w:rPr>
          <w:rFonts w:ascii="Times New Roman" w:hAnsi="Times New Roman" w:eastAsia="宋体"/>
          <w:sz w:val="21"/>
        </w:rPr>
        <w:t>、</w:t>
      </w:r>
      <w:r>
        <w:rPr>
          <w:rFonts w:ascii="Times New Roman" w:hAnsi="Times New Roman" w:eastAsia="宋体"/>
          <w:sz w:val="21"/>
          <w:u w:val="single"/>
        </w:rPr>
        <w:t xml:space="preserve">   </w:t>
      </w:r>
      <w:r>
        <w:rPr>
          <w:rFonts w:ascii="Times New Roman" w:hAnsi="Times New Roman" w:eastAsia="宋体"/>
          <w:sz w:val="21"/>
        </w:rPr>
        <w:t>、</w:t>
      </w:r>
      <w:r>
        <w:rPr>
          <w:rFonts w:ascii="Times New Roman" w:hAnsi="Times New Roman" w:eastAsia="宋体"/>
          <w:sz w:val="21"/>
          <w:u w:val="single"/>
        </w:rPr>
        <w:t xml:space="preserve">   </w:t>
      </w:r>
      <w:r>
        <w:rPr>
          <w:rFonts w:ascii="Times New Roman" w:hAnsi="Times New Roman" w:eastAsia="宋体"/>
          <w:sz w:val="21"/>
        </w:rPr>
        <w:t>个百分点。若未优于普通Adapter，不能把额外处理容量的收益归为结构条件。</w:t>
      </w:r>
    </w:p>
    <w:p>
      <w:pPr>
        <w:pStyle w:val="5"/>
      </w:pPr>
      <w:r>
        <w:rPr>
          <w:rFonts w:ascii="Times New Roman" w:hAnsi="Times New Roman" w:eastAsia="宋体"/>
          <w:sz w:val="21"/>
        </w:rPr>
        <w:t>2) 当前区域、读取容量和真实历史案例是否有增量</w:t>
      </w:r>
    </w:p>
    <w:p>
      <w:pPr>
        <w:pStyle w:val="15"/>
        <w:keepNext/>
      </w:pPr>
      <w:r>
        <w:rPr>
          <w:rFonts w:ascii="Times New Roman" w:hAnsi="Times New Roman" w:eastAsia="宋体"/>
          <w:sz w:val="19"/>
        </w:rPr>
        <w:t>表4　信息来源及读取方式对照</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1950"/>
        <w:gridCol w:w="918"/>
        <w:gridCol w:w="1032"/>
        <w:gridCol w:w="1376"/>
        <w:gridCol w:w="1147"/>
        <w:gridCol w:w="1147"/>
        <w:gridCol w:w="1147"/>
        <w:gridCol w:w="1147"/>
      </w:tblGrid>
      <w:tr>
        <w:trPr>
          <w:cantSplit/>
          <w:tblHeader/>
        </w:trPr>
        <w:tc>
          <w:tcPr>
            <w:tcW w:type="dxa" w:w="195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配置</w:t>
            </w:r>
          </w:p>
        </w:tc>
        <w:tc>
          <w:tcPr>
            <w:tcW w:type="dxa" w:w="918"/>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当前区域</w:t>
            </w:r>
          </w:p>
        </w:tc>
        <w:tc>
          <w:tcPr>
            <w:tcW w:type="dxa" w:w="1032"/>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真实Train支持</w:t>
            </w:r>
          </w:p>
        </w:tc>
        <w:tc>
          <w:tcPr>
            <w:tcW w:type="dxa" w:w="137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选择方式</w:t>
            </w:r>
          </w:p>
        </w:tc>
        <w:tc>
          <w:tcPr>
            <w:tcW w:type="dxa" w:w="114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四类mIoU%</w:t>
            </w:r>
          </w:p>
        </w:tc>
        <w:tc>
          <w:tcPr>
            <w:tcW w:type="dxa" w:w="114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前景mIoU%</w:t>
            </w:r>
          </w:p>
        </w:tc>
        <w:tc>
          <w:tcPr>
            <w:tcW w:type="dxa" w:w="114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受损IoU%</w:t>
            </w:r>
          </w:p>
        </w:tc>
        <w:tc>
          <w:tcPr>
            <w:tcW w:type="dxa" w:w="114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6"/>
              </w:rPr>
              <w:t>毁坏IoU%</w:t>
            </w:r>
          </w:p>
        </w:tc>
      </w:tr>
      <w:tr>
        <w:trPr>
          <w:cantSplit/>
        </w:trPr>
        <w:tc>
          <w:tcPr>
            <w:tcW w:type="dxa" w:w="195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像素头适配</w:t>
            </w:r>
          </w:p>
        </w:tc>
        <w:tc>
          <w:tcPr>
            <w:tcW w:type="dxa" w:w="9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无</w:t>
            </w:r>
          </w:p>
        </w:tc>
        <w:tc>
          <w:tcPr>
            <w:tcW w:type="dxa" w:w="103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无</w:t>
            </w:r>
          </w:p>
        </w:tc>
        <w:tc>
          <w:tcPr>
            <w:tcW w:type="dxa" w:w="137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无</w:t>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95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像素–区域融合</w:t>
            </w:r>
          </w:p>
        </w:tc>
        <w:tc>
          <w:tcPr>
            <w:tcW w:type="dxa" w:w="9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有</w:t>
            </w:r>
          </w:p>
        </w:tc>
        <w:tc>
          <w:tcPr>
            <w:tcW w:type="dxa" w:w="103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无</w:t>
            </w:r>
          </w:p>
        </w:tc>
        <w:tc>
          <w:tcPr>
            <w:tcW w:type="dxa" w:w="137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直接回投</w:t>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95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参数化支持</w:t>
            </w:r>
          </w:p>
        </w:tc>
        <w:tc>
          <w:tcPr>
            <w:tcW w:type="dxa" w:w="9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有</w:t>
            </w:r>
          </w:p>
        </w:tc>
        <w:tc>
          <w:tcPr>
            <w:tcW w:type="dxa" w:w="103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无</w:t>
            </w:r>
          </w:p>
        </w:tc>
        <w:tc>
          <w:tcPr>
            <w:tcW w:type="dxa" w:w="137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可学习向量</w:t>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95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余弦检索</w:t>
            </w:r>
          </w:p>
        </w:tc>
        <w:tc>
          <w:tcPr>
            <w:tcW w:type="dxa" w:w="918"/>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有</w:t>
            </w:r>
          </w:p>
        </w:tc>
        <w:tc>
          <w:tcPr>
            <w:tcW w:type="dxa" w:w="1032"/>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有</w:t>
            </w:r>
          </w:p>
        </w:tc>
        <w:tc>
          <w:tcPr>
            <w:tcW w:type="dxa" w:w="137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t>原始T余弦</w:t>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6"/>
              </w:rPr>
            </w:r>
          </w:p>
        </w:tc>
      </w:tr>
      <w:tr>
        <w:trPr>
          <w:cantSplit/>
        </w:trPr>
        <w:tc>
          <w:tcPr>
            <w:tcW w:type="dxa" w:w="195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跨事件监督检索</w:t>
            </w:r>
          </w:p>
        </w:tc>
        <w:tc>
          <w:tcPr>
            <w:tcW w:type="dxa" w:w="918"/>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有</w:t>
            </w:r>
          </w:p>
        </w:tc>
        <w:tc>
          <w:tcPr>
            <w:tcW w:type="dxa" w:w="1032"/>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有</w:t>
            </w:r>
          </w:p>
        </w:tc>
        <w:tc>
          <w:tcPr>
            <w:tcW w:type="dxa" w:w="137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t>学习投影</w:t>
            </w:r>
          </w:p>
        </w:tc>
        <w:tc>
          <w:tcPr>
            <w:tcW w:type="dxa" w:w="114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c>
          <w:tcPr>
            <w:tcW w:type="dxa" w:w="114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6"/>
              </w:rPr>
            </w:r>
          </w:p>
        </w:tc>
      </w:tr>
    </w:tbl>
    <w:p>
      <w:pPr/>
    </w:p>
    <w:p>
      <w:pPr/>
      <w:r>
        <w:rPr>
          <w:rFonts w:ascii="Times New Roman" w:hAnsi="Times New Roman" w:eastAsia="宋体"/>
          <w:sz w:val="21"/>
        </w:rPr>
        <w:t>表4固定区域前端和库成员，匹配初始化、损失、更新流和预算。像素–区域相对像素头适配检验当前上下文；参数化支持控制Reader及全局参数先验；真实Train支持检验历史案例的增量；两种排序比较完整检索配置。可学习向量并非“空信息”。真实案例相对参数化支持的变化为</w:t>
      </w:r>
      <w:r>
        <w:rPr>
          <w:rFonts w:ascii="Times New Roman" w:hAnsi="Times New Roman" w:eastAsia="宋体"/>
          <w:sz w:val="21"/>
          <w:u w:val="single"/>
        </w:rPr>
        <w:t xml:space="preserve">   </w:t>
      </w:r>
      <w:r>
        <w:rPr>
          <w:rFonts w:ascii="Times New Roman" w:hAnsi="Times New Roman" w:eastAsia="宋体"/>
          <w:sz w:val="21"/>
        </w:rPr>
        <w:t>，监督相对余弦配置的变化为</w:t>
      </w:r>
      <w:r>
        <w:rPr>
          <w:rFonts w:ascii="Times New Roman" w:hAnsi="Times New Roman" w:eastAsia="宋体"/>
          <w:sz w:val="21"/>
          <w:u w:val="single"/>
        </w:rPr>
        <w:t xml:space="preserve">   </w:t>
      </w:r>
      <w:r>
        <w:rPr>
          <w:rFonts w:ascii="Times New Roman" w:hAnsi="Times New Roman" w:eastAsia="宋体"/>
          <w:sz w:val="21"/>
        </w:rPr>
        <w:t>个百分点。分别训练Reader的差别仍包含适应与随机性，需表5进一步分离排序。</w:t>
      </w:r>
    </w:p>
    <w:p>
      <w:pPr>
        <w:pStyle w:val="5"/>
      </w:pPr>
      <w:r>
        <w:rPr>
          <w:rFonts w:ascii="Times New Roman" w:hAnsi="Times New Roman" w:eastAsia="宋体"/>
          <w:sz w:val="21"/>
        </w:rPr>
        <w:t>3) 支持更相关是否真正带来分类改善</w:t>
      </w:r>
    </w:p>
    <w:p>
      <w:pPr>
        <w:pStyle w:val="15"/>
        <w:keepNext/>
      </w:pPr>
      <w:r>
        <w:rPr>
          <w:rFonts w:ascii="Times New Roman" w:hAnsi="Times New Roman" w:eastAsia="宋体"/>
          <w:sz w:val="19"/>
        </w:rPr>
        <w:t>表5　固定读取器、联合头和库，仅替换邻居ID</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466"/>
        <w:gridCol w:w="1233"/>
        <w:gridCol w:w="1233"/>
        <w:gridCol w:w="1233"/>
        <w:gridCol w:w="1233"/>
        <w:gridCol w:w="1233"/>
        <w:gridCol w:w="1233"/>
      </w:tblGrid>
      <w:tr>
        <w:trPr>
          <w:cantSplit/>
          <w:tblHeader/>
        </w:trPr>
        <w:tc>
          <w:tcPr>
            <w:tcW w:type="dxa" w:w="2466"/>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支持选择</w:t>
            </w:r>
          </w:p>
        </w:tc>
        <w:tc>
          <w:tcPr>
            <w:tcW w:type="dxa" w:w="1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类宏P@8%</w:t>
            </w:r>
          </w:p>
        </w:tc>
        <w:tc>
          <w:tcPr>
            <w:tcW w:type="dxa" w:w="1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受损Hit@8%</w:t>
            </w:r>
          </w:p>
        </w:tc>
        <w:tc>
          <w:tcPr>
            <w:tcW w:type="dxa" w:w="1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毁坏Hit@8%</w:t>
            </w:r>
          </w:p>
        </w:tc>
        <w:tc>
          <w:tcPr>
            <w:tcW w:type="dxa" w:w="1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救回像素</w:t>
            </w:r>
          </w:p>
        </w:tc>
        <w:tc>
          <w:tcPr>
            <w:tcW w:type="dxa" w:w="1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误改像素</w:t>
            </w:r>
          </w:p>
        </w:tc>
        <w:tc>
          <w:tcPr>
            <w:tcW w:type="dxa" w:w="1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前景mIoU%</w:t>
            </w:r>
          </w:p>
        </w:tc>
      </w:tr>
      <w:tr>
        <w:trPr>
          <w:cantSplit/>
        </w:trPr>
        <w:tc>
          <w:tcPr>
            <w:tcW w:type="dxa" w:w="246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原始余弦</w:t>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466"/>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跨事件监督投影</w:t>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466"/>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随机合格支持</w:t>
            </w:r>
          </w:p>
        </w:tc>
        <w:tc>
          <w:tcPr>
            <w:tcW w:type="dxa" w:w="1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训练时使用预先固定比例混合两种排序邻居的共同Reader，评价固定其权重、Q、库、K和排除规则，仅改变返回ID，并按ID读取整条未投影记录。若不采用混合训练，则做“Reader训练排序×评价排序”的完整交叉替换。救回和误改统一相对同协议MPF预测：前者为MPF错误而该配置正确，后者为MPF正确而该配置错误。MPF取同次前向原生分类输出并固定解码，避免额外分类器调用引入路径差异。检索固定K=8；P@8仅在主类纯度≥0.8的查询上计算，每个查询以8个返回槽位为分母，失效或未填满槽位计未命中，并另报有效槽位率。按完好、受损、毁坏分别给出查询数与P@8，再作前景类别宏平均；事件宏平均单列，不与类宏平均混合。Hit@8在对应主类查询中统计至少一条真实合格同类支持的比例，以该类全部合格查询数为分母，并报告候选库中有无同类可用记录。背景查询另报，缺少查询的组记为不适用而不默默改变平均规则。排序相关性提高为</w:t>
      </w:r>
      <w:r>
        <w:rPr>
          <w:rFonts w:ascii="Times New Roman" w:hAnsi="Times New Roman" w:eastAsia="宋体"/>
          <w:sz w:val="21"/>
          <w:u w:val="single"/>
        </w:rPr>
        <w:t xml:space="preserve">   </w:t>
      </w:r>
      <w:r>
        <w:rPr>
          <w:rFonts w:ascii="Times New Roman" w:hAnsi="Times New Roman" w:eastAsia="宋体"/>
          <w:sz w:val="21"/>
        </w:rPr>
        <w:t>，固定读取器前景变化为</w:t>
      </w:r>
      <w:r>
        <w:rPr>
          <w:rFonts w:ascii="Times New Roman" w:hAnsi="Times New Roman" w:eastAsia="宋体"/>
          <w:sz w:val="21"/>
          <w:u w:val="single"/>
        </w:rPr>
        <w:t xml:space="preserve">   </w:t>
      </w:r>
      <w:r>
        <w:rPr>
          <w:rFonts w:ascii="Times New Roman" w:hAnsi="Times New Roman" w:eastAsia="宋体"/>
          <w:sz w:val="21"/>
        </w:rPr>
        <w:t>个百分点。若前者改善而后者无增量，结论只限邻居选择，不能写成分类收益。</w:t>
      </w:r>
    </w:p>
    <w:p>
      <w:pPr/>
      <w:r>
        <w:rPr>
          <w:rFonts w:ascii="Times New Roman" w:hAnsi="Times New Roman" w:eastAsia="宋体"/>
          <w:sz w:val="21"/>
        </w:rPr>
        <w:t>配套图10对同一查询列出原始余弦与监督排序真正返回的Train RGB/SAR、ID、事件和软标签；同时显示基础/最终预测及救回、误改。支持相似度不是置信度，两个空间的分数也不直接相互比较。至少报告改善、持平、退化三类案例，查询GT仅用于事后评分。</w:t>
      </w:r>
    </w:p>
    <w:p>
      <w:pPr>
        <w:pStyle w:val="4"/>
      </w:pPr>
      <w:r>
        <w:rPr>
          <w:rFonts w:ascii="Times New Roman" w:hAnsi="Times New Roman" w:eastAsia="宋体"/>
          <w:sz w:val="21"/>
        </w:rPr>
        <w:t>E. 补充实验、稳定性与数据需求</w:t>
      </w:r>
    </w:p>
    <w:p>
      <w:pPr>
        <w:pStyle w:val="15"/>
        <w:keepNext/>
      </w:pPr>
      <w:r>
        <w:rPr>
          <w:rFonts w:ascii="Times New Roman" w:hAnsi="Times New Roman" w:eastAsia="宋体"/>
          <w:sz w:val="19"/>
        </w:rPr>
        <w:t>表6　支持内容消融与固定权重干预</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1945"/>
        <w:gridCol w:w="3751"/>
        <w:gridCol w:w="1389"/>
        <w:gridCol w:w="1389"/>
        <w:gridCol w:w="1389"/>
      </w:tblGrid>
      <w:tr>
        <w:trPr>
          <w:cantSplit/>
          <w:tblHeader/>
        </w:trPr>
        <w:tc>
          <w:tcPr>
            <w:tcW w:type="dxa" w:w="1945"/>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检验项</w:t>
            </w:r>
          </w:p>
        </w:tc>
        <w:tc>
          <w:tcPr>
            <w:tcW w:type="dxa" w:w="375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训练/评价操作</w:t>
            </w:r>
          </w:p>
        </w:tc>
        <w:tc>
          <w:tcPr>
            <w:tcW w:type="dxa" w:w="138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前景mIoU%</w:t>
            </w:r>
          </w:p>
        </w:tc>
        <w:tc>
          <w:tcPr>
            <w:tcW w:type="dxa" w:w="138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受损IoU%</w:t>
            </w:r>
          </w:p>
        </w:tc>
        <w:tc>
          <w:tcPr>
            <w:tcW w:type="dxa" w:w="1389"/>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毁坏IoU%</w:t>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完整支持</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同预算重训基准</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去软标签</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去事件ID</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去灾种</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去几何</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固定ID，同预算重训</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随机支持</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固定权重，多次合格抽样</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标签置换</w:t>
            </w:r>
          </w:p>
        </w:tc>
        <w:tc>
          <w:tcPr>
            <w:tcW w:type="dxa" w:w="375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固定权重，保留标签边际分布</w:t>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945"/>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关闭支持路径</w:t>
            </w:r>
          </w:p>
        </w:tc>
        <w:tc>
          <w:tcPr>
            <w:tcW w:type="dxa" w:w="375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固定权重，标注分布外干预</w:t>
            </w:r>
          </w:p>
        </w:tc>
        <w:tc>
          <w:tcPr>
            <w:tcW w:type="dxa" w:w="138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389"/>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重训消融评价该信息在训练中的增量，固定权重扰动评价已训练模型的依赖与脆弱性，二者不混作同一种贡献。如果去标签重训不改变结果，不能声称历史标签必需；随机支持与检索支持相近，则不能认定近邻相关性是主要原因。关闭支持是干预而非公平容量基线，其负向变化也不单独构成因果证明。</w:t>
      </w:r>
    </w:p>
    <w:p>
      <w:pPr/>
      <w:r>
        <w:rPr>
          <w:rFonts w:ascii="Times New Roman" w:hAnsi="Times New Roman" w:eastAsia="宋体"/>
          <w:sz w:val="21"/>
        </w:rPr>
        <w:t>稳定性至少采用3个预先确定种子，报告均值±标准差和同种子配对增量；必要时在图像或事件层做配对重采样，不把高度相关的像素当独立样本。逐事件先累计矩阵再评价，并同时给出事件等权平均与全局结果。推理延迟在独占、相同线程、精度、预热与同步条件下测量；共享CPU限流造成的墙钟时间不能当作算法开销。数据填写补充表S2–S3。</w:t>
      </w:r>
    </w:p>
    <w:p>
      <w:pPr/>
      <w:r>
        <w:rPr>
          <w:rFonts w:ascii="Times New Roman" w:hAnsi="Times New Roman" w:eastAsia="宋体"/>
          <w:sz w:val="21"/>
        </w:rPr>
        <w:t>现阶段优先补充六类原始资料：①总体及四阶段的完整Test结果JSON和4×4矩阵；②权重、SHA256、开关配置与评估代码；③18例及3个局部窗的标签PNG、GT、图像ID与坐标；④相同局部窗各阶段的真实输出；⑤支持成员、Top-K ID、相似度、软标签与排除记录；⑥训练预算、种子、Val选型与Test访问记录。下列补充表保留填写位置；不需要为了提供这些已有记录先重训。</w:t>
      </w:r>
    </w:p>
    <w:p>
      <w:pPr>
        <w:pStyle w:val="3"/>
      </w:pPr>
      <w:r>
        <w:rPr>
          <w:rFonts w:ascii="Times New Roman" w:hAnsi="Times New Roman" w:eastAsia="宋体"/>
          <w:sz w:val="21"/>
        </w:rPr>
        <w:t>V. 结论</w:t>
      </w:r>
    </w:p>
    <w:p>
      <w:pPr/>
      <w:r>
        <w:rPr>
          <w:rFonts w:ascii="Times New Roman" w:hAnsi="Times New Roman" w:eastAsia="宋体"/>
          <w:sz w:val="21"/>
        </w:rPr>
        <w:t>本文将光学–SAR建筑损毁评估中的区域成员、区域内容和历史支持选择组织为连续处理路径：预测建筑概率约束局部软归属，分区状态调节融合内容，跨事件类别监督改变支持排序，增强区域经相同归属回投并与像素内容联合分类。总体表、递进表和三类局部错误描述分别对应全量性能、配置变化与具体预测行为，控制实验进一步检验结构与历史支持的作用。</w:t>
      </w:r>
    </w:p>
    <w:p>
      <w:pPr/>
      <w:r>
        <w:rPr>
          <w:rFonts w:ascii="Times New Roman" w:hAnsi="Times New Roman" w:eastAsia="宋体"/>
          <w:sz w:val="21"/>
        </w:rPr>
        <w:t>完整框架的四类mIoU、前景mIoU与事件等权平均分别为</w:t>
      </w:r>
      <w:r>
        <w:rPr>
          <w:rFonts w:ascii="Times New Roman" w:hAnsi="Times New Roman" w:eastAsia="宋体"/>
          <w:sz w:val="21"/>
          <w:u w:val="single"/>
        </w:rPr>
        <w:t xml:space="preserve">   </w:t>
      </w:r>
      <w:r>
        <w:rPr>
          <w:rFonts w:ascii="Times New Roman" w:hAnsi="Times New Roman" w:eastAsia="宋体"/>
          <w:sz w:val="21"/>
        </w:rPr>
        <w:t>、</w:t>
      </w:r>
      <w:r>
        <w:rPr>
          <w:rFonts w:ascii="Times New Roman" w:hAnsi="Times New Roman" w:eastAsia="宋体"/>
          <w:sz w:val="21"/>
          <w:u w:val="single"/>
        </w:rPr>
        <w:t xml:space="preserve">   </w:t>
      </w:r>
      <w:r>
        <w:rPr>
          <w:rFonts w:ascii="Times New Roman" w:hAnsi="Times New Roman" w:eastAsia="宋体"/>
          <w:sz w:val="21"/>
        </w:rPr>
        <w:t>和</w:t>
      </w:r>
      <w:r>
        <w:rPr>
          <w:rFonts w:ascii="Times New Roman" w:hAnsi="Times New Roman" w:eastAsia="宋体"/>
          <w:sz w:val="21"/>
          <w:u w:val="single"/>
        </w:rPr>
        <w:t xml:space="preserve">   </w:t>
      </w:r>
      <w:r>
        <w:rPr>
          <w:rFonts w:ascii="Times New Roman" w:hAnsi="Times New Roman" w:eastAsia="宋体"/>
          <w:sz w:val="21"/>
        </w:rPr>
        <w:t>，稳定增量由同协议多种子结果填写。预测建筑概率误差、区域混合和不相关支持仍可能引发误改；软区域不自动等于单栋建筑，标准划分中的跨事件检索不保证未见事件泛化。现有图像观察与旧阶段记录不能替代完整框架的最终评测。</w:t>
      </w:r>
    </w:p>
    <w:p>
      <w:pPr>
        <w:pStyle w:val="3"/>
      </w:pPr>
      <w:r>
        <w:rPr>
          <w:rFonts w:ascii="Times New Roman" w:hAnsi="Times New Roman" w:eastAsia="宋体"/>
          <w:sz w:val="21"/>
        </w:rPr>
        <w:t>参考文献</w:t>
      </w:r>
    </w:p>
    <w:p>
      <w:pPr>
        <w:pStyle w:val="166"/>
      </w:pPr>
      <w:r>
        <w:rPr>
          <w:rFonts w:ascii="Times New Roman" w:hAnsi="Times New Roman" w:eastAsia="宋体"/>
          <w:sz w:val="18"/>
        </w:rPr>
        <w:t>[1] Ritwik Gupta, Bryce Goodman, Nirav Patel, Rachel Hosfelt, Sajal Sajeev, Eric Heim, Jigar Doshi, Keane Lucas, Howie Choset, Matthew Gaston. Creating xBD: A Dataset for Assessing Building Damage from Satellite Imagery. Proceedings of the IEEE/CVF Conference on Computer Vision and Pattern Recognition Workshops, 2019.</w:t>
      </w:r>
    </w:p>
    <w:p>
      <w:pPr>
        <w:pStyle w:val="166"/>
      </w:pPr>
      <w:r>
        <w:rPr>
          <w:rFonts w:ascii="Times New Roman" w:hAnsi="Times New Roman" w:eastAsia="宋体"/>
          <w:sz w:val="18"/>
        </w:rPr>
        <w:t>[2] Hongruixuan Chen, Jian Song, Olivier Dietrich, Clifford Broni-Bediako, Weihao Xuan, Junjue Wang, Xinlei Shao, Yimin Wei, Junshi Xia, Cuiling Lan, Konrad Schindler, Naoto Yokoya. BRIGHT: a globally distributed multimodal building damage assessment dataset with very-high-resolution for all-weather disaster response. Earth System Science Data, 2025, 17(11): 6217–6253. DOI: 10.5194/essd-17-6217-2025.</w:t>
      </w:r>
    </w:p>
    <w:p>
      <w:pPr>
        <w:pStyle w:val="166"/>
      </w:pPr>
      <w:r>
        <w:rPr>
          <w:rFonts w:ascii="Times New Roman" w:hAnsi="Times New Roman" w:eastAsia="宋体"/>
          <w:sz w:val="18"/>
        </w:rPr>
        <w:t>[3] Zhuo Zheng, Yanfei Zhong, Junjue Wang, Ailong Ma, Liangpei Zhang. Building damage assessment for rapid disaster response with a deep object-based semantic change detection framework: from natural disasters to man-made disasters. Remote Sensing of Environment, 2021, 265: 112636. DOI: 10.1016/j.rse.2021.112636.</w:t>
      </w:r>
    </w:p>
    <w:p>
      <w:pPr>
        <w:pStyle w:val="166"/>
      </w:pPr>
      <w:r>
        <w:rPr>
          <w:rFonts w:ascii="Times New Roman" w:hAnsi="Times New Roman" w:eastAsia="宋体"/>
          <w:sz w:val="18"/>
        </w:rPr>
        <w:t>[4] Hongruixuan Chen, Edoardo Nemni, Sofia Vallecorsa, X. Li, C. Wu, L. Bromley. Dual-Tasks Siamese Transformer Framework for Building Damage Assessment. IGARSS 2022 – 2022 IEEE International Geoscience and Remote Sensing Symposium, 2022: 1600–1603. DOI: 10.1109/IGARSS46834.2022.9883139.</w:t>
      </w:r>
    </w:p>
    <w:p>
      <w:pPr>
        <w:pStyle w:val="166"/>
      </w:pPr>
      <w:r>
        <w:rPr>
          <w:rFonts w:ascii="Times New Roman" w:hAnsi="Times New Roman" w:eastAsia="宋体"/>
          <w:sz w:val="18"/>
        </w:rPr>
        <w:t>[5] Hongruixuan Chen, Jian Song, Chengxi Han, Junshi Xia, Naoto Yokoya. ChangeMamba: Remote Sensing Change Detection With Spatiotemporal State Space Model. IEEE Transactions on Geoscience and Remote Sensing, 2024, 62: 1–20. DOI: 10.1109/TGRS.2024.3417253.</w:t>
      </w:r>
    </w:p>
    <w:p>
      <w:pPr>
        <w:pStyle w:val="166"/>
      </w:pPr>
      <w:r>
        <w:rPr>
          <w:rFonts w:ascii="Times New Roman" w:hAnsi="Times New Roman" w:eastAsia="宋体"/>
          <w:sz w:val="18"/>
        </w:rPr>
        <w:t>[6] Zhuo Zheng, Yanfei Zhong, Liangpei Zhang, Marshall Burke, David B. Lobell, Stefano Ermon. Towards transferable building damage assessment via unsupervised single-temporal change adaptation. Remote Sensing of Environment, 2024, 315: 114416. DOI: 10.1016/j.rse.2024.114416.</w:t>
      </w:r>
    </w:p>
    <w:p>
      <w:pPr>
        <w:pStyle w:val="166"/>
      </w:pPr>
      <w:r>
        <w:rPr>
          <w:rFonts w:ascii="Times New Roman" w:hAnsi="Times New Roman" w:eastAsia="宋体"/>
          <w:sz w:val="18"/>
        </w:rPr>
        <w:t>[7] James Currie, Karin Reinke. Assessing the transferability of post-disaster building damage assessment using synthetic aperture radar and machine learning. International Journal of Disaster Risk Reduction, 2026, 136: 106048. DOI: 10.1016/j.ijdrr.2026.106048.</w:t>
      </w:r>
    </w:p>
    <w:p>
      <w:pPr>
        <w:pStyle w:val="166"/>
      </w:pPr>
      <w:r>
        <w:rPr>
          <w:rFonts w:ascii="Times New Roman" w:hAnsi="Times New Roman" w:eastAsia="宋体"/>
          <w:sz w:val="18"/>
        </w:rPr>
        <w:t>[8] Jonathan Long, Evan Shelhamer, Trevor Darrell. Fully Convolutional Networks for Semantic Segmentation. IEEE Conference on Computer Vision and Pattern Recognition (CVPR), 2015: 3431–3440.</w:t>
      </w:r>
    </w:p>
    <w:p>
      <w:pPr>
        <w:pStyle w:val="166"/>
      </w:pPr>
      <w:r>
        <w:rPr>
          <w:rFonts w:ascii="Times New Roman" w:hAnsi="Times New Roman" w:eastAsia="宋体"/>
          <w:sz w:val="18"/>
        </w:rPr>
        <w:t>[9] Olaf Ronneberger, Philipp Fischer, Thomas Brox. U-Net: Convolutional Networks for Biomedical Image Segmentation. Medical Image Computing and Computer-Assisted Intervention – MICCAI 2015, 2015: 234–241. DOI: 10.1007/978-3-319-24574-4_28.</w:t>
      </w:r>
    </w:p>
    <w:p>
      <w:pPr>
        <w:pStyle w:val="166"/>
      </w:pPr>
      <w:r>
        <w:rPr>
          <w:rFonts w:ascii="Times New Roman" w:hAnsi="Times New Roman" w:eastAsia="宋体"/>
          <w:sz w:val="18"/>
        </w:rPr>
        <w:t>[10] Liang-Chieh Chen, Yukun Zhu, George Papandreou, Florian Schroff, Hartwig Adam. Encoder-Decoder with Atrous Separable Convolution for Semantic Image Segmentation. European Conference on Computer Vision (ECCV), 2018.</w:t>
      </w:r>
    </w:p>
    <w:p>
      <w:pPr>
        <w:pStyle w:val="166"/>
      </w:pPr>
      <w:r>
        <w:rPr>
          <w:rFonts w:ascii="Times New Roman" w:hAnsi="Times New Roman" w:eastAsia="宋体"/>
          <w:sz w:val="18"/>
        </w:rPr>
        <w:t>[11] Kaiming He, Xiangyu Zhang, Shaoqing Ren, Jian Sun. Deep Residual Learning for Image Recognition. IEEE Conference on Computer Vision and Pattern Recognition (CVPR), 2016: 770–778. DOI: 10.1109/CVPR.2016.90.</w:t>
      </w:r>
    </w:p>
    <w:p>
      <w:pPr>
        <w:pStyle w:val="166"/>
      </w:pPr>
      <w:r>
        <w:rPr>
          <w:rFonts w:ascii="Times New Roman" w:hAnsi="Times New Roman" w:eastAsia="宋体"/>
          <w:sz w:val="18"/>
        </w:rPr>
        <w:t>[12] Ze Liu, Yutong Lin, Yue Cao, Han Hu, Yixuan Wei, Zheng Zhang, Stephen Lin, Baining Guo. Swin Transformer: Hierarchical Vision Transformer using Shifted Windows. IEEE/CVF International Conference on Computer Vision (ICCV), 2021.</w:t>
      </w:r>
    </w:p>
    <w:p>
      <w:pPr>
        <w:pStyle w:val="166"/>
      </w:pPr>
      <w:r>
        <w:rPr>
          <w:rFonts w:ascii="Times New Roman" w:hAnsi="Times New Roman" w:eastAsia="宋体"/>
          <w:sz w:val="18"/>
        </w:rPr>
        <w:t>[13] Enze Xie, Wenhai Wang, Zhiding Yu, Anima Anandkumar, Jose M. Alvarez, Ping Luo. SegFormer: Simple and Efficient Design for Semantic Segmentation with Transformers. Advances in Neural Information Processing Systems (NeurIPS), 2021.</w:t>
      </w:r>
    </w:p>
    <w:p>
      <w:pPr>
        <w:pStyle w:val="166"/>
      </w:pPr>
      <w:r>
        <w:rPr>
          <w:rFonts w:ascii="Times New Roman" w:hAnsi="Times New Roman" w:eastAsia="宋体"/>
          <w:sz w:val="18"/>
        </w:rPr>
        <w:t>[14] Hongruixuan Chen, Chen Wu, Bo Du, Liangpei Zhang, Le Wang. Change Detection in Multisource VHR Images via Deep Siamese Convolutional Multiple-Layers Recurrent Neural Network. IEEE Transactions on Geoscience and Remote Sensing, 2020, 58(4): 2848–2864.</w:t>
      </w:r>
    </w:p>
    <w:p>
      <w:pPr>
        <w:pStyle w:val="166"/>
      </w:pPr>
      <w:r>
        <w:rPr>
          <w:rFonts w:ascii="Times New Roman" w:hAnsi="Times New Roman" w:eastAsia="宋体"/>
          <w:sz w:val="18"/>
        </w:rPr>
        <w:t>[15] Yongjun He, Jinfei Wang, Chunhua Liao, Xin Zhou, Bo Shan. MS4D-Net: Multitask-Based Semi-Supervised Semantic Segmentation Framework with Perturbed Dual Mean Teachers for Building Damage Assessment from High-Resolution Remote Sensing Imagery. Remote Sensing, 2023, 15(2): 478. DOI: 10.3390/rs15020478.</w:t>
      </w:r>
    </w:p>
    <w:p>
      <w:pPr>
        <w:pStyle w:val="166"/>
      </w:pPr>
      <w:r>
        <w:rPr>
          <w:rFonts w:ascii="Times New Roman" w:hAnsi="Times New Roman" w:eastAsia="宋体"/>
          <w:sz w:val="18"/>
        </w:rPr>
        <w:t>[16] Zhengtao Xie, Zifan Zhou, Xinhao He, Yuguang Fu, Jiancheng Gu, Jiandong Zhang. Methodology for Object-Level Change Detection in Post-Earthquake Building Damage Assessment Based on Remote Sensing Images: OCD-BDA. Remote Sensing, 2024, 16(22): 4263. DOI: 10.3390/rs16224263.</w:t>
      </w:r>
    </w:p>
    <w:p>
      <w:pPr>
        <w:pStyle w:val="166"/>
      </w:pPr>
      <w:r>
        <w:rPr>
          <w:rFonts w:ascii="Times New Roman" w:hAnsi="Times New Roman" w:eastAsia="宋体"/>
          <w:sz w:val="18"/>
        </w:rPr>
        <w:t>[17] R. Achanta, A. Shaji, K. Smith, A. Lucchi, P. Fua, S. Süsstrunk. SLIC Superpixels Compared to State-of-the-Art Superpixel Methods. IEEE Transactions on Pattern Analysis and Machine Intelligence, 2012, 34(11): 2274–2282.</w:t>
      </w:r>
    </w:p>
    <w:p>
      <w:pPr>
        <w:pStyle w:val="166"/>
      </w:pPr>
      <w:r>
        <w:rPr>
          <w:rFonts w:ascii="Times New Roman" w:hAnsi="Times New Roman" w:eastAsia="宋体"/>
          <w:sz w:val="18"/>
        </w:rPr>
        <w:t>[18] Varun Jampani, Deqing Sun, Ming-Yu Liu, Ming-Hsuan Yang, Jan Kautz. Superpixel Sampling Networks. European Conference on Computer Vision, 2018.</w:t>
      </w:r>
    </w:p>
    <w:p>
      <w:pPr>
        <w:pStyle w:val="166"/>
      </w:pPr>
      <w:r>
        <w:rPr>
          <w:rFonts w:ascii="Times New Roman" w:hAnsi="Times New Roman" w:eastAsia="宋体"/>
          <w:sz w:val="18"/>
        </w:rPr>
        <w:t>[19] Fengting Yang, Qian Sun, Hailin Jin, Zihan Zhou. Superpixel Segmentation with Fully Convolutional Networks. IEEE/CVF Conference on Computer Vision and Pattern Recognition, 2020.</w:t>
      </w:r>
    </w:p>
    <w:p>
      <w:pPr>
        <w:pStyle w:val="166"/>
      </w:pPr>
      <w:r>
        <w:rPr>
          <w:rFonts w:ascii="Times New Roman" w:hAnsi="Times New Roman" w:eastAsia="宋体"/>
          <w:sz w:val="18"/>
        </w:rPr>
        <w:t>[20] Julien Walther, Rémi Giraud, Michaël Clément. Superpixel Anything: A General Object-Based Framework for Accurate Yet Regular Superpixel Segmentation. British Machine Vision Conference, 2025.</w:t>
      </w:r>
    </w:p>
    <w:p>
      <w:pPr>
        <w:pStyle w:val="166"/>
      </w:pPr>
      <w:r>
        <w:rPr>
          <w:rFonts w:ascii="Times New Roman" w:hAnsi="Times New Roman" w:eastAsia="宋体"/>
          <w:sz w:val="18"/>
        </w:rPr>
        <w:t>[21] Yuhui Yuan, Xilin Chen, Jingdong Wang. Object-Contextual Representations for Semantic Segmentation. European Conference on Computer Vision, 2020.</w:t>
      </w:r>
    </w:p>
    <w:p>
      <w:pPr>
        <w:pStyle w:val="166"/>
      </w:pPr>
      <w:r>
        <w:rPr>
          <w:rFonts w:ascii="Times New Roman" w:hAnsi="Times New Roman" w:eastAsia="宋体"/>
          <w:sz w:val="18"/>
        </w:rPr>
        <w:t>[22] Hengshuang Zhao, Jianping Shi, Xiaojuan Qi, Xiaogang Wang, Jiaya Jia. Pyramid Scene Parsing Network. IEEE Conference on Computer Vision and Pattern Recognition, 2017.</w:t>
      </w:r>
    </w:p>
    <w:p>
      <w:pPr>
        <w:pStyle w:val="166"/>
      </w:pPr>
      <w:r>
        <w:rPr>
          <w:rFonts w:ascii="Times New Roman" w:hAnsi="Times New Roman" w:eastAsia="宋体"/>
          <w:sz w:val="18"/>
        </w:rPr>
        <w:t>[23] Jun Fu, Jing Liu, Haijie Tian, Yong Li, Yongjun Bao, Zhiwei Fang, Hanqing Lu. Dual Attention Network for Scene Segmentation. IEEE/CVF Conference on Computer Vision and Pattern Recognition, 2019: 3146–3154.</w:t>
      </w:r>
    </w:p>
    <w:p>
      <w:pPr>
        <w:pStyle w:val="166"/>
      </w:pPr>
      <w:r>
        <w:rPr>
          <w:rFonts w:ascii="Times New Roman" w:hAnsi="Times New Roman" w:eastAsia="宋体"/>
          <w:sz w:val="18"/>
        </w:rPr>
        <w:t>[24] Xiaolong Wang, Ross Girshick, Abhinav Gupta, Kaiming He. Non-local Neural Networks. IEEE/CVF Conference on Computer Vision and Pattern Recognition, 2018.</w:t>
      </w:r>
    </w:p>
    <w:p>
      <w:pPr>
        <w:pStyle w:val="166"/>
      </w:pPr>
      <w:r>
        <w:rPr>
          <w:rFonts w:ascii="Times New Roman" w:hAnsi="Times New Roman" w:eastAsia="宋体"/>
          <w:sz w:val="18"/>
        </w:rPr>
        <w:t>[25] Jie Hu, Li Shen, Gang Sun. Squeeze-and-Excitation Networks. IEEE/CVF Conference on Computer Vision and Pattern Recognition, 2018.</w:t>
      </w:r>
    </w:p>
    <w:p>
      <w:pPr>
        <w:pStyle w:val="166"/>
      </w:pPr>
      <w:r>
        <w:rPr>
          <w:rFonts w:ascii="Times New Roman" w:hAnsi="Times New Roman" w:eastAsia="宋体"/>
          <w:sz w:val="18"/>
        </w:rPr>
        <w:t>[26] Peihua Li, Jiangtao Xie, Qilong Wang, Wangmeng Zuo. Is Second-order Information Helpful for Large-scale Visual Recognition?. IEEE International Conference on Computer Vision, 2017.</w:t>
      </w:r>
    </w:p>
    <w:p>
      <w:pPr>
        <w:pStyle w:val="166"/>
      </w:pPr>
      <w:r>
        <w:rPr>
          <w:rFonts w:ascii="Times New Roman" w:hAnsi="Times New Roman" w:eastAsia="宋体"/>
          <w:sz w:val="18"/>
        </w:rPr>
        <w:t>[27] Yanfeng Zhang, Zhiwu Gao, Ying Dai, Yu Wu, Lei Zhang, Xingxing Han, Zhenxuan Liu. WANet: A Wavelet-Attention Network for Accurate Ditch Extraction in Remote Sensing Imagery. IEEE Journal of Selected Topics in Applied Earth Observations and Remote Sensing, 2026, 19: 17042–17054. DOI: 10.1109/JSTARS.2026.3693082.</w:t>
      </w:r>
    </w:p>
    <w:p>
      <w:pPr>
        <w:pStyle w:val="166"/>
      </w:pPr>
      <w:r>
        <w:rPr>
          <w:rFonts w:ascii="Times New Roman" w:hAnsi="Times New Roman" w:eastAsia="宋体"/>
          <w:sz w:val="18"/>
        </w:rPr>
        <w:t>[28] Ethan Perez, Florian Strub, Harm de Vries, Vincent Dumoulin, Aaron Courville. FiLM: Visual Reasoning with a General Conditioning Layer. Proceedings of the AAAI Conference on Artificial Intelligence (AAAI), 2018.</w:t>
      </w:r>
    </w:p>
    <w:p>
      <w:pPr>
        <w:pStyle w:val="166"/>
      </w:pPr>
      <w:r>
        <w:rPr>
          <w:rFonts w:ascii="Times New Roman" w:hAnsi="Times New Roman" w:eastAsia="宋体"/>
          <w:sz w:val="18"/>
        </w:rPr>
        <w:t>[29] Wenguan Wang, Tianfei Zhou, Fisher Yu, Jifeng Dai, Ender Konukoglu, Luc Van Gool. Exploring Cross-Image Pixel Contrast for Semantic Segmentation. Proceedings of the IEEE/CVF International Conference on Computer Vision (ICCV), 2021: 7303–7313.</w:t>
      </w:r>
    </w:p>
    <w:p>
      <w:pPr>
        <w:pStyle w:val="166"/>
      </w:pPr>
      <w:r>
        <w:rPr>
          <w:rFonts w:ascii="Times New Roman" w:hAnsi="Times New Roman" w:eastAsia="宋体"/>
          <w:sz w:val="18"/>
        </w:rPr>
        <w:t>[30] Tianfei Zhou, Wenguan Wang, Ender Konukoglu, Luc Van Gool. Rethinking Semantic Segmentation: A Prototype View. Proceedings of the IEEE/CVF Conference on Computer Vision and Pattern Recognition (CVPR), 2022.</w:t>
      </w:r>
    </w:p>
    <w:p>
      <w:pPr>
        <w:pStyle w:val="166"/>
      </w:pPr>
      <w:r>
        <w:rPr>
          <w:rFonts w:ascii="Times New Roman" w:hAnsi="Times New Roman" w:eastAsia="宋体"/>
          <w:sz w:val="18"/>
        </w:rPr>
        <w:t>[31] Jake Snell, Kevin Swersky, Richard Zemel. Prototypical Networks for Few-shot Learning. Advances in Neural Information Processing Systems (NIPS), 2017.</w:t>
      </w:r>
    </w:p>
    <w:p>
      <w:pPr>
        <w:pStyle w:val="166"/>
      </w:pPr>
      <w:r>
        <w:rPr>
          <w:rFonts w:ascii="Times New Roman" w:hAnsi="Times New Roman" w:eastAsia="宋体"/>
          <w:sz w:val="18"/>
        </w:rPr>
        <w:t>[32] Han-Jia Ye, Hexiang Hu, De-Chuan Zhan, Fei Sha. Few-Shot Learning via Embedding Adaptation with Set-to-Set Functions. Proceedings of the IEEE/CVF Conference on Computer Vision and Pattern Recognition (CVPR), 2020: 8808–8817.</w:t>
      </w:r>
    </w:p>
    <w:p>
      <w:pPr>
        <w:pStyle w:val="166"/>
      </w:pPr>
      <w:r>
        <w:rPr>
          <w:rFonts w:ascii="Times New Roman" w:hAnsi="Times New Roman" w:eastAsia="宋体"/>
          <w:sz w:val="18"/>
        </w:rPr>
        <w:t>[33] Renrui Zhang, Wei Zhang, Rongyao Fang, Peng Gao, Kunchang Li, Jifeng Dai, Yu Qiao, Hongsheng Li. Tip-Adapter: Training-free Adaption of CLIP for Few-shot Classification. European Conference on Computer Vision (ECCV), 2022.</w:t>
      </w:r>
    </w:p>
    <w:p>
      <w:pPr>
        <w:pStyle w:val="166"/>
      </w:pPr>
      <w:r>
        <w:rPr>
          <w:rFonts w:ascii="Times New Roman" w:hAnsi="Times New Roman" w:eastAsia="宋体"/>
          <w:sz w:val="18"/>
        </w:rPr>
        <w:t>[34] Xun Wang, Haozhi Zhang, Weilin Huang, Matthew R. Scott. Cross-Batch Memory for Embedding Learning. Proceedings of the IEEE/CVF Conference on Computer Vision and Pattern Recognition (CVPR), 2020.</w:t>
      </w:r>
    </w:p>
    <w:p>
      <w:pPr>
        <w:pStyle w:val="166"/>
      </w:pPr>
      <w:r>
        <w:rPr>
          <w:rFonts w:ascii="Times New Roman" w:hAnsi="Times New Roman" w:eastAsia="宋体"/>
          <w:sz w:val="18"/>
        </w:rPr>
        <w:t>[35] Kaiming He, Haoqi Fan, Yuxin Wu, Saining Xie, Ross Girshick. Momentum Contrast for Unsupervised Visual Representation Learning. Proceedings of the IEEE/CVF Conference on Computer Vision and Pattern Recognition (CVPR), 2020: 9729–9738.</w:t>
      </w:r>
    </w:p>
    <w:p>
      <w:pPr>
        <w:pStyle w:val="166"/>
      </w:pPr>
      <w:r>
        <w:rPr>
          <w:rFonts w:ascii="Times New Roman" w:hAnsi="Times New Roman" w:eastAsia="宋体"/>
          <w:sz w:val="18"/>
        </w:rPr>
        <w:t>[36] Xinlong Wang, Rufeng Zhang, Chunhua Shen, Tao Kong, Lei Li. Dense Contrastive Learning for Self-Supervised Visual Pre-Training. Proceedings of the IEEE/CVF Conference on Computer Vision and Pattern Recognition (CVPR), 2021.</w:t>
      </w:r>
    </w:p>
    <w:p>
      <w:pPr>
        <w:pStyle w:val="166"/>
      </w:pPr>
      <w:r>
        <w:rPr>
          <w:rFonts w:ascii="Times New Roman" w:hAnsi="Times New Roman" w:eastAsia="宋体"/>
          <w:sz w:val="18"/>
        </w:rPr>
        <w:t>[37] Prannay Khosla, Piotr Teterwak, Chen Wang, Aaron Sarna, Yonglong Tian, Phillip Isola, Aaron Maschinot, Ce Liu, Dilip Krishnan. Supervised Contrastive Learning. Advances in Neural Information Processing Systems (NeurIPS), 2020.</w:t>
      </w:r>
    </w:p>
    <w:p>
      <w:pPr>
        <w:pStyle w:val="166"/>
      </w:pPr>
      <w:r>
        <w:rPr>
          <w:rFonts w:ascii="Times New Roman" w:hAnsi="Times New Roman" w:eastAsia="宋体"/>
          <w:sz w:val="18"/>
        </w:rPr>
        <w:t>[38] Ashish Vaswani, Noam Shazeer, Niki Parmar, Jakob Uszkoreit, Llion Jones, Aidan N. Gomez, Łukasz Kaiser, Illia Polosukhin. Attention Is All You Need. arXiv preprint arXiv:1706.03762, 2017. https://arxiv.org/abs/1706.03762.</w:t>
      </w:r>
    </w:p>
    <w:p>
      <w:pPr>
        <w:pStyle w:val="166"/>
      </w:pPr>
      <w:r>
        <w:rPr>
          <w:rFonts w:ascii="Times New Roman" w:hAnsi="Times New Roman" w:eastAsia="宋体"/>
          <w:sz w:val="18"/>
        </w:rPr>
        <w:t>[39] Maxim Berman, Amal Rannen Triki, Matthew B. Blaschko. The Lovász-Softmax Loss: A Tractable Surrogate for the Optimization of the Intersection-Over-Union Measure in Neural Networks. IEEE/CVF Conference on Computer Vision and Pattern Recognition (CVPR), 2018: 4413–4421. DOI: 10.1109/CVPR.2018.00464.</w:t>
      </w:r>
    </w:p>
    <w:p>
      <w:pPr>
        <w:pStyle w:val="166"/>
      </w:pPr>
      <w:r>
        <w:rPr>
          <w:rFonts w:ascii="Times New Roman" w:hAnsi="Times New Roman" w:eastAsia="宋体"/>
          <w:sz w:val="18"/>
        </w:rPr>
        <w:t>[40] Ilya Loshchilov, Frank Hutter. Decoupled Weight Decay Regularization. International Conference on Learning Representations (ICLR), 2019.</w:t>
      </w:r>
    </w:p>
    <w:p>
      <w:pPr>
        <w:pStyle w:val="3"/>
      </w:pPr>
      <w:r>
        <w:rPr>
          <w:rFonts w:ascii="Times New Roman" w:hAnsi="Times New Roman" w:eastAsia="宋体"/>
          <w:sz w:val="21"/>
        </w:rPr>
        <w:t>补充材料：图件模板与待填数据</w:t>
      </w:r>
    </w:p>
    <w:p>
      <w:pPr/>
      <w:r>
        <w:rPr>
          <w:rFonts w:ascii="Times New Roman" w:hAnsi="Times New Roman" w:eastAsia="宋体"/>
          <w:sz w:val="21"/>
        </w:rPr>
        <w:t>以下模板保留实测结果位置。空白不是零值，也不是实验失败；仅表示尚无对应记录。图9、图10是待补图件设计，不作为已完成的模型可视化。</w:t>
      </w:r>
    </w:p>
    <w:p>
      <w:pPr>
        <w:keepNext/>
        <w:ind w:firstLine="0"/>
        <w:jc w:val="center"/>
      </w:pPr>
      <w:r>
        <w:drawing>
          <wp:inline xmlns:a="http://schemas.openxmlformats.org/drawingml/2006/main" xmlns:pic="http://schemas.openxmlformats.org/drawingml/2006/picture">
            <wp:extent cx="6228000" cy="4325353"/>
            <wp:docPr id="14" name="Picture 14"/>
            <wp:cNvGraphicFramePr>
              <a:graphicFrameLocks noChangeAspect="1"/>
            </wp:cNvGraphicFramePr>
            <a:graphic>
              <a:graphicData uri="http://schemas.openxmlformats.org/drawingml/2006/picture">
                <pic:pic>
                  <pic:nvPicPr>
                    <pic:cNvPr id="0" name="Fig6_structure_diagnostic_template.png"/>
                    <pic:cNvPicPr/>
                  </pic:nvPicPr>
                  <pic:blipFill>
                    <a:blip r:embed="rId31"/>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图9　区域组织与内容条件诊断模板。RGB/SAR/GT使用真实裁窗；B、Q开关、b(Q)、H(Q)待实际输出。真实实验还须补表3四组的分类预测，并使用同窗口、同色条与统一区域预算。</w:t>
      </w:r>
    </w:p>
    <w:p>
      <w:pPr>
        <w:keepNext/>
        <w:ind w:firstLine="0"/>
        <w:jc w:val="center"/>
      </w:pPr>
      <w:r>
        <w:drawing>
          <wp:inline xmlns:a="http://schemas.openxmlformats.org/drawingml/2006/main" xmlns:pic="http://schemas.openxmlformats.org/drawingml/2006/picture">
            <wp:extent cx="6228000" cy="4325353"/>
            <wp:docPr id="15" name="Picture 15"/>
            <wp:cNvGraphicFramePr>
              <a:graphicFrameLocks noChangeAspect="1"/>
            </wp:cNvGraphicFramePr>
            <a:graphic>
              <a:graphicData uri="http://schemas.openxmlformats.org/drawingml/2006/picture">
                <pic:pic>
                  <pic:nvPicPr>
                    <pic:cNvPr id="0" name="Fig7_retrieval_diagnostic_template.png"/>
                    <pic:cNvPicPr/>
                  </pic:nvPicPr>
                  <pic:blipFill>
                    <a:blip r:embed="rId32"/>
                    <a:stretch>
                      <a:fillRect/>
                    </a:stretch>
                  </pic:blipFill>
                  <pic:spPr>
                    <a:xfrm>
                      <a:off x="0" y="0"/>
                      <a:ext cx="6228000" cy="4325353"/>
                    </a:xfrm>
                    <a:prstGeom prst="rect"/>
                  </pic:spPr>
                </pic:pic>
              </a:graphicData>
            </a:graphic>
          </wp:inline>
        </w:drawing>
      </w:r>
    </w:p>
    <w:p>
      <w:pPr>
        <w:pStyle w:val="15"/>
        <w:keepNext w:val="0"/>
      </w:pPr>
      <w:r>
        <w:rPr>
          <w:rFonts w:ascii="Times New Roman" w:hAnsi="Times New Roman" w:eastAsia="宋体"/>
          <w:sz w:val="19"/>
        </w:rPr>
        <w:t>图10　真实检索支持与配对纠错模板。已有查询RGB/SAR/GT与MPF保留，支持和完整方法面板留白。按真实返回ID填Train支持及元数据，不用任意外观近邻替代实际检索轨迹。</w:t>
      </w:r>
    </w:p>
    <w:p>
      <w:pPr>
        <w:pStyle w:val="15"/>
        <w:keepNext/>
      </w:pPr>
      <w:r>
        <w:rPr>
          <w:rFonts w:ascii="Times New Roman" w:hAnsi="Times New Roman" w:eastAsia="宋体"/>
          <w:sz w:val="19"/>
        </w:rPr>
        <w:t>表S1　实验配置、来源与图表对应</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047"/>
        <w:gridCol w:w="5584"/>
        <w:gridCol w:w="2233"/>
      </w:tblGrid>
      <w:tr>
        <w:trPr>
          <w:cantSplit/>
          <w:tblHeader/>
        </w:trPr>
        <w:tc>
          <w:tcPr>
            <w:tcW w:type="dxa" w:w="204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项目</w:t>
            </w:r>
          </w:p>
        </w:tc>
        <w:tc>
          <w:tcPr>
            <w:tcW w:type="dxa" w:w="5584"/>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需要提供的字段</w:t>
            </w:r>
          </w:p>
        </w:tc>
        <w:tc>
          <w:tcPr>
            <w:tcW w:type="dxa" w:w="223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填写位置</w:t>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总体/阶段行</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模型类、配置、权重路径与SHA256</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输入和评价</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名单、类序、ignore、解码、评估版本</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训练设置</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冻结状态、损失、优化器、步数、种子、选型</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支持与投影</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Train成员、原特征、软标签、投影、Top-K</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全量计数</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4×4矩阵、定位矩阵、有效像素数</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逐事件计数</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事件名单、各自矩阵、缺类处理</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图5–8</w:t>
            </w:r>
          </w:p>
        </w:tc>
        <w:tc>
          <w:tcPr>
            <w:tcW w:type="dxa" w:w="55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图像ID、xywh、原始预测PNG/GT、模型SHA</w:t>
            </w:r>
          </w:p>
        </w:tc>
        <w:tc>
          <w:tcPr>
            <w:tcW w:type="dxa" w:w="223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04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图9–10</w:t>
            </w:r>
          </w:p>
        </w:tc>
        <w:tc>
          <w:tcPr>
            <w:tcW w:type="dxa" w:w="5584"/>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模型响应、邻居ID/事件、分数、错误掩膜</w:t>
            </w:r>
          </w:p>
        </w:tc>
        <w:tc>
          <w:tcPr>
            <w:tcW w:type="dxa" w:w="223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pStyle w:val="15"/>
        <w:keepNext/>
      </w:pPr>
      <w:r>
        <w:rPr>
          <w:rFonts w:ascii="Times New Roman" w:hAnsi="Times New Roman" w:eastAsia="宋体"/>
          <w:sz w:val="19"/>
        </w:rPr>
        <w:t>表S2　逐事件前景mIoU与配对变化</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877"/>
        <w:gridCol w:w="1370"/>
        <w:gridCol w:w="1370"/>
        <w:gridCol w:w="1370"/>
        <w:gridCol w:w="1370"/>
        <w:gridCol w:w="1507"/>
      </w:tblGrid>
      <w:tr>
        <w:trPr>
          <w:cantSplit/>
          <w:tblHeader/>
        </w:trPr>
        <w:tc>
          <w:tcPr>
            <w:tcW w:type="dxa" w:w="287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事件</w:t>
            </w:r>
          </w:p>
        </w:tc>
        <w:tc>
          <w:tcPr>
            <w:tcW w:type="dxa" w:w="137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MPF%</w:t>
            </w:r>
          </w:p>
        </w:tc>
        <w:tc>
          <w:tcPr>
            <w:tcW w:type="dxa" w:w="137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区域配置%</w:t>
            </w:r>
          </w:p>
        </w:tc>
        <w:tc>
          <w:tcPr>
            <w:tcW w:type="dxa" w:w="137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余弦检索%</w:t>
            </w:r>
          </w:p>
        </w:tc>
        <w:tc>
          <w:tcPr>
            <w:tcW w:type="dxa" w:w="1370"/>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Ours%</w:t>
            </w:r>
          </w:p>
        </w:tc>
        <w:tc>
          <w:tcPr>
            <w:tcW w:type="dxa" w:w="150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Ours−MPF(pp)</w:t>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bata-explosion</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beirut-explosion</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congo-volcano</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haiti-earthquake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hawaii-wildfire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la_palma-volcano</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libya-flood</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marshall-wildfire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mexico-hurricane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morocco-earthquake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myanmar-hurricane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noto-earthquake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turkey-earthquake</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ukraine-conflict</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事件等权平均</w:t>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87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全局累计结果</w:t>
            </w:r>
          </w:p>
        </w:tc>
        <w:tc>
          <w:tcPr>
            <w:tcW w:type="dxa" w:w="137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370"/>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50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pStyle w:val="15"/>
        <w:keepNext/>
      </w:pPr>
      <w:r>
        <w:rPr>
          <w:rFonts w:ascii="Times New Roman" w:hAnsi="Times New Roman" w:eastAsia="宋体"/>
          <w:sz w:val="19"/>
        </w:rPr>
        <w:t>表S3　稳定性与计算开销</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2165"/>
        <w:gridCol w:w="1684"/>
        <w:gridCol w:w="1203"/>
        <w:gridCol w:w="1203"/>
        <w:gridCol w:w="1203"/>
        <w:gridCol w:w="1203"/>
        <w:gridCol w:w="1203"/>
      </w:tblGrid>
      <w:tr>
        <w:trPr>
          <w:cantSplit/>
          <w:tblHeader/>
        </w:trPr>
        <w:tc>
          <w:tcPr>
            <w:tcW w:type="dxa" w:w="2165"/>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配置</w:t>
            </w:r>
          </w:p>
        </w:tc>
        <w:tc>
          <w:tcPr>
            <w:tcW w:type="dxa" w:w="1684"/>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前景均值±SD%</w:t>
            </w:r>
          </w:p>
        </w:tc>
        <w:tc>
          <w:tcPr>
            <w:tcW w:type="dxa" w:w="120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配对增量pp</w:t>
            </w:r>
          </w:p>
        </w:tc>
        <w:tc>
          <w:tcPr>
            <w:tcW w:type="dxa" w:w="120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可训参数M</w:t>
            </w:r>
          </w:p>
        </w:tc>
        <w:tc>
          <w:tcPr>
            <w:tcW w:type="dxa" w:w="120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延迟ms/图</w:t>
            </w:r>
          </w:p>
        </w:tc>
        <w:tc>
          <w:tcPr>
            <w:tcW w:type="dxa" w:w="120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显存MiB</w:t>
            </w:r>
          </w:p>
        </w:tc>
        <w:tc>
          <w:tcPr>
            <w:tcW w:type="dxa" w:w="120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库MiB</w:t>
            </w:r>
          </w:p>
        </w:tc>
      </w:tr>
      <w:tr>
        <w:trPr>
          <w:cantSplit/>
        </w:trPr>
        <w:tc>
          <w:tcPr>
            <w:tcW w:type="dxa" w:w="216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像素头适配</w:t>
            </w:r>
          </w:p>
        </w:tc>
        <w:tc>
          <w:tcPr>
            <w:tcW w:type="dxa" w:w="16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6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像素–区域融合</w:t>
            </w:r>
          </w:p>
        </w:tc>
        <w:tc>
          <w:tcPr>
            <w:tcW w:type="dxa" w:w="16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6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参数化支持</w:t>
            </w:r>
          </w:p>
        </w:tc>
        <w:tc>
          <w:tcPr>
            <w:tcW w:type="dxa" w:w="16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6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余弦检索</w:t>
            </w:r>
          </w:p>
        </w:tc>
        <w:tc>
          <w:tcPr>
            <w:tcW w:type="dxa" w:w="1684"/>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2165"/>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跨事件监督检索</w:t>
            </w:r>
          </w:p>
        </w:tc>
        <w:tc>
          <w:tcPr>
            <w:tcW w:type="dxa" w:w="1684"/>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20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p>
      <w:pPr/>
    </w:p>
    <w:p>
      <w:pPr/>
      <w:r>
        <w:rPr>
          <w:rFonts w:ascii="Times New Roman" w:hAnsi="Times New Roman" w:eastAsia="宋体"/>
          <w:sz w:val="21"/>
        </w:rPr>
        <w:t>表S4局部救回/误改以同窗口DamageFormer为参照，DamageFormer行该比较不适用；表5全量支持干预以同次前向MPF为参照。两类统计各自注明参照，不混合汇总；原始TP/FP/FN均按该行预测与GT直接计算。</w:t>
      </w:r>
    </w:p>
    <w:p>
      <w:pPr>
        <w:pStyle w:val="15"/>
        <w:keepNext/>
      </w:pPr>
      <w:r>
        <w:rPr>
          <w:rFonts w:ascii="Times New Roman" w:hAnsi="Times New Roman" w:eastAsia="宋体"/>
          <w:sz w:val="19"/>
        </w:rPr>
        <w:t>表S4　三幅局部图的原始计数回填</w:t>
      </w:r>
    </w:p>
    <w:tbl>
      <w:tblPr>
        <w:tblW w:type="auto" w:w="0"/>
        <w:jc w:val="center"/>
        <w:tblLayout w:type="fixed"/>
        <w:tblLook w:firstColumn="1" w:firstRow="1" w:lastColumn="0" w:lastRow="0" w:noHBand="0" w:noVBand="1" w:val="04A0"/>
        <w:tblBorders>
          <w:left w:val="nil"/>
          <w:right w:val="nil"/>
          <w:insideH w:val="nil"/>
          <w:insideV w:val="nil"/>
          <w:top w:val="single" w:sz="10" w:color="000000"/>
          <w:bottom w:val="single" w:sz="10" w:color="000000"/>
        </w:tblBorders>
      </w:tblPr>
      <w:tblGrid>
        <w:gridCol w:w="1625"/>
        <w:gridCol w:w="1393"/>
        <w:gridCol w:w="1857"/>
        <w:gridCol w:w="1857"/>
        <w:gridCol w:w="1741"/>
        <w:gridCol w:w="1393"/>
      </w:tblGrid>
      <w:tr>
        <w:trPr>
          <w:cantSplit/>
          <w:tblHeader/>
        </w:trPr>
        <w:tc>
          <w:tcPr>
            <w:tcW w:type="dxa" w:w="1625"/>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图/窗口</w:t>
            </w:r>
          </w:p>
        </w:tc>
        <w:tc>
          <w:tcPr>
            <w:tcW w:type="dxa" w:w="139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模型/阶段</w:t>
            </w:r>
          </w:p>
        </w:tc>
        <w:tc>
          <w:tcPr>
            <w:tcW w:type="dxa" w:w="185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受损TP/FP/FN</w:t>
            </w:r>
          </w:p>
        </w:tc>
        <w:tc>
          <w:tcPr>
            <w:tcW w:type="dxa" w:w="1857"/>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毁坏TP/FP/FN</w:t>
            </w:r>
          </w:p>
        </w:tc>
        <w:tc>
          <w:tcPr>
            <w:tcW w:type="dxa" w:w="1741"/>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救回/误改像素</w:t>
            </w:r>
          </w:p>
        </w:tc>
        <w:tc>
          <w:tcPr>
            <w:tcW w:type="dxa" w:w="1393"/>
            <w:vAlign w:val="center"/>
            <w:tcBorders>
              <w:left w:val="nil"/>
              <w:right w:val="nil"/>
              <w:top w:val="single" w:sz="10" w:color="000000"/>
              <w:bottom w:val="single" w:sz="5" w:color="000000"/>
            </w:tcBorders>
          </w:tcPr>
          <w:p>
            <w:pPr>
              <w:keepNext/>
              <w:spacing w:line="240" w:lineRule="auto" w:before="40" w:after="40"/>
              <w:ind w:firstLine="0"/>
            </w:pPr>
            <w:r>
              <w:rPr>
                <w:rFonts w:ascii="Times New Roman" w:hAnsi="Times New Roman" w:eastAsia="宋体"/>
                <w:b/>
                <w:sz w:val="18"/>
              </w:rPr>
              <w:t>背景→建筑FP</w:t>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图6 / 能登</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DamageFormer</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图6 / 能登</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图6 / 能登</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区域阶段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图6 / 能登</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结构阶段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图6 / 能登</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检索阶段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图7 / 土耳其</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DamageFormer</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图7 / 土耳其</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图7 / 土耳其</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区域阶段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图7 / 土耳其</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结构阶段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图7 / 土耳其</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检索阶段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图8 / 缅甸</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DamageFormer</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图8 / 缅甸</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MPF</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图8 / 缅甸</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区域阶段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图8 / 缅甸</w:t>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t>结构阶段</w:t>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nil"/>
            </w:tcBorders>
          </w:tcPr>
          <w:p>
            <w:pPr>
              <w:keepNext/>
              <w:spacing w:line="240" w:lineRule="auto" w:before="40" w:after="40"/>
              <w:ind w:firstLine="0"/>
            </w:pPr>
            <w:r>
              <w:rPr>
                <w:rFonts w:ascii="Times New Roman" w:hAnsi="Times New Roman" w:eastAsia="宋体"/>
                <w:b w:val="0"/>
                <w:sz w:val="18"/>
              </w:rPr>
            </w:r>
          </w:p>
        </w:tc>
      </w:tr>
      <w:tr>
        <w:trPr>
          <w:cantSplit/>
        </w:trPr>
        <w:tc>
          <w:tcPr>
            <w:tcW w:type="dxa" w:w="1625"/>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图8 / 缅甸</w:t>
            </w:r>
          </w:p>
        </w:tc>
        <w:tc>
          <w:tcPr>
            <w:tcW w:type="dxa" w:w="139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t>检索阶段</w:t>
            </w:r>
          </w:p>
        </w:tc>
        <w:tc>
          <w:tcPr>
            <w:tcW w:type="dxa" w:w="185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857"/>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741"/>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c>
          <w:tcPr>
            <w:tcW w:type="dxa" w:w="1393"/>
            <w:vAlign w:val="center"/>
            <w:tcBorders>
              <w:left w:val="nil"/>
              <w:right w:val="nil"/>
              <w:top w:val="nil"/>
              <w:bottom w:val="single" w:sz="10" w:color="000000"/>
            </w:tcBorders>
          </w:tcPr>
          <w:p>
            <w:pPr>
              <w:keepNext w:val="0"/>
              <w:spacing w:line="240" w:lineRule="auto" w:before="40" w:after="40"/>
              <w:ind w:firstLine="0"/>
            </w:pPr>
            <w:r>
              <w:rPr>
                <w:rFonts w:ascii="Times New Roman" w:hAnsi="Times New Roman" w:eastAsia="宋体"/>
                <w:b w:val="0"/>
                <w:sz w:val="18"/>
              </w:rPr>
            </w:r>
          </w:p>
        </w:tc>
      </w:tr>
    </w:tbl>
    <w:sectPr>
      <w:footerReference r:id="rId7"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NimbusRomNo9L-Regu">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0845">
    <w:pPr>
      <w:pStyle w:val="24"/>
      <w:ind w:firstLine="0"/>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17CE7">
    <w:pPr>
      <w:pStyle w:val="24"/>
      <w:ind w:firstLine="0"/>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AC10">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3781A"/>
    <w:rsid w:val="350A3514"/>
    <w:rsid w:val="60516841"/>
    <w:rsid w:val="61FB33CF"/>
    <w:rsid w:val="638E5D64"/>
    <w:rsid w:val="692E7F1E"/>
    <w:rsid w:val="6971117C"/>
    <w:rsid w:val="733946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76"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9"/>
    <w:qFormat/>
    <w:uiPriority w:val="9"/>
    <w:pPr>
      <w:keepNext/>
      <w:keepLines/>
      <w:widowControl/>
      <w:spacing w:before="220" w:after="80" w:line="276" w:lineRule="auto"/>
      <w:ind w:firstLine="0"/>
      <w:outlineLvl w:val="0"/>
    </w:pPr>
    <w:rPr>
      <w:rFonts w:asciiTheme="majorHAnsi" w:hAnsiTheme="majorHAnsi" w:eastAsiaTheme="majorEastAsia" w:cstheme="majorBidi" w:ascii="Times New Roman" w:hAnsi="Times New Roman" w:eastAsia="宋体"/>
      <w:b/>
      <w:bCs/>
      <w:color w:val="000000"/>
      <w:sz w:val="21"/>
      <w:szCs w:val="28"/>
    </w:rPr>
  </w:style>
  <w:style w:type="paragraph" w:styleId="4">
    <w:name w:val="heading 2"/>
    <w:basedOn w:val="1"/>
    <w:next w:val="1"/>
    <w:link w:val="140"/>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ascii="Times New Roman" w:hAnsi="Times New Roman" w:eastAsia="宋体"/>
      <w:b/>
      <w:bCs/>
      <w:color w:val="000000"/>
      <w:sz w:val="21"/>
      <w:szCs w:val="26"/>
    </w:rPr>
  </w:style>
  <w:style w:type="paragraph" w:styleId="5">
    <w:name w:val="heading 3"/>
    <w:basedOn w:val="1"/>
    <w:next w:val="1"/>
    <w:link w:val="141"/>
    <w:unhideWhenUsed/>
    <w:qFormat/>
    <w:uiPriority w:val="9"/>
    <w:pPr>
      <w:keepNext/>
      <w:keepLines/>
      <w:widowControl/>
      <w:spacing w:before="120" w:after="80" w:line="276" w:lineRule="auto"/>
      <w:ind w:firstLine="0"/>
      <w:outlineLvl w:val="2"/>
    </w:pPr>
    <w:rPr>
      <w:rFonts w:asciiTheme="majorHAnsi" w:hAnsiTheme="majorHAnsi" w:eastAsiaTheme="majorEastAsia" w:cstheme="majorBidi" w:ascii="Times New Roman" w:hAnsi="Times New Roman" w:eastAsia="宋体"/>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80" w:line="276" w:lineRule="auto"/>
      <w:ind w:firstLine="0"/>
    </w:pPr>
    <w:rPr>
      <w:rFonts w:ascii="Times New Roman" w:hAnsi="Times New Roman" w:eastAsia="宋体"/>
      <w:bCs/>
      <w:color w:val="000000"/>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Abstract Body"/>
    <w:qFormat/>
    <w:uiPriority w:val="0"/>
    <w:pPr>
      <w:widowControl/>
      <w:spacing w:after="80" w:line="276" w:lineRule="auto"/>
      <w:ind w:firstLine="0"/>
    </w:pPr>
    <w:rPr>
      <w:rFonts w:ascii="Times New Roman" w:hAnsi="Times New Roman" w:eastAsia="宋体" w:cstheme="minorBidi"/>
      <w:color w:val="000000"/>
      <w:sz w:val="21"/>
      <w:szCs w:val="22"/>
      <w:lang w:val="en-US" w:eastAsia="en-US" w:bidi="ar-SA"/>
    </w:rPr>
  </w:style>
  <w:style w:type="paragraph" w:customStyle="1" w:styleId="166">
    <w:name w:val="Reference Entry"/>
    <w:qFormat/>
    <w:uiPriority w:val="0"/>
    <w:pPr>
      <w:keepLines/>
      <w:spacing w:after="80" w:line="276"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2"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2026-10-16T07:39:08Z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C6732DC8175F40D39BEF1D8305099490_13</vt:lpwstr>
  </property>
</Properties>
</file>