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本轮论文结果与图表修订说明</w:t>
      </w:r>
    </w:p>
    <w:p>
      <w:r>
        <w:t>本轮按“总体结果总结—总体对比图—逐组分析—递进表—三幅局部图—控制实验”的顺序改写。原稿89个公式对象逐一保持一致，没有预估实验成绩。提供Word正文、PDF预览、可编辑PPT、待填表格和40篇文献核验文件。</w:t>
      </w:r>
    </w:p>
    <w:p>
      <w:pPr>
        <w:pStyle w:val="Heading1"/>
      </w:pPr>
      <w:r>
        <w:t>1. 正文现在怎样阅读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位置</w:t>
            </w:r>
          </w:p>
        </w:tc>
        <w:tc>
          <w:tcPr>
            <w:tcW w:type="dxa" w:w="3400"/>
          </w:tcPr>
          <w:p>
            <w:r>
              <w:t>回答的问题</w:t>
            </w:r>
          </w:p>
        </w:tc>
        <w:tc>
          <w:tcPr>
            <w:tcW w:type="dxa" w:w="3400"/>
          </w:tcPr>
          <w:p>
            <w:r>
              <w:t>对应材料</w:t>
            </w:r>
          </w:p>
        </w:tc>
      </w:tr>
      <w:tr>
        <w:tc>
          <w:tcPr>
            <w:tcW w:type="dxa" w:w="3400"/>
          </w:tcPr>
          <w:p>
            <w:r>
              <w:t>IV.B开头和表1</w:t>
            </w:r>
          </w:p>
        </w:tc>
        <w:tc>
          <w:tcPr>
            <w:tcW w:type="dxa" w:w="3400"/>
          </w:tcPr>
          <w:p>
            <w:r>
              <w:t>全量Test上的总体与类别差别是什么</w:t>
            </w:r>
          </w:p>
        </w:tc>
        <w:tc>
          <w:tcPr>
            <w:tcW w:type="dxa" w:w="3400"/>
          </w:tcPr>
          <w:p>
            <w:r>
              <w:t>公开BRIGHT表5；MPF/Ours统一评测待填</w:t>
            </w:r>
          </w:p>
        </w:tc>
      </w:tr>
      <w:tr>
        <w:tc>
          <w:tcPr>
            <w:tcW w:type="dxa" w:w="3400"/>
          </w:tcPr>
          <w:p>
            <w:r>
              <w:t>图5(a)–(c)及随后的三段分析</w:t>
            </w:r>
          </w:p>
        </w:tc>
        <w:tc>
          <w:tcPr>
            <w:tcW w:type="dxa" w:w="3400"/>
          </w:tcPr>
          <w:p>
            <w:r>
              <w:t>哪些灾种、位置和等级存在不同错误</w:t>
            </w:r>
          </w:p>
        </w:tc>
        <w:tc>
          <w:tcPr>
            <w:tcW w:type="dxa" w:w="3400"/>
          </w:tcPr>
          <w:p>
            <w:r>
              <w:t>18个真实裁窗，每组6个，最后一列为MPF</w:t>
            </w:r>
          </w:p>
        </w:tc>
      </w:tr>
      <w:tr>
        <w:tc>
          <w:tcPr>
            <w:tcW w:type="dxa" w:w="3400"/>
          </w:tcPr>
          <w:p>
            <w:r>
              <w:t>IV.C表2</w:t>
            </w:r>
          </w:p>
        </w:tc>
        <w:tc>
          <w:tcPr>
            <w:tcW w:type="dxa" w:w="3400"/>
          </w:tcPr>
          <w:p>
            <w:r>
              <w:t>既有四个阶段报告发生什么变化</w:t>
            </w:r>
          </w:p>
        </w:tc>
        <w:tc>
          <w:tcPr>
            <w:tcW w:type="dxa" w:w="3400"/>
          </w:tcPr>
          <w:p>
            <w:r>
              <w:t>base/region/roi/memory旧汇总，来源待绑定</w:t>
            </w:r>
          </w:p>
        </w:tc>
      </w:tr>
      <w:tr>
        <w:tc>
          <w:tcPr>
            <w:tcW w:type="dxa" w:w="3400"/>
          </w:tcPr>
          <w:p>
            <w:r>
              <w:t>图6能登</w:t>
            </w:r>
          </w:p>
        </w:tc>
        <w:tc>
          <w:tcPr>
            <w:tcW w:type="dxa" w:w="3400"/>
          </w:tcPr>
          <w:p>
            <w:r>
              <w:t>成片Destroyed为何被判成Intact</w:t>
            </w:r>
          </w:p>
        </w:tc>
        <w:tc>
          <w:tcPr>
            <w:tcW w:type="dxa" w:w="3400"/>
          </w:tcPr>
          <w:p>
            <w:r>
              <w:t>DamageFormer与MPF的同一蓝框放大</w:t>
            </w:r>
          </w:p>
        </w:tc>
      </w:tr>
      <w:tr>
        <w:tc>
          <w:tcPr>
            <w:tcW w:type="dxa" w:w="3400"/>
          </w:tcPr>
          <w:p>
            <w:r>
              <w:t>图7土耳其</w:t>
            </w:r>
          </w:p>
        </w:tc>
        <w:tc>
          <w:tcPr>
            <w:tcW w:type="dxa" w:w="3400"/>
          </w:tcPr>
          <w:p>
            <w:r>
              <w:t>单栋Damaged屋顶为何出现多种预测等级</w:t>
            </w:r>
          </w:p>
        </w:tc>
        <w:tc>
          <w:tcPr>
            <w:tcW w:type="dxa" w:w="3400"/>
          </w:tcPr>
          <w:p>
            <w:r>
              <w:t>同一屋顶的全图/放大两排</w:t>
            </w:r>
          </w:p>
        </w:tc>
      </w:tr>
      <w:tr>
        <w:tc>
          <w:tcPr>
            <w:tcW w:type="dxa" w:w="3400"/>
          </w:tcPr>
          <w:p>
            <w:r>
              <w:t>图8缅甸</w:t>
            </w:r>
          </w:p>
        </w:tc>
        <w:tc>
          <w:tcPr>
            <w:tcW w:type="dxa" w:w="3400"/>
          </w:tcPr>
          <w:p>
            <w:r>
              <w:t>稀疏目标恢复是否同时带来背景误报</w:t>
            </w:r>
          </w:p>
        </w:tc>
        <w:tc>
          <w:tcPr>
            <w:tcW w:type="dxa" w:w="3400"/>
          </w:tcPr>
          <w:p>
            <w:r>
              <w:t>RGB/SAR/GT和两模型的96×96窗口</w:t>
            </w:r>
          </w:p>
        </w:tc>
      </w:tr>
      <w:tr>
        <w:tc>
          <w:tcPr>
            <w:tcW w:type="dxa" w:w="3400"/>
          </w:tcPr>
          <w:p>
            <w:r>
              <w:t>IV.D表3–5</w:t>
            </w:r>
          </w:p>
        </w:tc>
        <w:tc>
          <w:tcPr>
            <w:tcW w:type="dxa" w:w="3400"/>
          </w:tcPr>
          <w:p>
            <w:r>
              <w:t>三项设计是否有独立增量，近邻是否真正有用</w:t>
            </w:r>
          </w:p>
        </w:tc>
        <w:tc>
          <w:tcPr>
            <w:tcW w:type="dxa" w:w="3400"/>
          </w:tcPr>
          <w:p>
            <w:r>
              <w:t>控制实验空表与结果句位置</w:t>
            </w:r>
          </w:p>
        </w:tc>
      </w:tr>
      <w:tr>
        <w:tc>
          <w:tcPr>
            <w:tcW w:type="dxa" w:w="3400"/>
          </w:tcPr>
          <w:p>
            <w:r>
              <w:t>IV.E表6、补充表S1–S4</w:t>
            </w:r>
          </w:p>
        </w:tc>
        <w:tc>
          <w:tcPr>
            <w:tcW w:type="dxa" w:w="3400"/>
          </w:tcPr>
          <w:p>
            <w:r>
              <w:t>支持依赖、事件、稳定性、成本、原始计数</w:t>
            </w:r>
          </w:p>
        </w:tc>
        <w:tc>
          <w:tcPr>
            <w:tcW w:type="dxa" w:w="3400"/>
          </w:tcPr>
          <w:p>
            <w:r>
              <w:t>待填表与图9–10实测可视化模板</w:t>
            </w:r>
          </w:p>
        </w:tc>
      </w:tr>
    </w:tbl>
    <w:p>
      <w:pPr>
        <w:pStyle w:val="Heading1"/>
      </w:pPr>
      <w:r>
        <w:t>2. 已有图片可以用，但标签必须正确</w:t>
      </w:r>
    </w:p>
    <w:p>
      <w:r>
        <w:t>图5–8最后一列的既有输出属于MPF，即原A1像素前端，不是完整检索模型。来源记录的模型类为DamageFormer_S8_MICB_DSMIL，权重为best_val_miou.pth，SHA256为cf834b5929c96f84642b8b856c985dc818eecac66a1f01ca3803e1b1dc200add。旧“Ours (A1)”现在统一写MPF。</w:t>
      </w:r>
    </w:p>
    <w:p>
      <w:r>
        <w:t>三幅局部图可以接在递进表后解释错误形态。它们目前没有Region/ROI/Memory各阶段预测，不能分别当作三个模块的证明。蓝框仅定位裁窗，不是模型学习出的注意力。图5第一组原来重复写“火山与山火”，本轮更正为“地震与冲突”。</w:t>
      </w:r>
    </w:p>
    <w:p>
      <w:r>
        <w:t>对能登图可写“毁坏误判为完好的局部混淆减少”；土耳其图可写“受损屋顶主体的等级预测更接近GT，但红绿残留仍在”；缅甸图可写“部分受损目标恢复更完整，同时出现绿色背景假阳性”。不要写成“Memory已普遍解决实例不一致”。</w:t>
      </w:r>
    </w:p>
    <w:p>
      <w:r>
        <w:t>图9、图10是清楚标注的待补模板；响应和支持面板留白，不是已完成的机制可视化。原始科学图片没有合成或涂改；close-up的26个图片对象逐个SHA校验一致，整体图的162个源对象也保留了来源清单。</w:t>
      </w:r>
    </w:p>
    <w:p>
      <w:pPr>
        <w:pStyle w:val="Heading1"/>
      </w:pPr>
      <w:r>
        <w:t>3. 旧数字如何处理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记录</w:t>
            </w:r>
          </w:p>
        </w:tc>
        <w:tc>
          <w:tcPr>
            <w:tcW w:type="dxa" w:w="3400"/>
          </w:tcPr>
          <w:p>
            <w:r>
              <w:t>本轮处理</w:t>
            </w:r>
          </w:p>
        </w:tc>
        <w:tc>
          <w:tcPr>
            <w:tcW w:type="dxa" w:w="3400"/>
          </w:tcPr>
          <w:p>
            <w:r>
              <w:t>还需要什么</w:t>
            </w:r>
          </w:p>
        </w:tc>
      </w:tr>
      <w:tr>
        <w:tc>
          <w:tcPr>
            <w:tcW w:type="dxa" w:w="3400"/>
          </w:tcPr>
          <w:p>
            <w:r>
              <w:t>base / region / roi大多数旧数值</w:t>
            </w:r>
          </w:p>
        </w:tc>
        <w:tc>
          <w:tcPr>
            <w:tcW w:type="dxa" w:w="3400"/>
          </w:tcPr>
          <w:p>
            <w:r>
              <w:t>表2保留并注明用户阶段报告</w:t>
            </w:r>
          </w:p>
        </w:tc>
        <w:tc>
          <w:tcPr>
            <w:tcW w:type="dxa" w:w="3400"/>
          </w:tcPr>
          <w:p>
            <w:r>
              <w:t>各行权重、配置与全量Test结果</w:t>
            </w:r>
          </w:p>
        </w:tc>
      </w:tr>
      <w:tr>
        <w:tc>
          <w:tcPr>
            <w:tcW w:type="dxa" w:w="3400"/>
          </w:tcPr>
          <w:p>
            <w:r>
              <w:t>memory四类mIoU旧报69.62</w:t>
            </w:r>
          </w:p>
        </w:tc>
        <w:tc>
          <w:tcPr>
            <w:tcW w:type="dxa" w:w="3400"/>
          </w:tcPr>
          <w:p>
            <w:r>
              <w:t>正式单元格留空；旧值在表注和核对表中保留</w:t>
            </w:r>
          </w:p>
        </w:tc>
        <w:tc>
          <w:tcPr>
            <w:tcW w:type="dxa" w:w="3400"/>
          </w:tcPr>
          <w:p>
            <w:r>
              <w:t>原始4×4矩阵；打印分项均值69.64，不能擅自替换</w:t>
            </w:r>
          </w:p>
        </w:tc>
      </w:tr>
      <w:tr>
        <w:tc>
          <w:tcPr>
            <w:tcW w:type="dxa" w:w="3400"/>
          </w:tcPr>
          <w:p>
            <w:r>
              <w:t>base OA96.12与公开DamageFormer OA96.13</w:t>
            </w:r>
          </w:p>
        </w:tc>
        <w:tc>
          <w:tcPr>
            <w:tcW w:type="dxa" w:w="3400"/>
          </w:tcPr>
          <w:p>
            <w:r>
              <w:t>保留不同来源，不强行统一</w:t>
            </w:r>
          </w:p>
        </w:tc>
        <w:tc>
          <w:tcPr>
            <w:tcW w:type="dxa" w:w="3400"/>
          </w:tcPr>
          <w:p>
            <w:r>
              <w:t>是否同一运行和评价版本</w:t>
            </w:r>
          </w:p>
        </w:tc>
      </w:tr>
      <w:tr>
        <w:tc>
          <w:tcPr>
            <w:tcW w:type="dxa" w:w="3400"/>
          </w:tcPr>
          <w:p>
            <w:r>
              <w:t>BRIGHT原表SiamCRNN mIoU65.73</w:t>
            </w:r>
          </w:p>
        </w:tc>
        <w:tc>
          <w:tcPr>
            <w:tcW w:type="dxa" w:w="3400"/>
          </w:tcPr>
          <w:p>
            <w:r>
              <w:t>按原文65.73保留并注明原表内部差异</w:t>
            </w:r>
          </w:p>
        </w:tc>
        <w:tc>
          <w:tcPr>
            <w:tcW w:type="dxa" w:w="3400"/>
          </w:tcPr>
          <w:p>
            <w:r>
              <w:t>原作者原始计数，不能把65.75称为重新测得</w:t>
            </w:r>
          </w:p>
        </w:tc>
      </w:tr>
      <w:tr>
        <w:tc>
          <w:tcPr>
            <w:tcW w:type="dxa" w:w="3400"/>
          </w:tcPr>
          <w:p>
            <w:r>
              <w:t>图中原局部分数</w:t>
            </w:r>
          </w:p>
        </w:tc>
        <w:tc>
          <w:tcPr>
            <w:tcW w:type="dxa" w:w="3400"/>
          </w:tcPr>
          <w:p>
            <w:r>
              <w:t>移除未复核数字，保留真实图像</w:t>
            </w:r>
          </w:p>
        </w:tc>
        <w:tc>
          <w:tcPr>
            <w:tcW w:type="dxa" w:w="3400"/>
          </w:tcPr>
          <w:p>
            <w:r>
              <w:t>精确窗口的GT与原标签预测PNG</w:t>
            </w:r>
          </w:p>
        </w:tc>
      </w:tr>
      <w:tr>
        <w:tc>
          <w:tcPr>
            <w:tcW w:type="dxa" w:w="3400"/>
          </w:tcPr>
          <w:p>
            <w:r>
              <w:t>完整方法、控制实验缺分数</w:t>
            </w:r>
          </w:p>
        </w:tc>
        <w:tc>
          <w:tcPr>
            <w:tcW w:type="dxa" w:w="3400"/>
          </w:tcPr>
          <w:p>
            <w:r>
              <w:t>空白</w:t>
            </w:r>
          </w:p>
        </w:tc>
        <w:tc>
          <w:tcPr>
            <w:tcW w:type="dxa" w:w="3400"/>
          </w:tcPr>
          <w:p>
            <w:r>
              <w:t>实际结果；本轮没有预测大致数值</w:t>
            </w:r>
          </w:p>
        </w:tc>
      </w:tr>
    </w:tbl>
    <w:p>
      <w:r>
        <w:t>region−base的受损/毁坏IoU差为+1.14/+1.74 pp；roi−region为+1.21/+0.39 pp；memory−roi为+1.63/+2.87 pp。这些只是旧报告分项的算术差，不是单模块独立贡献；memory背景、OA下降，不能说全部指标单调提高。</w:t>
      </w:r>
    </w:p>
    <w:p>
      <w:pPr>
        <w:pStyle w:val="Heading1"/>
      </w:pPr>
      <w:r>
        <w:t>4. 最优先补哪三组实验</w:t>
      </w:r>
    </w:p>
    <w:p>
      <w:r>
        <w:t>1. 表3(a)：B→Q开关×结构Adapter开关的2×2。四组统一采用区域特征直接Q回投与F联合分类，不设Reader或支持槽，匹配其余条件。验证“区域成员”和“区域内容”是否分别有效及有无交互。</w:t>
      </w:r>
    </w:p>
    <w:p>
      <w:r>
        <w:t>2. 表4：像素头适配→像素–区域融合→参数化支持→真实余弦支持→监督检索。匹配训练预算、区域前端和库，区分当前上下文、读取器容量和历史案例。</w:t>
      </w:r>
    </w:p>
    <w:p>
      <w:r>
        <w:t>3. 表5：固定同一Reader、联合头、Q和库，只替换邻居ID。比较余弦、跨事件监督、随机合格支持，分别报告检索相关性和最终分类。可用混合排序训练Reader，或做完整交叉替换。</w:t>
      </w:r>
    </w:p>
    <w:p>
      <w:r>
        <w:t>随后补表3(b)固定Q的条件/容量对照，表6支持标签与元数据的独立消融，以及逐事件、至少3种子、延迟/显存。表6已把去事件ID、去灾种、去几何拆成独立行，避免三个操作只填一个成绩。</w:t>
      </w:r>
    </w:p>
    <w:p>
      <w:pPr>
        <w:pStyle w:val="Heading1"/>
      </w:pPr>
      <w:r>
        <w:t>5. 请提供的数据清单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优先级</w:t>
            </w:r>
          </w:p>
        </w:tc>
        <w:tc>
          <w:tcPr>
            <w:tcW w:type="dxa" w:w="3400"/>
          </w:tcPr>
          <w:p>
            <w:r>
              <w:t>文件或字段</w:t>
            </w:r>
          </w:p>
        </w:tc>
        <w:tc>
          <w:tcPr>
            <w:tcW w:type="dxa" w:w="3400"/>
          </w:tcPr>
          <w:p>
            <w:r>
              <w:t>用途</w:t>
            </w:r>
          </w:p>
        </w:tc>
      </w:tr>
      <w:tr>
        <w:tc>
          <w:tcPr>
            <w:tcW w:type="dxa" w:w="3400"/>
          </w:tcPr>
          <w:p>
            <w:r>
              <w:t>第一批</w:t>
            </w:r>
          </w:p>
        </w:tc>
        <w:tc>
          <w:tcPr>
            <w:tcW w:type="dxa" w:w="3400"/>
          </w:tcPr>
          <w:p>
            <w:r>
              <w:t>各阶段及MPF/Ours完整评估JSON、4×4混淆矩阵、定位矩阵</w:t>
            </w:r>
          </w:p>
        </w:tc>
        <w:tc>
          <w:tcPr>
            <w:tcW w:type="dxa" w:w="3400"/>
          </w:tcPr>
          <w:p>
            <w:r>
              <w:t>填表1/2，复核mIoU与F1；不能由IoU反推混淆矩阵</w:t>
            </w:r>
          </w:p>
        </w:tc>
      </w:tr>
      <w:tr>
        <w:tc>
          <w:tcPr>
            <w:tcW w:type="dxa" w:w="3400"/>
          </w:tcPr>
          <w:p>
            <w:r>
              <w:t>第一批</w:t>
            </w:r>
          </w:p>
        </w:tc>
        <w:tc>
          <w:tcPr>
            <w:tcW w:type="dxa" w:w="3400"/>
          </w:tcPr>
          <w:p>
            <w:r>
              <w:t>manifest/arguments、权重路径与SHA256、split名单、ignore/类序/解码版本</w:t>
            </w:r>
          </w:p>
        </w:tc>
        <w:tc>
          <w:tcPr>
            <w:tcW w:type="dxa" w:w="3400"/>
          </w:tcPr>
          <w:p>
            <w:r>
              <w:t>绑定模型身份和公平比较</w:t>
            </w:r>
          </w:p>
        </w:tc>
      </w:tr>
      <w:tr>
        <w:tc>
          <w:tcPr>
            <w:tcW w:type="dxa" w:w="3400"/>
          </w:tcPr>
          <w:p>
            <w:r>
              <w:t>第一批</w:t>
            </w:r>
          </w:p>
        </w:tc>
        <w:tc>
          <w:tcPr>
            <w:tcW w:type="dxa" w:w="3400"/>
          </w:tcPr>
          <w:p>
            <w:r>
              <w:t>18例与3个局部窗的原标签PNG、GT、图像ID和xywh</w:t>
            </w:r>
          </w:p>
        </w:tc>
        <w:tc>
          <w:tcPr>
            <w:tcW w:type="dxa" w:w="3400"/>
          </w:tcPr>
          <w:p>
            <w:r>
              <w:t>复算局部TP/FP/FN、救回与误改</w:t>
            </w:r>
          </w:p>
        </w:tc>
      </w:tr>
      <w:tr>
        <w:tc>
          <w:tcPr>
            <w:tcW w:type="dxa" w:w="3400"/>
          </w:tcPr>
          <w:p>
            <w:r>
              <w:t>第二批</w:t>
            </w:r>
          </w:p>
        </w:tc>
        <w:tc>
          <w:tcPr>
            <w:tcW w:type="dxa" w:w="3400"/>
          </w:tcPr>
          <w:p>
            <w:r>
              <w:t>同窗口各阶段实际输出</w:t>
            </w:r>
          </w:p>
        </w:tc>
        <w:tc>
          <w:tcPr>
            <w:tcW w:type="dxa" w:w="3400"/>
          </w:tcPr>
          <w:p>
            <w:r>
              <w:t>把局部图与递进变化关联</w:t>
            </w:r>
          </w:p>
        </w:tc>
      </w:tr>
      <w:tr>
        <w:tc>
          <w:tcPr>
            <w:tcW w:type="dxa" w:w="3400"/>
          </w:tcPr>
          <w:p>
            <w:r>
              <w:t>第二批</w:t>
            </w:r>
          </w:p>
        </w:tc>
        <w:tc>
          <w:tcPr>
            <w:tcW w:type="dxa" w:w="3400"/>
          </w:tcPr>
          <w:p>
            <w:r>
              <w:t>支持成员、Train软标签、事件、Top-K ID、分数与排除记录</w:t>
            </w:r>
          </w:p>
        </w:tc>
        <w:tc>
          <w:tcPr>
            <w:tcW w:type="dxa" w:w="3400"/>
          </w:tcPr>
          <w:p>
            <w:r>
              <w:t>填图10和检索指标，证明使用真实合格案例</w:t>
            </w:r>
          </w:p>
        </w:tc>
      </w:tr>
      <w:tr>
        <w:tc>
          <w:tcPr>
            <w:tcW w:type="dxa" w:w="3400"/>
          </w:tcPr>
          <w:p>
            <w:r>
              <w:t>第三批</w:t>
            </w:r>
          </w:p>
        </w:tc>
        <w:tc>
          <w:tcPr>
            <w:tcW w:type="dxa" w:w="3400"/>
          </w:tcPr>
          <w:p>
            <w:r>
              <w:t>种子、预算、Val选型、Test访问、运行资源记录</w:t>
            </w:r>
          </w:p>
        </w:tc>
        <w:tc>
          <w:tcPr>
            <w:tcW w:type="dxa" w:w="3400"/>
          </w:tcPr>
          <w:p>
            <w:r>
              <w:t>稳定性与成本、避免重复Test选型</w:t>
            </w:r>
          </w:p>
        </w:tc>
      </w:tr>
    </w:tbl>
    <w:p>
      <w:r>
        <w:t>先提供已存在的小JSON和清单即可，不需要先上传大权重或重训。数组标签在服务器可统计后回传计数。表5救回/误改相对同次前向MPF；三幅局部图表S4相对DamageFormer，分别注明参照。</w:t>
      </w:r>
    </w:p>
    <w:p>
      <w:pPr>
        <w:pStyle w:val="Heading1"/>
      </w:pPr>
      <w:r>
        <w:t>6. 40篇文献怎样核验</w:t>
      </w:r>
    </w:p>
    <w:p>
      <w:r>
        <w:t>正文40篇全部被引用，题名唯一，没有新闻稿，没有将同一论文预印本和会议版重复计数。8篇取得全文或作者PDF/既有出版社文本提取，32篇主要核对作者/机构书目和学术引用记录；不能称40篇全部阅读全文。</w:t>
      </w:r>
    </w:p>
    <w:p>
      <w:r>
        <w:t>references_40_audit.xlsx逐条列出作者、年、刊会、已核卷页/DOI、论文入口、代码入口、核验等级、来源和未确认字段。references_40.bib可导入文献软件，references_40.json保留来源路径和SHA。出版社/Crossref等部分接口本轮受限，未确认卷页/DOI不补造。Attention采用核实的arXiv学术论文版本；SPAM的BMVC归属以作者书目核对，不伪称读取会议全文。SRAC会议目录和新闻不计入这40篇；若取得正式全文，后续可补入相近工作，但须相应调整总数和引用编号。</w:t>
      </w:r>
    </w:p>
    <w:p>
      <w:pPr>
        <w:pStyle w:val="Heading1"/>
      </w:pPr>
      <w:r>
        <w:t>7. 文件使用</w:t>
      </w:r>
    </w:p>
    <w:p>
      <w:r>
        <w:t>paper_results_ref40_revision.docx：直接继续编辑的论文；PDF用于先看排版。</w:t>
      </w:r>
    </w:p>
    <w:p>
      <w:r>
        <w:t>results_and_pending_tables.xlsx：正文表格同版数据与空表，空白不等于0。</w:t>
      </w:r>
    </w:p>
    <w:p>
      <w:r>
        <w:t>figures_editable.pptx及figures/：12页图件、单图PNG/PDF。对应说明见figure_manifest.md。</w:t>
      </w:r>
    </w:p>
    <w:p>
      <w:r>
        <w:t>result_section_and_captions.md：可复制的结果部分及图表说明文本。</w:t>
      </w:r>
    </w:p>
    <w:p>
      <w:r>
        <w:t>references_40_audit.xlsx / .bib / .json：文献核验与导入。</w:t>
      </w:r>
    </w:p>
    <w:p>
      <w:r>
        <w:t>validation.json / evidence_notes/：公式、图片和数值来源检查。</w:t>
      </w:r>
    </w:p>
    <w:p>
      <w:r>
        <w:t>本轮是依据现有资料完成的可继续填数修订稿。真实新实验完成后，应删去不再需要的“待核/待填”编辑提示，再形成投稿版本。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