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论文3逻辑图表与证据修订清单"/>
    <w:p>
      <w:pPr>
        <w:pStyle w:val="Title"/>
      </w:pPr>
      <w:r>
        <w:t xml:space="preserve">《论文3》逻辑、图表与证据修订清单</w:t>
      </w:r>
    </w:p>
    <w:p>
      <w:pPr>
        <w:pStyle w:val="FirstParagraph"/>
      </w:pPr>
      <w:r>
        <w:t xml:space="preserve">审读日期：2026-10-18。本文根据原文文字、13张内嵌图片（实际编号图1—图10）和当前</w:t>
      </w:r>
      <w:r>
        <w:t xml:space="preserve"> </w:t>
      </w:r>
      <w:r>
        <w:rPr>
          <w:rStyle w:val="VerbatimChar"/>
        </w:rPr>
        <w:t xml:space="preserve">joint_anchor_fresh_chain_v2</w:t>
      </w:r>
      <w:r>
        <w:t xml:space="preserve"> </w:t>
      </w:r>
      <w:r>
        <w:t xml:space="preserve">中嵌入的模型代码核对。仅提供编辑建议，不修改原始DOCX，不重画图。当前代码路径只用于实现核对，不代表已通过完整服务器训练与评估。</w:t>
      </w:r>
    </w:p>
    <w:bookmarkStart w:id="20" w:name="最重要的判断需要更换论证主线而不只是改几个模型名称"/>
    <w:p>
      <w:pPr>
        <w:pStyle w:val="Heading2"/>
      </w:pPr>
      <w:r>
        <w:t xml:space="preserve">1. 最重要的判断：需要更换论证主线，而不只是改几个模型名称</w:t>
      </w:r>
    </w:p>
    <w:p>
      <w:pPr>
        <w:pStyle w:val="FirstParagraph"/>
      </w:pPr>
      <w:r>
        <w:t xml:space="preserve">《论文3》当前叙述的是“建筑概率进入Q相容项 → B/b(Q)/H(Q)条件Adapter → 跨事件监督投影选择Top-8 → 单区域Reader → 像素联合头”。新实验的核心是“固定既有Q及像素前端 → 在Q内部形成两个概率加权槽 → 父区域Key选择Top-64父案例 → 读取两个槽及其匹配软标签 → 对应权重回投并加权合并 → 在grid_probq上学习残差修正”。此外，正在验证的基线KL约束属于训练方案候选。当前fresh链实际训练的是D的共同500步前缀，再分为control/anchor两支继续至1500步；它不是新A/B/C/D四组同时重跑。</w:t>
      </w:r>
    </w:p>
    <w:p>
      <w:pPr>
        <w:pStyle w:val="BodyText"/>
      </w:pPr>
      <w:r>
        <w:t xml:space="preserve">二者有关联，但不是同一实现，不能只把Top-8改成Top-64后继续沿用方法、创新和结果解释。原稿仍可保留任务背景、BRIGHT数据说明、部分相关工作、像素路径保留和严格对照的讨论；方法的主干、图1—图3、表4—表7及结论需要重写。</w:t>
      </w:r>
    </w:p>
    <w:p>
      <w:pPr>
        <w:pStyle w:val="BodyText"/>
      </w:pPr>
      <w:r>
        <w:t xml:space="preserve">尤其需要区分三层状态：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代码存在</w:t>
      </w:r>
      <w:r>
        <w:t xml:space="preserve">：已经实现某模块或训练目标。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数值执行通过</w:t>
      </w:r>
      <w:r>
        <w:t xml:space="preserve">：真实数据前向、梯度、完整验证以及最终检查完成。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论文结论成立</w:t>
      </w:r>
      <w:r>
        <w:t xml:space="preserve">：匹配对照和重复种子支持提出的科学主张。</w:t>
      </w:r>
    </w:p>
    <w:p>
      <w:pPr>
        <w:pStyle w:val="FirstParagraph"/>
      </w:pPr>
      <w:r>
        <w:t xml:space="preserve">当前新链已经重建Train成员、进行前500步训练，但在Val第323张图发生路由校验失败；单图重放随后通过，根因尚未确认。因此不能把当前新链写成已完成KL收益验证。此前旧四组末步D低于同轮grid_probq，也不能以500步最佳值替代预定5000步终点。</w:t>
      </w:r>
    </w:p>
    <w:bookmarkEnd w:id="20"/>
    <w:bookmarkStart w:id="21" w:name="新论文可以组织成怎样的三点贡献"/>
    <w:p>
      <w:pPr>
        <w:pStyle w:val="Heading2"/>
      </w:pPr>
      <w:r>
        <w:t xml:space="preserve">2. 新论文可以组织成怎样的三点贡献</w:t>
      </w:r>
    </w:p>
    <w:p>
      <w:pPr>
        <w:pStyle w:val="FirstParagraph"/>
      </w:pPr>
      <w:r>
        <w:t xml:space="preserve">建议把三点写成</w:t>
      </w:r>
      <w:r>
        <w:rPr>
          <w:b/>
          <w:bCs/>
        </w:rPr>
        <w:t xml:space="preserve">三个相互衔接、可分别验证的设计</w:t>
      </w:r>
      <w:r>
        <w:t xml:space="preserve">，而非声称三项基础算子均为原创。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固定父区域内的建筑概率双槽证据组织。</w:t>
      </w:r>
      <w:r>
        <w:t xml:space="preserve"> </w:t>
      </w:r>
      <w:r>
        <w:t xml:space="preserve">对原Q采用互补权重Q×B和Q×(1−B)，同时保留父区域与像素信息；槽的特征、标签和回投对应同一权重。问题是混合区域的内容能否更清楚地参与损毁判别，不能宣称生成了建筑实例内部超像素。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父区域选择、双槽读取的训练案例联合判别。</w:t>
      </w:r>
      <w:r>
        <w:t xml:space="preserve"> </w:t>
      </w:r>
      <w:r>
        <w:t xml:space="preserve">以固定父Key选取历史案例，以两个角色槽的特征、父上下文、质量比例和Train软标签构造Reader输入；将查询端双槽的读取结果按其自身权重回投。需要证明历史案例具有图内参考之外的增量，而不仅是增加了注意力参数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以既有区域概率为参照的残差联合学习与改判诊断。</w:t>
      </w:r>
      <w:r>
        <w:t xml:space="preserve"> </w:t>
      </w:r>
      <w:r>
        <w:t xml:space="preserve">将grid_probq作为明确基础输出，研究KL输出锚定能否减少不必要误改，联合检查救回、误改和等级混淆。KL公式属于已有知识蒸馏/正则化范式，创新应落在该建筑损毁证据结构中的约束对象与验证，不应把KL本身写成新损失。</w:t>
      </w:r>
    </w:p>
    <w:p>
      <w:pPr>
        <w:pStyle w:val="FirstParagraph"/>
      </w:pPr>
      <w:r>
        <w:t xml:space="preserve">第三点目前应写成“研究并验证”的候选设计；如实验不支持KL，则从最终方法贡献删除，转为实验分析或负结果。此时第三贡献可表述为“建立槽信息互补、案例有效覆盖与输出误改的机制评估”，但应坦诚它是实验方法贡献，不伪装为第三个网络模块。</w:t>
      </w:r>
    </w:p>
    <w:p>
      <w:pPr>
        <w:pStyle w:val="BodyText"/>
      </w:pPr>
      <w:r>
        <w:rPr>
          <w:b/>
          <w:bCs/>
        </w:rPr>
        <w:t xml:space="preserve">创新强度判断：</w:t>
      </w:r>
      <w:r>
        <w:t xml:space="preserve"> </w:t>
      </w:r>
      <w:r>
        <w:t xml:space="preserve">这属于面向任务的信息组织与联合推断设计，存在合理的组合创新空间；单独软加权池化、双槽、交叉注意力、记忆库、KL、零初始化残差都已有大量先例。更强的论文必须展示这些组件的特定耦合为何必要，以及相对简单替代方案的可重复收益。不能用“首次融合超像素与Memory”或机械更名来提升创新等级；也不能用一个百分数描述“原创程度”。</w:t>
      </w:r>
    </w:p>
    <w:bookmarkEnd w:id="21"/>
    <w:bookmarkStart w:id="22" w:name="逐节修改建议"/>
    <w:p>
      <w:pPr>
        <w:pStyle w:val="Heading2"/>
      </w:pPr>
      <w:r>
        <w:t xml:space="preserve">3. 逐节修改建议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原位置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当前主要问题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建议的改写方向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标题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结构条件区域编码与跨事件检索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容易暗示新Q/监督排序仍是主方法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使用“建筑概率双槽区域表征与历史案例联合判别”，或“基于双槽区域证据与历史案例的光学—SAR建筑损毁评估”；KL未证实前不放标题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摘要 P0001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用旧69.64%、+2.55、54.04支撑另一套新结构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写清当前soft是在固定Q之后分流，不重分Q；写父Key选择与双槽标签读取；结果留待当前同源正式Test，旧数值不得迁移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引言 P0006—9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三个问题是“成员—结构Adapter—监督排序”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改为“混合区域证据难分辨—历史案例信息难有效利用—联合修正可能误伤基线”。先事实、再缺口、最后设计；不要把模型退化写成已证明由混合或背景引起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相关工作II-B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大量讨论建筑概率新相容项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保留SLIC/SSN/SpixelFCN作为区域关联基础，加入软分组/区域token/统计汇总；说明当前复用Q，贡献是Q内部内容组织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相关工作II-C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将B/b(Q)/H(Q)Adapter当新贡献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移为继承前端背景（若冻结前端确实含它），主比较改为普通双槽容量、预测概率分槽、像素与区域并行路径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相关工作II-D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SupCon投影、Top8及可学习补位支持与当前实现不符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改为训练实例Memory、父Key检索与Reader，区分原型、EMA特征字典、检索增强分类；明确跨事件排除不等于跨事件监督排序或未见事件泛化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III-A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输入定义可保留，模块定义不对应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定义冻结F256、B、Q、父T128、p_grid；给出哪些参数可训练，Train支持库怎样构造，原始像素与父区旁路如何进入联合头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III-B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详写新B→Q相容和Q学习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压缩为来源可追溯的冻结父区域；新增双槽权重、质量、均值、有效性公式；说明B来自预测而非GT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III-C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条件Adapter公式不对应本轮新增模块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改为双槽编码：槽F256、父T128、角色embedding、质量比例embedding。不要将父T128复制后称为两个独立提取的子T128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III-D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监督投影、K=8、按每组64等旧库规则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改为当前新成员选择规则、归一化父T128余弦Top64、合法候选约束。库容量/来源数用新manifest，不能沿用旧1184来源图或宣称成员身份不变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III-E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可学习空槽、事件灾种embedding、单一T回投和线性读出不一致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改为无效支持掩码、两槽查询对全部入选支持槽交叉注意力、对应路由回投、MLP/1×1 Conv联合头、log p_grid加残差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III-F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区域前端训练—投影拟合—联合读出四步不对应当前fresh链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描述“验证既有A1/Q→Train-only父库→双槽内容→共同初始训练→匹配控制/锚定分支”。旧前端训练放前端来源或附录；不能写本轮重新训练Q或监督Key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IV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旧总表和图被当作新方案证据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分为同源总体结果、2×2结构因子、训练约束对照、槽内容机制、案例检索与依赖、事件与失败分析、资源成本。所有新数字绑定代码/权重/数据名单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V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宣布完整系统已取得旧成绩和普遍等级收益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只总结真正完成的匹配实验。若末步无整体收益，应明确“相对同容量参考有正向信号，但尚未稳定超越冻结概率共享基线”</w:t>
            </w:r>
          </w:p>
        </w:tc>
      </w:tr>
    </w:tbl>
    <w:p>
      <w:pPr>
        <w:pStyle w:val="BodyText"/>
      </w:pPr>
      <w:r>
        <w:t xml:space="preserve">原文多处“本次文字修订未重跑”</w:t>
      </w:r>
      <w:r>
        <w:t xml:space="preserve">“</w:t>
      </w:r>
      <w:r>
        <w:t xml:space="preserve">最新图实际4列</w:t>
      </w:r>
      <w:r>
        <w:t xml:space="preserve">”</w:t>
      </w:r>
      <w:r>
        <w:t xml:space="preserve">“</w:t>
      </w:r>
      <w:r>
        <w:t xml:space="preserve">作者确认</w:t>
      </w:r>
      <w:r>
        <w:t xml:space="preserve">”</w:t>
      </w:r>
      <w:r>
        <w:t xml:space="preserve">“</w:t>
      </w:r>
      <w:r>
        <w:t xml:space="preserve">提供的报告</w:t>
      </w:r>
      <w:r>
        <w:t xml:space="preserve">”</w:t>
      </w:r>
      <w:r>
        <w:t xml:space="preserve">等编辑过程说明不宜留在正式论文正文。移到内部核对说明或补充材料的来源表；正文只写最终可核查实验与方法。</w:t>
      </w:r>
    </w:p>
    <w:bookmarkEnd w:id="22"/>
    <w:bookmarkStart w:id="26" w:name="当前模型应在文字和图中明确的计算事实"/>
    <w:p>
      <w:pPr>
        <w:pStyle w:val="Heading2"/>
      </w:pPr>
      <w:r>
        <w:t xml:space="preserve">4. 当前模型应在文字和图中明确的计算事实</w:t>
      </w:r>
    </w:p>
    <w:bookmarkStart w:id="23" w:name="双槽的几何和标签对应"/>
    <w:p>
      <w:pPr>
        <w:pStyle w:val="Heading3"/>
      </w:pPr>
      <w:r>
        <w:t xml:space="preserve">4.1 双槽的几何和标签对应</w:t>
      </w:r>
    </w:p>
    <w:p>
      <w:pPr>
        <w:pStyle w:val="FirstParagraph"/>
      </w:pPr>
      <w:r>
        <w:t xml:space="preserve">对像素i和父区域r：</w:t>
      </w:r>
    </w:p>
    <w:p>
      <w:pPr>
        <w:pStyle w:val="Compact"/>
        <w:numPr>
          <w:ilvl w:val="0"/>
          <w:numId w:val="1003"/>
        </w:numPr>
      </w:pPr>
      <w:r>
        <w:t xml:space="preserve">偏背景槽权重：w_ir^0 = Q_ir(1−B_i)。</w:t>
      </w:r>
    </w:p>
    <w:p>
      <w:pPr>
        <w:pStyle w:val="Compact"/>
        <w:numPr>
          <w:ilvl w:val="0"/>
          <w:numId w:val="1003"/>
        </w:numPr>
      </w:pPr>
      <w:r>
        <w:t xml:space="preserve">偏建筑槽权重：w_ir^1 = Q_ir B_i。</w:t>
      </w:r>
    </w:p>
    <w:p>
      <w:pPr>
        <w:pStyle w:val="Compact"/>
        <w:numPr>
          <w:ilvl w:val="0"/>
          <w:numId w:val="1003"/>
        </w:numPr>
      </w:pPr>
      <w:r>
        <w:t xml:space="preserve">w_ir^0 + w_ir^1 = Q_ir；两个槽合计不改变父区域分配总质量。</w:t>
      </w:r>
    </w:p>
    <w:p>
      <w:pPr>
        <w:pStyle w:val="Compact"/>
        <w:numPr>
          <w:ilvl w:val="0"/>
          <w:numId w:val="1003"/>
        </w:numPr>
      </w:pPr>
      <w:r>
        <w:t xml:space="preserve">槽均值在槽内按各自质量归一化；回投使用原分流权重，而不是归一化池化权重或对两个槽各完整用一遍Q。</w:t>
      </w:r>
    </w:p>
    <w:p>
      <w:pPr>
        <w:pStyle w:val="Compact"/>
        <w:numPr>
          <w:ilvl w:val="0"/>
          <w:numId w:val="1003"/>
        </w:numPr>
      </w:pPr>
      <w:r>
        <w:t xml:space="preserve">Train槽软标签与槽特征使用相同权重；不能直接复制父标签给两个槽。</w:t>
      </w:r>
    </w:p>
    <w:p>
      <w:pPr>
        <w:pStyle w:val="Compact"/>
        <w:numPr>
          <w:ilvl w:val="0"/>
          <w:numId w:val="1003"/>
        </w:numPr>
      </w:pPr>
      <w:r>
        <w:t xml:space="preserve">背景槽表示偏低建筑概率的信息角色，仍允许包含真实建筑和Damaged证据。</w:t>
      </w:r>
    </w:p>
    <w:p>
      <w:pPr>
        <w:pStyle w:val="FirstParagraph"/>
      </w:pPr>
      <w:r>
        <w:t xml:space="preserve">当前固定Q意味着“区域内部组织变化”，不能画出建筑概率把原区域切成独立实例，也不能画硬阈值删去背景区域。相似的两个槽不一定有故障；纯区域的B近似恒定时，归一化均值本来就可能相同。诊断应按混合区域、建筑边缘、内部和低B真建筑分层。</w:t>
      </w:r>
    </w:p>
    <w:bookmarkEnd w:id="23"/>
    <w:bookmarkStart w:id="24" w:name="当前是先父key检索再双槽reader"/>
    <w:p>
      <w:pPr>
        <w:pStyle w:val="Heading3"/>
      </w:pPr>
      <w:r>
        <w:t xml:space="preserve">4.2 当前是先父Key检索，再双槽Reader</w:t>
      </w:r>
    </w:p>
    <w:p>
      <w:pPr>
        <w:pStyle w:val="FirstParagraph"/>
      </w:pPr>
      <w:r>
        <w:t xml:space="preserve">当前新库按Train事件与主类别做稳定优先级选样，代码上限为3411个父案例、每图每主类至多2条，事件×类别配额为ceil(3411/(4×事件数))，最后再受总容量截断；这些是预算而非保证每组样本数相等，实际来源数和支持数取manifest。当前Key是父区域T128（可有F256对照），并非训练中的槽Key或监督度量投影。Top64代表64个父案例，最多展开128个有效支持槽。每个查询槽可以读取全部这些支持槽，不是只能建筑槽读建筑槽、背景槽读背景槽。事件/图像ID用于资格筛选与审计，当前model.py没有独立事件/灾种embedding进入Reader。</w:t>
      </w:r>
    </w:p>
    <w:p>
      <w:pPr>
        <w:pStyle w:val="BodyText"/>
      </w:pPr>
      <w:r>
        <w:t xml:space="preserve">当前模型只对无效槽和补位支持做掩码；没有“Memory接受/拒绝门”。空支持时上下文为零，并不是原稿中的可学习支持槽补位。注意力只说明读取权重，不保证检索案例真实相关；需用类别软标签、独立来源和反事实干预共同检验。</w:t>
      </w:r>
    </w:p>
    <w:bookmarkEnd w:id="24"/>
    <w:bookmarkStart w:id="25" w:name="回投与输出"/>
    <w:p>
      <w:pPr>
        <w:pStyle w:val="Heading3"/>
      </w:pPr>
      <w:r>
        <w:t xml:space="preserve">4.3 回投与输出</w:t>
      </w:r>
    </w:p>
    <w:p>
      <w:pPr>
        <w:pStyle w:val="FirstParagraph"/>
      </w:pPr>
      <w:r>
        <w:t xml:space="preserve">当前slot_grid = Σ_ir,s w_ir^s e_r^s；memory_grid = Σ_ir,s w_ir^s c_r^s。两槽在各自加权回投过程中汇总成一张槽上下文图和一张Memory上下文图。不能把图画成两个独立128维槽图一路拼接到分类头，除非之后确实实现并验证该候选。</w:t>
      </w:r>
    </w:p>
    <w:p>
      <w:pPr>
        <w:pStyle w:val="BodyText"/>
      </w:pPr>
      <w:r>
        <w:t xml:space="preserve">分类头输入是投影后的像素、原父区域回投、槽回投、Memory回投以及grid_probq，输出四类残差。最终：z = log(max(p_grid,ε)) + Δz，p_joint = softmax(z)。零初始化的是残差头最后一层，不是保证每一步都不降低性能的门控。</w:t>
      </w:r>
    </w:p>
    <w:p>
      <w:pPr>
        <w:pStyle w:val="BodyText"/>
      </w:pPr>
      <w:r>
        <w:t xml:space="preserve">KL候选目标：L = L_NLL + L_Lovasz + λ KL(stopgrad(p_grid) || p_joint)。实现为所有有效像素（包括背景）内平均，再按图像平均，训练直接用student logits做log_softmax。没有以真值判断教师是否正确来选训练位置；GT类别和teacher-correct统计只用于诊断。图中KL虚线只能指向训练损失，不应画成推理时替换错误预测的开关。</w:t>
      </w:r>
    </w:p>
    <w:bookmarkEnd w:id="25"/>
    <w:bookmarkEnd w:id="26"/>
    <w:bookmarkStart w:id="37" w:name="逐图修改清单不重画"/>
    <w:p>
      <w:pPr>
        <w:pStyle w:val="Heading2"/>
      </w:pPr>
      <w:r>
        <w:t xml:space="preserve">5. 逐图修改清单（不重画）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实际编号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内嵌文件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处理优先级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图1 总体框架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image1.png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必须重新组织模块与箭头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图2 区域生成/编码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image2.png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重点内容改为双槽分流与一致汇总/回投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图3 Memory和联合预测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image3.png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Top64、双槽读取、掩码和残差头均需修改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图4 数据事件地图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image4.png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可保留并规范来源/协议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图5(a)(b)(c)+图例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image5—8.png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固定裁窗可沿用，Ours预测须绑定新模型重新导出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图6 能登案例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image9.png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裁窗可保留，模型列与机制结论重做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图7 土耳其案例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image10.png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同上，重点等级误改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图8 缅甸案例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image11.png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同上，保留失败现象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图9 类别指标柱图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image12.png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旧数值不得作为新结果；待新表后重绘</w:t>
            </w:r>
          </w:p>
        </w:tc>
      </w:tr>
      <w:tr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图10 逐事件差值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image13.png</w:t>
            </w:r>
          </w:p>
        </w:tc>
        <w:tc>
          <w:tcPr/>
          <w:p>
            <w:pPr>
              <w:pStyle w:val="Compact"/>
              <w:spacing w:after="60"/>
              <w:jc w:val="left"/>
            </w:pPr>
            <w:r>
              <w:rPr>
                <w:sz w:val="18"/>
              </w:rPr>
              <w:t xml:space="preserve">同上，补新基线/事件定义和波动</w:t>
            </w:r>
          </w:p>
        </w:tc>
      </w:tr>
    </w:tbl>
    <w:bookmarkStart w:id="27" w:name="图1总体框架"/>
    <w:p>
      <w:pPr>
        <w:pStyle w:val="Heading3"/>
      </w:pPr>
      <w:r>
        <w:t xml:space="preserve">图1：总体框架</w:t>
      </w:r>
    </w:p>
    <w:p>
      <w:pPr>
        <w:pStyle w:val="FirstParagraph"/>
      </w:pPr>
      <w:r>
        <w:t xml:space="preserve">可保留：左侧灾前RGB与灾后SAR输入、双分支冻结前端、Train-only离线库的大框、像素直通分类器的思想。</w:t>
      </w:r>
    </w:p>
    <w:p>
      <w:pPr>
        <w:pStyle w:val="BodyText"/>
      </w:pPr>
      <w:r>
        <w:t xml:space="preserve">必须改：</w:t>
      </w:r>
    </w:p>
    <w:p>
      <w:pPr>
        <w:pStyle w:val="Compact"/>
        <w:numPr>
          <w:ilvl w:val="0"/>
          <w:numId w:val="1004"/>
        </w:numPr>
      </w:pPr>
      <w:r>
        <w:t xml:space="preserve">在Frozen MPF之后把Q、B、F、T及p_grid标清。</w:t>
      </w:r>
      <w:r>
        <w:t xml:space="preserve">“</w:t>
      </w:r>
      <w:r>
        <w:t xml:space="preserve">Region encoding</w:t>
      </w:r>
      <w:r>
        <w:t xml:space="preserve">”</w:t>
      </w:r>
      <w:r>
        <w:t xml:space="preserve">中的RGB-guided assignment与Structure adapter若属于既有来源，应并入灰色冻结父前端，不再突出为本轮新训练模块。</w:t>
      </w:r>
    </w:p>
    <w:p>
      <w:pPr>
        <w:pStyle w:val="Compact"/>
        <w:numPr>
          <w:ilvl w:val="0"/>
          <w:numId w:val="1004"/>
        </w:numPr>
      </w:pPr>
      <w:r>
        <w:t xml:space="preserve">在Q之后新增“两槽内容汇总”，两条箭头分别标Q×(1−B)、Q×B；父T128另有旁路进入槽编码和父区域回投。</w:t>
      </w:r>
    </w:p>
    <w:p>
      <w:pPr>
        <w:pStyle w:val="Compact"/>
        <w:numPr>
          <w:ilvl w:val="0"/>
          <w:numId w:val="1004"/>
        </w:numPr>
      </w:pPr>
      <w:r>
        <w:t xml:space="preserve">Train Label pool改为两个槽的同权重标签汇总；示意记录应包含两个特征格和两份四类软标签。</w:t>
      </w:r>
    </w:p>
    <w:p>
      <w:pPr>
        <w:pStyle w:val="Compact"/>
        <w:numPr>
          <w:ilvl w:val="0"/>
          <w:numId w:val="1004"/>
        </w:numPr>
      </w:pPr>
      <w:r>
        <w:t xml:space="preserve">Top-8改为“父Key Top-64（固定）”，再接“按父ID取两个槽”。检索与Reader画成独立步骤。</w:t>
      </w:r>
    </w:p>
    <w:p>
      <w:pPr>
        <w:pStyle w:val="Compact"/>
        <w:numPr>
          <w:ilvl w:val="0"/>
          <w:numId w:val="1004"/>
        </w:numPr>
      </w:pPr>
      <w:r>
        <w:t xml:space="preserve">Reader输出标成两槽上下文，以对应分流权重回投；加权合并处显式画求和。像素、父区、槽、Memory与p_grid的输入全部补齐。</w:t>
      </w:r>
    </w:p>
    <w:p>
      <w:pPr>
        <w:pStyle w:val="Compact"/>
        <w:numPr>
          <w:ilvl w:val="0"/>
          <w:numId w:val="1004"/>
        </w:numPr>
      </w:pPr>
      <w:r>
        <w:t xml:space="preserve">删除 z=W_pF+W_cC+b 的线性式；改为log p_grid + Δz。p_grid有两条作用箭头：联合头输入、最终残差参照。</w:t>
      </w:r>
    </w:p>
    <w:p>
      <w:pPr>
        <w:pStyle w:val="Compact"/>
        <w:numPr>
          <w:ilvl w:val="0"/>
          <w:numId w:val="1004"/>
        </w:numPr>
      </w:pPr>
      <w:r>
        <w:t xml:space="preserve">若最终论文包含KL，图边缘另放训练专用虚线框“KL(p_grid || p_joint)”及stop-gradient，不能作为已证实收益模块着色。</w:t>
      </w:r>
    </w:p>
    <w:p>
      <w:pPr>
        <w:pStyle w:val="FirstParagraph"/>
      </w:pPr>
      <w:r>
        <w:t xml:space="preserve">建议图注：</w:t>
      </w:r>
      <w:r>
        <w:t xml:space="preserve">“</w:t>
      </w:r>
      <w:r>
        <w:t xml:space="preserve">冻结多模态像素前端和父区域Q产生建筑概率、像素特征及父区域表示；预测建筑概率在父区域内部形成互补双槽。历史支持仅来自Train，按父Key选取案例后读取其双槽特征与相应软标签。父区、槽和Memory上下文回投后与像素信息共同预测相对grid_probq的四类残差。虚线表示训练期约束。</w:t>
      </w:r>
      <w:r>
        <w:t xml:space="preserve">”</w:t>
      </w:r>
    </w:p>
    <w:bookmarkEnd w:id="27"/>
    <w:bookmarkStart w:id="28" w:name="图2双槽组织与一致性"/>
    <w:p>
      <w:pPr>
        <w:pStyle w:val="Heading3"/>
      </w:pPr>
      <w:r>
        <w:t xml:space="preserve">图2：双槽组织与一致性</w:t>
      </w:r>
    </w:p>
    <w:p>
      <w:pPr>
        <w:pStyle w:val="FirstParagraph"/>
      </w:pPr>
      <w:r>
        <w:t xml:space="preserve">现图左半部是Affinity/Distance/B prior进入Assignment update再迭代3次，右半部是B、b(Q)、H(Q)进入Adapter。这两块不能充当当前双槽算法图。</w:t>
      </w:r>
    </w:p>
    <w:p>
      <w:pPr>
        <w:pStyle w:val="BodyText"/>
      </w:pPr>
      <w:r>
        <w:t xml:space="preserve">建议保留“一个像素关联最多9个父区域”的小示意作为背景，但加“固定父Q”。主体改为：</w:t>
      </w:r>
    </w:p>
    <w:p>
      <w:pPr>
        <w:pStyle w:val="Compact"/>
        <w:numPr>
          <w:ilvl w:val="0"/>
          <w:numId w:val="1005"/>
        </w:numPr>
      </w:pPr>
      <w:r>
        <w:t xml:space="preserve">原Q和B进入互补分流；显示同一区域内两个权重热图，而非画两个互不重叠实例。</w:t>
      </w:r>
    </w:p>
    <w:p>
      <w:pPr>
        <w:pStyle w:val="Compact"/>
        <w:numPr>
          <w:ilvl w:val="0"/>
          <w:numId w:val="1005"/>
        </w:numPr>
      </w:pPr>
      <w:r>
        <w:t xml:space="preserve">各路分别画ΣwF/Σw、槽质量m、父质量比例m/m_parent、有效槽标志。</w:t>
      </w:r>
    </w:p>
    <w:p>
      <w:pPr>
        <w:pStyle w:val="Compact"/>
        <w:numPr>
          <w:ilvl w:val="0"/>
          <w:numId w:val="1005"/>
        </w:numPr>
      </w:pPr>
      <w:r>
        <w:t xml:space="preserve">支持端旁边画ΣwY/Σw与上述同一权重；Y仅在Train库侧。</w:t>
      </w:r>
    </w:p>
    <w:p>
      <w:pPr>
        <w:pStyle w:val="Compact"/>
        <w:numPr>
          <w:ilvl w:val="0"/>
          <w:numId w:val="1005"/>
        </w:numPr>
      </w:pPr>
      <w:r>
        <w:t xml:space="preserve">槽编码框显示F256 projection + parent T128 projection + role embedding + fraction embedding → LN/GELU。</w:t>
      </w:r>
    </w:p>
    <w:p>
      <w:pPr>
        <w:pStyle w:val="Compact"/>
        <w:numPr>
          <w:ilvl w:val="0"/>
          <w:numId w:val="1005"/>
        </w:numPr>
      </w:pPr>
      <w:r>
        <w:t xml:space="preserve">输出槽0和槽1；旁注“角色不限制四类标签”。</w:t>
      </w:r>
    </w:p>
    <w:p>
      <w:pPr>
        <w:pStyle w:val="Compact"/>
        <w:numPr>
          <w:ilvl w:val="0"/>
          <w:numId w:val="1005"/>
        </w:numPr>
      </w:pPr>
      <w:r>
        <w:t xml:space="preserve">在角落用 w</w:t>
      </w:r>
      <w:r>
        <w:rPr>
          <w:vertAlign w:val="superscript"/>
        </w:rPr>
        <w:t xml:space="preserve">0+w</w:t>
      </w:r>
      <w:r>
        <w:t xml:space="preserve">1=Q 表示质量守恒，并标注空槽掩码。不要把保证标签纯度、连通性或建筑实例身份的符号画进去。</w:t>
      </w:r>
    </w:p>
    <w:p>
      <w:pPr>
        <w:pStyle w:val="FirstParagraph"/>
      </w:pPr>
      <w:r>
        <w:t xml:space="preserve">若希望保留原Q细节图，放附录“继承父区域生成器”并说明其来源和冻结状态。新图标题应改为“固定父区域内的建筑概率双槽组织”。</w:t>
      </w:r>
    </w:p>
    <w:bookmarkEnd w:id="28"/>
    <w:bookmarkStart w:id="29" w:name="图3案例选择读取与联合输出"/>
    <w:p>
      <w:pPr>
        <w:pStyle w:val="Heading3"/>
      </w:pPr>
      <w:r>
        <w:t xml:space="preserve">图3：案例选择、读取与联合输出</w:t>
      </w:r>
    </w:p>
    <w:p>
      <w:pPr>
        <w:pStyle w:val="FirstParagraph"/>
      </w:pPr>
      <w:r>
        <w:t xml:space="preserve">原图最需修正的细节：</w:t>
      </w:r>
    </w:p>
    <w:p>
      <w:pPr>
        <w:pStyle w:val="Compact"/>
        <w:numPr>
          <w:ilvl w:val="0"/>
          <w:numId w:val="1006"/>
        </w:numPr>
      </w:pPr>
      <w:r>
        <w:t xml:space="preserve">Top-8 cosine/metric改为固定父T128余弦Top64；没有实际监督投影时删除metric branch。</w:t>
      </w:r>
    </w:p>
    <w:p>
      <w:pPr>
        <w:pStyle w:val="Compact"/>
        <w:numPr>
          <w:ilvl w:val="0"/>
          <w:numId w:val="1006"/>
        </w:numPr>
      </w:pPr>
      <w:r>
        <w:t xml:space="preserve">每条bank row改为父ID、父Key/父T、两槽F、两槽π、两槽质量比例、valid与用于排除的source ID/event。不要把事件/灾种元数据都送入embedding箭头，因为当前模型没有这些模块。</w:t>
      </w:r>
    </w:p>
    <w:p>
      <w:pPr>
        <w:pStyle w:val="Compact"/>
        <w:numPr>
          <w:ilvl w:val="0"/>
          <w:numId w:val="1006"/>
        </w:numPr>
      </w:pPr>
      <w:r>
        <w:t xml:space="preserve">同图/同事件排除画在TopK之前；GT只在离线Train标签汇总，不画查询GT进入候选筛选。</w:t>
      </w:r>
    </w:p>
    <w:p>
      <w:pPr>
        <w:pStyle w:val="Compact"/>
        <w:numPr>
          <w:ilvl w:val="0"/>
          <w:numId w:val="1006"/>
        </w:numPr>
      </w:pPr>
      <w:r>
        <w:t xml:space="preserve">画两个查询槽，各自对最多128个支持槽计算attention；支持标签embedding进入V，K来自支持槽编码。</w:t>
      </w:r>
    </w:p>
    <w:p>
      <w:pPr>
        <w:pStyle w:val="Compact"/>
        <w:numPr>
          <w:ilvl w:val="0"/>
          <w:numId w:val="1006"/>
        </w:numPr>
      </w:pPr>
      <w:r>
        <w:t xml:space="preserve">删除“Missing support: learned slots”；改为“invalid/missing support mask; zero context if none”。</w:t>
      </w:r>
    </w:p>
    <w:p>
      <w:pPr>
        <w:pStyle w:val="Compact"/>
        <w:numPr>
          <w:ilvl w:val="0"/>
          <w:numId w:val="1006"/>
        </w:numPr>
      </w:pPr>
      <w:r>
        <w:t xml:space="preserve">Reader右侧不画单一T’后用Q直接回投；画两个读取结果按Q×(1−B)、Q×B回投后相加。父区表示仍使用原Q单独回投。</w:t>
      </w:r>
    </w:p>
    <w:p>
      <w:pPr>
        <w:pStyle w:val="Compact"/>
        <w:numPr>
          <w:ilvl w:val="0"/>
          <w:numId w:val="1006"/>
        </w:numPr>
      </w:pPr>
      <w:r>
        <w:t xml:space="preserve">分类头改为拼接输入与非线性残差头，最终log p_grid+Δz，不能保持两个线性支路Wp、Wc。</w:t>
      </w:r>
    </w:p>
    <w:p>
      <w:pPr>
        <w:pStyle w:val="FirstParagraph"/>
      </w:pPr>
      <w:r>
        <w:t xml:space="preserve">建议图注强调“64个父案例最多对应128个槽，但独立案例数仍为64；同一查询的两个槽共享父案例候选，并可分别注意任一有效支持槽”。</w:t>
      </w:r>
    </w:p>
    <w:bookmarkEnd w:id="29"/>
    <w:bookmarkStart w:id="30" w:name="图4bright事件分布与样例"/>
    <w:p>
      <w:pPr>
        <w:pStyle w:val="Heading3"/>
      </w:pPr>
      <w:r>
        <w:t xml:space="preserve">图4：BRIGHT事件分布与样例</w:t>
      </w:r>
    </w:p>
    <w:p>
      <w:pPr>
        <w:pStyle w:val="FirstParagraph"/>
      </w:pPr>
      <w:r>
        <w:t xml:space="preserve">可以保留。现图有14事件、7灾种、RGB/SAR小图，适合任务背景。需：</w:t>
      </w:r>
    </w:p>
    <w:p>
      <w:pPr>
        <w:pStyle w:val="Compact"/>
        <w:numPr>
          <w:ilvl w:val="0"/>
          <w:numId w:val="1007"/>
        </w:numPr>
      </w:pPr>
      <w:r>
        <w:t xml:space="preserve">标明来源、授权/许可证或重新制作的数据来源；不能借地图暗示本研究建立BRIGHT。</w:t>
      </w:r>
    </w:p>
    <w:p>
      <w:pPr>
        <w:pStyle w:val="Compact"/>
        <w:numPr>
          <w:ilvl w:val="0"/>
          <w:numId w:val="1007"/>
        </w:numPr>
      </w:pPr>
      <w:r>
        <w:t xml:space="preserve">标准ML与DFC25竞赛事件划分另列文本/表，不能把竞赛冠亚军数值与标准ML同图直接比较。</w:t>
      </w:r>
    </w:p>
    <w:p>
      <w:pPr>
        <w:pStyle w:val="Compact"/>
        <w:numPr>
          <w:ilvl w:val="0"/>
          <w:numId w:val="1007"/>
        </w:numPr>
      </w:pPr>
      <w:r>
        <w:t xml:space="preserve">地图事件名称与运行数据名单统一，例如Türkiye/Turkey、Marshall/Colorado、Kyaukpyu/Myanmar的对应。</w:t>
      </w:r>
    </w:p>
    <w:p>
      <w:pPr>
        <w:pStyle w:val="Compact"/>
        <w:numPr>
          <w:ilvl w:val="0"/>
          <w:numId w:val="1007"/>
        </w:numPr>
      </w:pPr>
      <w:r>
        <w:t xml:space="preserve">不需因为模型从Top8变Top64而修改地理位置。</w:t>
      </w:r>
    </w:p>
    <w:bookmarkEnd w:id="30"/>
    <w:bookmarkStart w:id="31" w:name="图518个定性裁窗3个子图"/>
    <w:p>
      <w:pPr>
        <w:pStyle w:val="Heading3"/>
      </w:pPr>
      <w:r>
        <w:t xml:space="preserve">图5：18个定性裁窗（3个子图）</w:t>
      </w:r>
    </w:p>
    <w:p>
      <w:pPr>
        <w:pStyle w:val="FirstParagraph"/>
      </w:pPr>
      <w:r>
        <w:t xml:space="preserve">布局可以继续用同窗、多模型、统一色表。当前末列Ours来自旧方案，不能只改列名。</w:t>
      </w:r>
    </w:p>
    <w:p>
      <w:pPr>
        <w:pStyle w:val="BodyText"/>
      </w:pPr>
      <w:r>
        <w:t xml:space="preserve">主文建议减少密集9列，突出：RGB、SAR、GT、grid_probq、B（soft图内参考）、D（soft Memory）、D+KL（若有效）、配对错误图；与众多公开基线的大图可置补充材料。两种用途可分开：整体基线比较图保留DamageFormer；机制图必须加入同源grid/B/D。</w:t>
      </w:r>
    </w:p>
    <w:p>
      <w:pPr>
        <w:pStyle w:val="BodyText"/>
      </w:pPr>
      <w:r>
        <w:t xml:space="preserve">每个窗口保存sample ID、split、x/y/w/h、原图分辨率、checkpoint hash。新结果未产出时保留框架和原始RGB/SAR/GT，但不能显示未生成的新预测。</w:t>
      </w:r>
      <w:r>
        <w:t xml:space="preserve">“</w:t>
      </w:r>
      <w:r>
        <w:t xml:space="preserve">Ours</w:t>
      </w:r>
      <w:r>
        <w:t xml:space="preserve">”</w:t>
      </w:r>
      <w:r>
        <w:t xml:space="preserve">只指最终锁定配置，不同时指旧Top8模型、新D和锚定候选。</w:t>
      </w:r>
    </w:p>
    <w:p>
      <w:pPr>
        <w:pStyle w:val="BodyText"/>
      </w:pPr>
      <w:r>
        <w:t xml:space="preserve">选择样例应涵盖正向、无效和负向，不只挑改进最大窗口。颜色更整齐不等于正确，GT匹配与错误转移才是判断依据。</w:t>
      </w:r>
    </w:p>
    <w:bookmarkEnd w:id="31"/>
    <w:bookmarkStart w:id="32" w:name="图6能登毁坏建筑被判完好"/>
    <w:p>
      <w:pPr>
        <w:pStyle w:val="Heading3"/>
      </w:pPr>
      <w:r>
        <w:t xml:space="preserve">图6：能登毁坏建筑被判完好</w:t>
      </w:r>
    </w:p>
    <w:p>
      <w:pPr>
        <w:pStyle w:val="FirstParagraph"/>
      </w:pPr>
      <w:r>
        <w:t xml:space="preserve">现图只有RGB/GT/DamageFormer/Ours及放大图，适合说明Destroyed→Intact。保留蓝框坐标和GT即可；新机制列增加grid/B/D，必要时D+KL。若从Test挑选过，则在新实验中只作固定展示，不继续据此改超参数。</w:t>
      </w:r>
    </w:p>
    <w:p>
      <w:pPr>
        <w:pStyle w:val="BodyText"/>
      </w:pPr>
      <w:r>
        <w:t xml:space="preserve">要检验Memory，增加这一查询的真实Top候选小窗、Train source/event、软标签与权重；没有真实读取记录时，不得用文字“历史案例补足毁坏证据”作确定解释。蓝框是人为裁窗，不能称网络关注区域。</w:t>
      </w:r>
    </w:p>
    <w:bookmarkEnd w:id="32"/>
    <w:bookmarkStart w:id="33" w:name="图7土耳其受损屋顶等级混杂"/>
    <w:p>
      <w:pPr>
        <w:pStyle w:val="Heading3"/>
      </w:pPr>
      <w:r>
        <w:t xml:space="preserve">图7：土耳其受损屋顶等级混杂</w:t>
      </w:r>
    </w:p>
    <w:p>
      <w:pPr>
        <w:pStyle w:val="FirstParagraph"/>
      </w:pPr>
      <w:r>
        <w:t xml:space="preserve">适合检查Damaged与Intact/Destroyed的取舍。除旧图四列外，新版应显示槽0/1权重、grid/B/D的相同屋顶。若显示槽热图，只能称贡献权重/占比；不能把attention等同损毁因果解释。</w:t>
      </w:r>
    </w:p>
    <w:p>
      <w:pPr>
        <w:pStyle w:val="BodyText"/>
      </w:pPr>
      <w:r>
        <w:t xml:space="preserve">保留图中残留红斑、绿孔与边界误差的分析，不写“完全恢复整栋受损”。针对KL可添基线错→对、对→错两类配对标记，尤其观察原正确Intact是否被改成Damaged。</w:t>
      </w:r>
    </w:p>
    <w:bookmarkEnd w:id="33"/>
    <w:bookmarkStart w:id="34" w:name="图8缅甸稀疏小建筑与误报"/>
    <w:p>
      <w:pPr>
        <w:pStyle w:val="Heading3"/>
      </w:pPr>
      <w:r>
        <w:t xml:space="preserve">图8：缅甸稀疏小建筑与误报</w:t>
      </w:r>
    </w:p>
    <w:p>
      <w:pPr>
        <w:pStyle w:val="FirstParagraph"/>
      </w:pPr>
      <w:r>
        <w:t xml:space="preserve">现图确实没有SAR列，说明中不能称它验证跨模态互补。可加入同窗SAR（如有可追溯原图），保留绿色误报作为失败案例。关注低B真建筑、两槽有效质量和小目标被抹除/扩张，不能只显示浅棕面积增大。</w:t>
      </w:r>
    </w:p>
    <w:p>
      <w:pPr>
        <w:pStyle w:val="BodyText"/>
      </w:pPr>
      <w:r>
        <w:t xml:space="preserve">该图很适合作为反例展示双槽并不保证挽救漏楼：若F在前端已被B衰减，低B槽可能没有额外原始SAR证据。应在文字中明确这个限制。</w:t>
      </w:r>
    </w:p>
    <w:bookmarkEnd w:id="34"/>
    <w:bookmarkStart w:id="35" w:name="图9类别iou与差值图"/>
    <w:p>
      <w:pPr>
        <w:pStyle w:val="Heading3"/>
      </w:pPr>
      <w:r>
        <w:t xml:space="preserve">图9：类别IoU与差值图</w:t>
      </w:r>
    </w:p>
    <w:p>
      <w:pPr>
        <w:pStyle w:val="FirstParagraph"/>
      </w:pPr>
      <w:r>
        <w:t xml:space="preserve">当前全部来自旧总表，内容与新实验不绑定。新主表未完成前，应标“历史版本示意，不属于新方法结果”并移出主结果，而不能把69.64改成期望成绩。</w:t>
      </w:r>
    </w:p>
    <w:p>
      <w:pPr>
        <w:pStyle w:val="BodyText"/>
      </w:pPr>
      <w:r>
        <w:t xml:space="preserve">新图建议用同一评估终点的grid、B、D、D+KL（可加入外部基线另图），展示前景IoU与Intact→Damaged/Destroyed的错误率或Damaged P/R。误差线来自配对种子或图像/事件重采样，不把没有误差线写成稳定收益。各项差值统一百分点。</w:t>
      </w:r>
    </w:p>
    <w:bookmarkEnd w:id="35"/>
    <w:bookmarkStart w:id="36" w:name="图1014事件差值"/>
    <w:p>
      <w:pPr>
        <w:pStyle w:val="Heading3"/>
      </w:pPr>
      <w:r>
        <w:t xml:space="preserve">图10：14事件差值</w:t>
      </w:r>
    </w:p>
    <w:p>
      <w:pPr>
        <w:pStyle w:val="FirstParagraph"/>
      </w:pPr>
      <w:r>
        <w:t xml:space="preserve">版式能保留，数值必须来自新模型与新匹配基线。优先画D−B、D−grid、D+KL−D；这些比只相对DamageFormer更能对应创新。缺失事件类别如何处理需要一致定义。可在图中显示各事件图像数/建筑像素量，避免小样本事件的大幅波动被过度解读。</w:t>
      </w:r>
    </w:p>
    <w:p>
      <w:pPr>
        <w:pStyle w:val="BodyText"/>
      </w:pPr>
      <w:r>
        <w:t xml:space="preserve">应保留负向事件，不按效果重新删除事件。跨事件排除的Memory推理并不是留一事件训练，因此图题不能写“未见事件泛化”。</w:t>
      </w:r>
    </w:p>
    <w:bookmarkEnd w:id="36"/>
    <w:bookmarkEnd w:id="37"/>
    <w:bookmarkStart w:id="45" w:name="结果表应怎样重构"/>
    <w:p>
      <w:pPr>
        <w:pStyle w:val="Heading2"/>
      </w:pPr>
      <w:r>
        <w:t xml:space="preserve">6. 结果表应怎样重构</w:t>
      </w:r>
    </w:p>
    <w:bookmarkStart w:id="38" w:name="主文表1同协议总体比较"/>
    <w:p>
      <w:pPr>
        <w:pStyle w:val="Heading3"/>
      </w:pPr>
      <w:r>
        <w:t xml:space="preserve">主文表1：同协议总体比较</w:t>
      </w:r>
    </w:p>
    <w:p>
      <w:pPr>
        <w:pStyle w:val="FirstParagraph"/>
      </w:pPr>
      <w:r>
        <w:t xml:space="preserve">行：公开BRIGHT适配基线（来源清楚）、冻结前端原输出、同源grid_probq、最终锁定新方案。列：四类IoU、前景三类mIoU（主指标）、四类mIoU（与官方对照）、建筑二类指标、参数/推理成本。旧69.64只可历史另表，不填新方法行。若公开基线是不同前端训练预算，注明比较属性，不能将差值归因单个新增模块。</w:t>
      </w:r>
    </w:p>
    <w:bookmarkEnd w:id="38"/>
    <w:bookmarkStart w:id="39" w:name="主文表2区域信息组织参考来源的22消融"/>
    <w:p>
      <w:pPr>
        <w:pStyle w:val="Heading3"/>
      </w:pPr>
      <w:r>
        <w:t xml:space="preserve">主文表2：区域信息组织×参考来源的2×2消融</w:t>
      </w:r>
    </w:p>
    <w:p>
      <w:pPr>
        <w:pStyle w:val="FirstParagraph"/>
      </w:pPr>
      <w:r>
        <w:t xml:space="preserve">A 空间双槽+图内参考；B 概率双槽+图内参考；C 空间双槽+Train Memory；D 概率双槽+Train Memory。四组同前端、Q、像素/父区路径、头容量、样本顺序和预算。列增加B−A、D−C、C−A、D−B及交互(D−C)−(B−A)。冻结grid单独作为参照，不在因子格中代替A。另加同设置单槽对照，回答“双槽本身是否有用”；原三组跨版本成绩不能直接充当这一行。</w:t>
      </w:r>
    </w:p>
    <w:bookmarkEnd w:id="39"/>
    <w:bookmarkStart w:id="40" w:name="主文表3输出锚定训练对照"/>
    <w:p>
      <w:pPr>
        <w:pStyle w:val="Heading3"/>
      </w:pPr>
      <w:r>
        <w:t xml:space="preserve">主文表3：输出锚定训练对照</w:t>
      </w:r>
    </w:p>
    <w:p>
      <w:pPr>
        <w:pStyle w:val="FirstParagraph"/>
      </w:pPr>
      <w:r>
        <w:t xml:space="preserve">行：D原目标与D+KL，必要时B同样两行。共同起点、优化器状态、学习率倍率、图序、结束步数与原调度长度一致。列：主mIoU、每类IoU、Damaged P/R、救回率、误改率、共同原损失、KL、事件差异。0.2倍学习率与KL不要同时相对原学习率旧分支做唯一比较。新建库的新D不能直接与旧D1500相减归因KL。</w:t>
      </w:r>
    </w:p>
    <w:bookmarkEnd w:id="40"/>
    <w:bookmarkStart w:id="41" w:name="主文表4双槽是否互补"/>
    <w:p>
      <w:pPr>
        <w:pStyle w:val="Heading3"/>
      </w:pPr>
      <w:r>
        <w:t xml:space="preserve">主文表4：双槽是否互补</w:t>
      </w:r>
    </w:p>
    <w:p>
      <w:pPr>
        <w:pStyle w:val="FirstParagraph"/>
      </w:pPr>
      <w:r>
        <w:t xml:space="preserve">分层行：混合区域、边缘、内部、低B真建筑；列：两槽余弦相似度、软标签JS差异/总变差、质量比例、有效样本量ESS=(Σw)^2/Σw²、空槽率、回投有效覆盖。先明确边缘带由GT定义仅用于离线分析，不能进入推理。报告统计分母、区域数和图像数。</w:t>
      </w:r>
    </w:p>
    <w:bookmarkEnd w:id="41"/>
    <w:bookmarkStart w:id="42" w:name="主文表5memory候选质量与信息增量"/>
    <w:p>
      <w:pPr>
        <w:pStyle w:val="Heading3"/>
      </w:pPr>
      <w:r>
        <w:t xml:space="preserve">主文表5：Memory候选质量与信息增量</w:t>
      </w:r>
    </w:p>
    <w:p>
      <w:pPr>
        <w:pStyle w:val="FirstParagraph"/>
      </w:pPr>
      <w:r>
        <w:t xml:space="preserve">行：父T128、F256候选（若测试）、合法随机案例；对Damaged、Intact困难负例分别统计。列：Top64有效父案例数、独立图像数/事件数、重复比例、候选软标签中Damaged质量、相似尺度覆盖、最终mIoU。查询真值只用于离线报告；不能按GT过滤推理候选。检索命中指标不能简单只统计背景最多的全部查询平均。</w:t>
      </w:r>
    </w:p>
    <w:bookmarkEnd w:id="42"/>
    <w:bookmarkStart w:id="43" w:name="主文表6读取内容消融与依赖诊断"/>
    <w:p>
      <w:pPr>
        <w:pStyle w:val="Heading3"/>
      </w:pPr>
      <w:r>
        <w:t xml:space="preserve">主文表6：读取内容消融与依赖诊断</w:t>
      </w:r>
    </w:p>
    <w:p>
      <w:pPr>
        <w:pStyle w:val="FirstParagraph"/>
      </w:pPr>
      <w:r>
        <w:t xml:space="preserve">训练消融：去Train软标签（保持模型/输入维度等条件）、父区内容 vs 双槽内容、合法随机案例匹配重训。固定权重干预：置换案例身份、置换标签、遮蔽Memory；各自单列。当前没有事件/灾种embedding，不设“去事件嵌入”伪消融。固定权重异常输入导致下降只证明依赖/脆弱性，不能替代训练贡献。</w:t>
      </w:r>
    </w:p>
    <w:bookmarkEnd w:id="43"/>
    <w:bookmarkStart w:id="44" w:name="主文表7或补充材料逐事件稳定性与成本"/>
    <w:p>
      <w:pPr>
        <w:pStyle w:val="Heading3"/>
      </w:pPr>
      <w:r>
        <w:t xml:space="preserve">主文表7或补充材料：逐事件、稳定性与成本</w:t>
      </w:r>
    </w:p>
    <w:p>
      <w:pPr>
        <w:pStyle w:val="FirstParagraph"/>
      </w:pPr>
      <w:r>
        <w:t xml:space="preserve">同种子差值、多于或至少3个预定种子均值±标准差；按图像或事件配对bootstrap，像素不当独立样本。训练前冻结源/库指纹、支持数与来源数、Key类型、参数量、计算量、显存、固定硬件同步延迟和建库成本另列。日志进度和CPU测试通过不能填作完整评估结果。</w:t>
      </w:r>
    </w:p>
    <w:bookmarkEnd w:id="44"/>
    <w:bookmarkEnd w:id="45"/>
    <w:bookmarkStart w:id="46" w:name="最小新增案例图证据链"/>
    <w:p>
      <w:pPr>
        <w:pStyle w:val="Heading2"/>
      </w:pPr>
      <w:r>
        <w:t xml:space="preserve">7. 最小新增案例图证据链</w:t>
      </w:r>
    </w:p>
    <w:p>
      <w:pPr>
        <w:pStyle w:val="FirstParagraph"/>
      </w:pPr>
      <w:r>
        <w:t xml:space="preserve">建议主文新增的机制图（后续再画，本次不生成）不要重复堆预测色图：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双槽图</w:t>
      </w:r>
      <w:r>
        <w:t xml:space="preserve">：同一混合父区域的RGB/SAR/GT、B、Q父边界、两槽权重、两槽标签/质量统计；回答“分开了什么”。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案例读取图</w:t>
      </w:r>
      <w:r>
        <w:t xml:space="preserve">：同一查询的Top64中实际展示若干支持，保留来源事件、图像ID、尺度、软标签、相似度/注意力；并列图内参考与历史参考；回答“历史多了什么”。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配对改判图</w:t>
      </w:r>
      <w:r>
        <w:t xml:space="preserve">：grid/B/D/D+KL预测与共同GT，救回和误伤二色掩码，列出Intact→Damaged、Damaged→Destroyed等关键转移；回答“谁被改对、谁被改坏”。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失败图</w:t>
      </w:r>
      <w:r>
        <w:t xml:space="preserve">：低B建筑、相邻不同损毁建筑、库缺少合适Damaged案例、SAR错位/阴影各至少一例；回答“方法何时失效”。</w:t>
      </w:r>
    </w:p>
    <w:p>
      <w:pPr>
        <w:pStyle w:val="FirstParagraph"/>
      </w:pPr>
      <w:r>
        <w:t xml:space="preserve">案例只能从真实前向及检索记录导出。理论流程图可以示意；性能和检索案例不能生成、拼凑或用其它模型预测代替。原始图像和GT可以复用固定裁窗，预测列必须逐模型重新导出并绑定身份。</w:t>
      </w:r>
    </w:p>
    <w:bookmarkEnd w:id="46"/>
    <w:bookmarkStart w:id="47" w:name="推荐写作顺序"/>
    <w:p>
      <w:pPr>
        <w:pStyle w:val="Heading2"/>
      </w:pPr>
      <w:r>
        <w:t xml:space="preserve">8. 推荐写作顺序</w:t>
      </w:r>
    </w:p>
    <w:p>
      <w:pPr>
        <w:pStyle w:val="FirstParagraph"/>
      </w:pPr>
      <w:r>
        <w:t xml:space="preserve">先建立代码—术语—公式—图标签的一页对应表，再写方法；随后确定每项主张需要哪个控制实验，再搭实验表；相关工作围绕这三条主张组织，最后重写引言、摘要和结论。不要以旧结果先写“均显著提升”后再寻找消融解释。</w:t>
      </w:r>
    </w:p>
    <w:p>
      <w:pPr>
        <w:pStyle w:val="BodyText"/>
      </w:pPr>
      <w:r>
        <w:t xml:space="preserve">40—55篇参考文献可覆盖任务/数据与跨域、区域与软token、上下文/训练案例Memory、知识蒸馏/输出稳定性及优化评价，但每一篇必须服务于具体论证。原稿WANet沟渠提取等弱相关文献不宜仅为凑数保留；预测不确定性、配准误差与伪标签应限于相关工作和后续方向，未接入代码的竞赛模块不要写入当前方法。</w:t>
      </w:r>
    </w:p>
    <w:p>
      <w:pPr>
        <w:pStyle w:val="BodyText"/>
      </w:pPr>
      <w:r>
        <w:t xml:space="preserve">新论文最清楚的逻辑应是：已有多模态前端提供有用信息 → 区域混合与案例读取存在可测的信息组织问题 → 在固定Q内构造双槽并联合历史案例 → 训练修正既可能救回也可能误伤 → 通过结构因子、输出约束和内容诊断分别验证 → 根据结果限定结论。这样方法、实验和案例能够逐项对齐。</w:t>
      </w:r>
    </w:p>
    <w:bookmarkEnd w:id="47"/>
    <w:bookmarkEnd w:id="48"/>
    <w:sectPr>
      <w:footerReference r:id="rId9" w:type="default"/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76" w:lineRule="auto"/>
    </w:pPr>
    <w:rPr>
      <w:rFonts w:ascii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76" w:lineRule="auto"/>
    </w:pPr>
    <w:rPr>
      <w:rFonts w:ascii="Times New Roman" w:eastAsia="宋体" w:hAnsi="Times New Roman"/>
      <w:sz w:val="21"/>
    </w:rPr>
  </w:style>
  <w:style w:customStyle="1" w:styleId="Compact" w:type="paragraph">
    <w:name w:val="Compact"/>
    <w:basedOn w:val="BodyText"/>
    <w:qFormat/>
    <w:pPr>
      <w:spacing w:after="100" w:before="36" w:line="276" w:lineRule="auto"/>
    </w:pPr>
    <w:rPr>
      <w:rFonts w:ascii="Times New Roman" w:eastAsia="宋体" w:hAnsi="Times New Roman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Arial" w:asciiTheme="majorHAnsi" w:cstheme="majorBidi" w:eastAsia="黑体" w:eastAsiaTheme="majorEastAsia" w:hAnsi="Arial" w:hAnsiTheme="majorHAnsi"/>
      <w:b/>
      <w:bCs/>
      <w:color w:val="1C3557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76" w:lineRule="auto"/>
    </w:pPr>
    <w:rPr>
      <w:rFonts w:ascii="Times New Roman" w:eastAsia="宋体" w:hAnsi="Times New Roman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Arial" w:asciiTheme="majorHAnsi" w:cstheme="majorBidi" w:eastAsia="黑体" w:eastAsiaTheme="majorEastAsia" w:hAnsi="Arial" w:hAnsiTheme="majorHAnsi"/>
      <w:b/>
      <w:bCs/>
      <w:color w:val="1C3557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Arial" w:asciiTheme="majorHAnsi" w:cstheme="majorBidi" w:eastAsia="黑体" w:eastAsiaTheme="majorEastAsia" w:hAnsi="Arial" w:hAnsiTheme="majorHAnsi"/>
      <w:b/>
      <w:bCs/>
      <w:color w:val="1C3557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Arial" w:asciiTheme="majorHAnsi" w:cstheme="majorBidi" w:eastAsia="黑体" w:eastAsiaTheme="majorEastAsia" w:hAnsi="Arial" w:hAnsiTheme="majorHAnsi"/>
      <w:b/>
      <w:bCs/>
      <w:color w:val="1C3557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0" w:line="276" w:lineRule="auto"/>
    </w:pPr>
    <w:rPr>
      <w:rFonts w:ascii="Times New Roman" w:eastAsia="宋体" w:hAnsi="Times New Roman"/>
      <w:i/>
      <w:sz w:val="21"/>
    </w:rPr>
  </w:style>
  <w:style w:customStyle="1" w:styleId="TableCaption" w:type="paragraph">
    <w:name w:val="Table Caption"/>
    <w:basedOn w:val="Caption"/>
    <w:pPr>
      <w:keepNext/>
      <w:spacing w:after="100" w:line="276" w:lineRule="auto"/>
    </w:pPr>
    <w:rPr>
      <w:rFonts w:ascii="Times New Roman" w:eastAsia="宋体" w:hAnsi="Times New Roman"/>
      <w:sz w:val="21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2026-10-18T15:30:43Z</dcterms:created>
  <dcterms:modified xsi:type="dcterms:W3CDTF">2026-10-18T15:30:43Z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