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论文3整体修订分析三点贡献创新边界与后续实验"/>
    <w:p>
      <w:pPr>
        <w:pStyle w:val="Title"/>
      </w:pPr>
      <w:r>
        <w:t xml:space="preserve">论文3整体修订分析：三点贡献、创新边界与后续实验</w:t>
      </w:r>
    </w:p>
    <w:p>
      <w:pPr>
        <w:pStyle w:val="FirstParagraph"/>
      </w:pPr>
      <w:r>
        <w:t xml:space="preserve">审读日期：2026年10月18日。依据：上传的《论文3.docx》、本地只读代码镜像、对话中已提供的训练报告，以及作者公开论文代码。未重新运行BRIGHT/CUDA实验，未修改原论文或模型代码，未重画任何图。</w:t>
      </w:r>
    </w:p>
    <w:bookmarkStart w:id="20" w:name="最重要的判断"/>
    <w:p>
      <w:pPr>
        <w:pStyle w:val="Heading2"/>
      </w:pPr>
      <w:r>
        <w:t xml:space="preserve">1. 最重要的判断</w:t>
      </w:r>
    </w:p>
    <w:p>
      <w:pPr>
        <w:pStyle w:val="FirstParagraph"/>
      </w:pPr>
      <w:r>
        <w:t xml:space="preserve">论文主线可以成立，但需要从旧稿的“学习Q—结构Adapter—监督检索投影”改为当前实际执行的“固定Q上的双槽证据组织—历史案例读取—像素与概率基线联合修正”。这不是简单替换模型名称：研究问题、方法公式、三点贡献、消融表与图1—3必须一起调整。</w:t>
      </w:r>
    </w:p>
    <w:p>
      <w:pPr>
        <w:pStyle w:val="BodyText"/>
      </w:pPr>
      <w:r>
        <w:t xml:space="preserve">目前可确认的是设计和实现；尚不能确认新模型获得稳定的最终性能优势。旧69.64%四类Test成绩与当前新库、Top64双槽残差模型不能自动绑定。旧版结果可以留在内部历史档案；如果要在论文中使用，必须恢复其独立的权重、配置和评价来源，并明确它是另一方法版本。</w:t>
      </w:r>
    </w:p>
    <w:bookmarkEnd w:id="20"/>
    <w:bookmarkStart w:id="24" w:name="三点贡献推荐怎样写"/>
    <w:p>
      <w:pPr>
        <w:pStyle w:val="Heading2"/>
      </w:pPr>
      <w:r>
        <w:t xml:space="preserve">2. 三点贡献推荐怎样写</w:t>
      </w:r>
    </w:p>
    <w:bookmarkStart w:id="21" w:name="第一项建筑概率引导的区域双槽证据组织"/>
    <w:p>
      <w:pPr>
        <w:pStyle w:val="Heading3"/>
      </w:pPr>
      <w:r>
        <w:t xml:space="preserve">第一项：建筑概率引导的区域双槽证据组织</w:t>
      </w:r>
    </w:p>
    <w:p>
      <w:pPr>
        <w:pStyle w:val="FirstParagraph"/>
      </w:pPr>
      <w:r>
        <w:t xml:space="preserve">可直接用于引言的文字：</w:t>
      </w:r>
    </w:p>
    <w:p>
      <w:pPr>
        <w:pStyle w:val="BlockText"/>
      </w:pPr>
      <w:r>
        <w:t xml:space="preserve">提出一种面向光学—SAR建筑损毁的建筑概率双槽区域表示。在固定软区域归属内，以预测建筑概率及其互补权重分别汇总偏建筑与偏背景内容，保留共享父区域上下文，并以对应空间权重生成支持软标签与像素回投，使混合区域中的不同来源证据能够被分别编码。</w:t>
      </w:r>
    </w:p>
    <w:p>
      <w:pPr>
        <w:pStyle w:val="FirstParagraph"/>
      </w:pPr>
      <w:r>
        <w:t xml:space="preserve">具体新意集中在本任务中的内容组织和一致的标签范围，不在“首次使用软分区”或“首次引入建筑先验”。Q已经包含建筑先验，当前新增的是Q之后的双槽组织。两个槽不是两个损毁类别，也不是两栋建筑。标签同权和质量守恒主要保证实现正确性，本身不足以构成独立重大创新。</w:t>
      </w:r>
    </w:p>
    <w:p>
      <w:pPr>
        <w:pStyle w:val="BodyText"/>
      </w:pPr>
      <w:r>
        <w:t xml:space="preserve">需要的证据：同容量空间双槽对照；同设置单槽对照；混合区域的特征与标签差异；低B建筑、小质量槽和边缘上的实际误差。两槽相似并不一律是失败，纯区域或B近似常量时相似是合理的。</w:t>
      </w:r>
    </w:p>
    <w:bookmarkEnd w:id="21"/>
    <w:bookmarkStart w:id="22" w:name="第二项父区域选择与槽级历史监督读取"/>
    <w:p>
      <w:pPr>
        <w:pStyle w:val="Heading3"/>
      </w:pPr>
      <w:r>
        <w:t xml:space="preserve">第二项：父区域选择与槽级历史监督读取</w:t>
      </w:r>
    </w:p>
    <w:p>
      <w:pPr>
        <w:pStyle w:val="FirstParagraph"/>
      </w:pPr>
      <w:r>
        <w:t xml:space="preserve">可直接用于引言的文字：</w:t>
      </w:r>
    </w:p>
    <w:p>
      <w:pPr>
        <w:pStyle w:val="BlockText"/>
      </w:pPr>
      <w:r>
        <w:t xml:space="preserve">构建父区域选择与槽级读取分离的历史案例推理路径。首先在排除同图和同事件的训练案例中选择父区域，再由读取器联合利用案例子槽特征、共享父上下文、槽角色、质量比例与训练软标签，为当前像素判断提供可追溯的历史监督信息。</w:t>
      </w:r>
    </w:p>
    <w:p>
      <w:pPr>
        <w:pStyle w:val="FirstParagraph"/>
      </w:pPr>
      <w:r>
        <w:t xml:space="preserve">当前外部Top64选择器是冻结父key检索，Reader注意力只在已经选中的支持中分配权重。因此不能写“通过类别监督学习历史案例排序”。事件ID用于排除和追溯，没有作为当前Reader的事件embedding。64个父案例展开最多128个槽，也不是案例数翻倍。</w:t>
      </w:r>
    </w:p>
    <w:p>
      <w:pPr>
        <w:pStyle w:val="BodyText"/>
      </w:pPr>
      <w:r>
        <w:t xml:space="preserve">需要的证据：D−B、C−A；相同预算的合法随机支持；历史预测标签与历史真值软标签；无标签支持；Damaged候选覆盖和Intact困难负例。仅推理时打乱标签只能诊断依赖，不能替代匹配训练对照。</w:t>
      </w:r>
    </w:p>
    <w:bookmarkEnd w:id="22"/>
    <w:bookmarkStart w:id="23" w:name="第三项保留像素与概率基础的联合修正"/>
    <w:p>
      <w:pPr>
        <w:pStyle w:val="Heading3"/>
      </w:pPr>
      <w:r>
        <w:t xml:space="preserve">第三项：保留像素与概率基础的联合修正</w:t>
      </w:r>
    </w:p>
    <w:p>
      <w:pPr>
        <w:pStyle w:val="FirstParagraph"/>
      </w:pPr>
      <w:r>
        <w:t xml:space="preserve">可直接用于引言的文字：</w:t>
      </w:r>
    </w:p>
    <w:p>
      <w:pPr>
        <w:pStyle w:val="BlockText"/>
      </w:pPr>
      <w:r>
        <w:t xml:space="preserve">设计像素、父区域、双槽及历史上下文的联合残差判别方式，以Q概率共享结果作为基础判断，并通过分类别、逐事件及同像素纠错/误改统计检验额外证据的作用；进一步设置冻结基础预测的一致性约束，研究联合适配中的性能退化及其控制条件。</w:t>
      </w:r>
    </w:p>
    <w:p>
      <w:pPr>
        <w:pStyle w:val="FirstParagraph"/>
      </w:pPr>
      <w:r>
        <w:t xml:space="preserve">这项写法对应已经实现的联合结构，将KL放在训练子项。KL采用已有蒸馏/一致性思想，不适合包装为新数学损失，也不保证保留教师正确判断。当前本轮KL尚未完成正式结果，不能写“有效抑制过拟合”</w:t>
      </w:r>
      <w:r>
        <w:t xml:space="preserve">“</w:t>
      </w:r>
      <w:r>
        <w:t xml:space="preserve">提升泛化</w:t>
      </w:r>
      <w:r>
        <w:t xml:space="preserve">”</w:t>
      </w:r>
      <w:r>
        <w:t xml:space="preserve">或“保证不低于基线”。</w:t>
      </w:r>
    </w:p>
    <w:p>
      <w:pPr>
        <w:pStyle w:val="BodyText"/>
      </w:pPr>
      <w:r>
        <w:t xml:space="preserve">如果最终KL没有改善，第三点应保留为“联合读出与系统机制验证”，不能硬写成新型稳健学习算法。对要求三项独立方法创新的期刊，现阶段证据并不足；诚实的“两项方法设计＋一项系统验证”比人为凑三项更有说服力。</w:t>
      </w:r>
    </w:p>
    <w:bookmarkEnd w:id="23"/>
    <w:bookmarkEnd w:id="24"/>
    <w:bookmarkStart w:id="25" w:name="创新程度怎样评价"/>
    <w:p>
      <w:pPr>
        <w:pStyle w:val="Heading2"/>
      </w:pPr>
      <w:r>
        <w:t xml:space="preserve">3. 创新程度怎样评价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tblHeader/>
        </w:trPr>
        <w:tc>
          <w:tcPr/>
          <w:p>
            <w:pPr>
              <w:pStyle w:val="Compact"/>
              <w:spacing w:after="60"/>
              <w:jc w:val="left"/>
            </w:pPr>
            <w:r>
              <w:rPr>
                <w:sz w:val="18"/>
              </w:rPr>
              <w:t xml:space="preserve">设计</w:t>
            </w:r>
          </w:p>
        </w:tc>
        <w:tc>
          <w:tcPr/>
          <w:p>
            <w:pPr>
              <w:pStyle w:val="Compact"/>
              <w:spacing w:after="60"/>
              <w:jc w:val="left"/>
            </w:pPr>
            <w:r>
              <w:rPr>
                <w:sz w:val="18"/>
              </w:rPr>
              <w:t xml:space="preserve">已有先例</w:t>
            </w:r>
          </w:p>
        </w:tc>
        <w:tc>
          <w:tcPr/>
          <w:p>
            <w:pPr>
              <w:pStyle w:val="Compact"/>
              <w:spacing w:after="60"/>
              <w:jc w:val="left"/>
            </w:pPr>
            <w:r>
              <w:rPr>
                <w:sz w:val="18"/>
              </w:rPr>
              <w:t xml:space="preserve">本项目可辩护的差异</w:t>
            </w:r>
          </w:p>
        </w:tc>
        <w:tc>
          <w:tcPr/>
          <w:p>
            <w:pPr>
              <w:pStyle w:val="Compact"/>
              <w:spacing w:after="60"/>
              <w:jc w:val="left"/>
            </w:pPr>
            <w:r>
              <w:rPr>
                <w:sz w:val="18"/>
              </w:rPr>
              <w:t xml:space="preserve">当前强度与缺口</w:t>
            </w:r>
          </w:p>
        </w:tc>
      </w:tr>
      <w:tr>
        <w:tc>
          <w:tcPr/>
          <w:p>
            <w:pPr>
              <w:pStyle w:val="Compact"/>
              <w:spacing w:after="60"/>
              <w:jc w:val="left"/>
            </w:pPr>
            <w:r>
              <w:rPr>
                <w:sz w:val="18"/>
              </w:rPr>
              <w:t xml:space="preserve">Q软聚合与回投</w:t>
            </w:r>
          </w:p>
        </w:tc>
        <w:tc>
          <w:tcPr/>
          <w:p>
            <w:pPr>
              <w:pStyle w:val="Compact"/>
              <w:spacing w:after="60"/>
              <w:jc w:val="left"/>
            </w:pPr>
            <w:r>
              <w:rPr>
                <w:sz w:val="18"/>
              </w:rPr>
              <w:t xml:space="preserve">SSN、SpixelFCN、STViT</w:t>
            </w:r>
          </w:p>
        </w:tc>
        <w:tc>
          <w:tcPr/>
          <w:p>
            <w:pPr>
              <w:pStyle w:val="Compact"/>
              <w:spacing w:after="60"/>
              <w:jc w:val="left"/>
            </w:pPr>
            <w:r>
              <w:rPr>
                <w:sz w:val="18"/>
              </w:rPr>
              <w:t xml:space="preserve">用于既有损毁前端的公共基础</w:t>
            </w:r>
          </w:p>
        </w:tc>
        <w:tc>
          <w:tcPr/>
          <w:p>
            <w:pPr>
              <w:pStyle w:val="Compact"/>
              <w:spacing w:after="60"/>
              <w:jc w:val="left"/>
            </w:pPr>
            <w:r>
              <w:rPr>
                <w:sz w:val="18"/>
              </w:rPr>
              <w:t xml:space="preserve">不能单独主张原创；当前冻结</w:t>
            </w:r>
          </w:p>
        </w:tc>
      </w:tr>
      <w:tr>
        <w:tc>
          <w:tcPr/>
          <w:p>
            <w:pPr>
              <w:pStyle w:val="Compact"/>
              <w:spacing w:after="60"/>
              <w:jc w:val="left"/>
            </w:pPr>
            <w:r>
              <w:rPr>
                <w:sz w:val="18"/>
              </w:rPr>
              <w:t xml:space="preserve">建筑先验</w:t>
            </w:r>
          </w:p>
        </w:tc>
        <w:tc>
          <w:tcPr/>
          <w:p>
            <w:pPr>
              <w:pStyle w:val="Compact"/>
              <w:spacing w:after="60"/>
              <w:jc w:val="left"/>
            </w:pPr>
            <w:r>
              <w:rPr>
                <w:sz w:val="18"/>
              </w:rPr>
              <w:t xml:space="preserve">双任务损毁网络、冠军定位引导方法</w:t>
            </w:r>
          </w:p>
        </w:tc>
        <w:tc>
          <w:tcPr/>
          <w:p>
            <w:pPr>
              <w:pStyle w:val="Compact"/>
              <w:spacing w:after="60"/>
              <w:jc w:val="left"/>
            </w:pPr>
            <w:r>
              <w:rPr>
                <w:sz w:val="18"/>
              </w:rPr>
              <w:t xml:space="preserve">固定父区域内的互补双槽及标签同域</w:t>
            </w:r>
          </w:p>
        </w:tc>
        <w:tc>
          <w:tcPr/>
          <w:p>
            <w:pPr>
              <w:pStyle w:val="Compact"/>
              <w:spacing w:after="60"/>
              <w:jc w:val="left"/>
            </w:pPr>
            <w:r>
              <w:rPr>
                <w:sz w:val="18"/>
              </w:rPr>
              <w:t xml:space="preserve">有任务针对性；需容量和内容证据</w:t>
            </w:r>
          </w:p>
        </w:tc>
      </w:tr>
      <w:tr>
        <w:tc>
          <w:tcPr/>
          <w:p>
            <w:pPr>
              <w:pStyle w:val="Compact"/>
              <w:spacing w:after="60"/>
              <w:jc w:val="left"/>
            </w:pPr>
            <w:r>
              <w:rPr>
                <w:sz w:val="18"/>
              </w:rPr>
              <w:t xml:space="preserve">两个槽</w:t>
            </w:r>
          </w:p>
        </w:tc>
        <w:tc>
          <w:tcPr/>
          <w:p>
            <w:pPr>
              <w:pStyle w:val="Compact"/>
              <w:spacing w:after="60"/>
              <w:jc w:val="left"/>
            </w:pPr>
            <w:r>
              <w:rPr>
                <w:sz w:val="18"/>
              </w:rPr>
              <w:t xml:space="preserve">Slot Attention等已有槽表示</w:t>
            </w:r>
          </w:p>
        </w:tc>
        <w:tc>
          <w:tcPr/>
          <w:p>
            <w:pPr>
              <w:pStyle w:val="Compact"/>
              <w:spacing w:after="60"/>
              <w:jc w:val="left"/>
            </w:pPr>
            <w:r>
              <w:rPr>
                <w:sz w:val="18"/>
              </w:rPr>
              <w:t xml:space="preserve">槽由预测建筑概率定义，非无监督对象竞争</w:t>
            </w:r>
          </w:p>
        </w:tc>
        <w:tc>
          <w:tcPr/>
          <w:p>
            <w:pPr>
              <w:pStyle w:val="Compact"/>
              <w:spacing w:after="60"/>
              <w:jc w:val="left"/>
            </w:pPr>
            <w:r>
              <w:rPr>
                <w:sz w:val="18"/>
              </w:rPr>
              <w:t xml:space="preserve">中等的组合设计潜力；不保证独立性</w:t>
            </w:r>
          </w:p>
        </w:tc>
      </w:tr>
      <w:tr>
        <w:tc>
          <w:tcPr/>
          <w:p>
            <w:pPr>
              <w:pStyle w:val="Compact"/>
              <w:spacing w:after="60"/>
              <w:jc w:val="left"/>
            </w:pPr>
            <w:r>
              <w:rPr>
                <w:sz w:val="18"/>
              </w:rPr>
              <w:t xml:space="preserve">历史标签Memory</w:t>
            </w:r>
          </w:p>
        </w:tc>
        <w:tc>
          <w:tcPr/>
          <w:p>
            <w:pPr>
              <w:pStyle w:val="Compact"/>
              <w:spacing w:after="60"/>
              <w:jc w:val="left"/>
            </w:pPr>
            <w:r>
              <w:rPr>
                <w:sz w:val="18"/>
              </w:rPr>
              <w:t xml:space="preserve">MCIBI、原型方法、Tip-Adapter</w:t>
            </w:r>
          </w:p>
        </w:tc>
        <w:tc>
          <w:tcPr/>
          <w:p>
            <w:pPr>
              <w:pStyle w:val="Compact"/>
              <w:spacing w:after="60"/>
              <w:jc w:val="left"/>
            </w:pPr>
            <w:r>
              <w:rPr>
                <w:sz w:val="18"/>
              </w:rPr>
              <w:t xml:space="preserve">保留父案例身份和子槽混合标签、事件排除</w:t>
            </w:r>
          </w:p>
        </w:tc>
        <w:tc>
          <w:tcPr/>
          <w:p>
            <w:pPr>
              <w:pStyle w:val="Compact"/>
              <w:spacing w:after="60"/>
              <w:jc w:val="left"/>
            </w:pPr>
            <w:r>
              <w:rPr>
                <w:sz w:val="18"/>
              </w:rPr>
              <w:t xml:space="preserve">有任务化区别；必须证明优于普通上下文</w:t>
            </w:r>
          </w:p>
        </w:tc>
      </w:tr>
      <w:tr>
        <w:tc>
          <w:tcPr/>
          <w:p>
            <w:pPr>
              <w:pStyle w:val="Compact"/>
              <w:spacing w:after="60"/>
              <w:jc w:val="left"/>
            </w:pPr>
            <w:r>
              <w:rPr>
                <w:sz w:val="18"/>
              </w:rPr>
              <w:t xml:space="preserve">CrossAttention</w:t>
            </w:r>
          </w:p>
        </w:tc>
        <w:tc>
          <w:tcPr/>
          <w:p>
            <w:pPr>
              <w:pStyle w:val="Compact"/>
              <w:spacing w:after="60"/>
              <w:jc w:val="left"/>
            </w:pPr>
            <w:r>
              <w:rPr>
                <w:sz w:val="18"/>
              </w:rPr>
              <w:t xml:space="preserve">通用注意力机制</w:t>
            </w:r>
          </w:p>
        </w:tc>
        <w:tc>
          <w:tcPr/>
          <w:p>
            <w:pPr>
              <w:pStyle w:val="Compact"/>
              <w:spacing w:after="60"/>
              <w:jc w:val="left"/>
            </w:pPr>
            <w:r>
              <w:rPr>
                <w:sz w:val="18"/>
              </w:rPr>
              <w:t xml:space="preserve">读取槽角色/质量和软标签</w:t>
            </w:r>
          </w:p>
        </w:tc>
        <w:tc>
          <w:tcPr/>
          <w:p>
            <w:pPr>
              <w:pStyle w:val="Compact"/>
              <w:spacing w:after="60"/>
              <w:jc w:val="left"/>
            </w:pPr>
            <w:r>
              <w:rPr>
                <w:sz w:val="18"/>
              </w:rPr>
              <w:t xml:space="preserve">基础组件，不单列创新</w:t>
            </w:r>
          </w:p>
        </w:tc>
      </w:tr>
      <w:tr>
        <w:tc>
          <w:tcPr/>
          <w:p>
            <w:pPr>
              <w:pStyle w:val="Compact"/>
              <w:spacing w:after="60"/>
              <w:jc w:val="left"/>
            </w:pPr>
            <w:r>
              <w:rPr>
                <w:sz w:val="18"/>
              </w:rPr>
              <w:t xml:space="preserve">残差基础预测</w:t>
            </w:r>
          </w:p>
        </w:tc>
        <w:tc>
          <w:tcPr/>
          <w:p>
            <w:pPr>
              <w:pStyle w:val="Compact"/>
              <w:spacing w:after="60"/>
              <w:jc w:val="left"/>
            </w:pPr>
            <w:r>
              <w:rPr>
                <w:sz w:val="18"/>
              </w:rPr>
              <w:t xml:space="preserve">残差适配、缓存分数融合</w:t>
            </w:r>
          </w:p>
        </w:tc>
        <w:tc>
          <w:tcPr/>
          <w:p>
            <w:pPr>
              <w:pStyle w:val="Compact"/>
              <w:spacing w:after="60"/>
              <w:jc w:val="left"/>
            </w:pPr>
            <w:r>
              <w:rPr>
                <w:sz w:val="18"/>
              </w:rPr>
              <w:t xml:space="preserve">Q概率基础＋像素/区域/案例联合修正</w:t>
            </w:r>
          </w:p>
        </w:tc>
        <w:tc>
          <w:tcPr/>
          <w:p>
            <w:pPr>
              <w:pStyle w:val="Compact"/>
              <w:spacing w:after="60"/>
              <w:jc w:val="left"/>
            </w:pPr>
            <w:r>
              <w:rPr>
                <w:sz w:val="18"/>
              </w:rPr>
              <w:t xml:space="preserve">工程与方法组织贡献，需匹配像素头</w:t>
            </w:r>
          </w:p>
        </w:tc>
      </w:tr>
      <w:tr>
        <w:tc>
          <w:tcPr/>
          <w:p>
            <w:pPr>
              <w:pStyle w:val="Compact"/>
              <w:spacing w:after="60"/>
              <w:jc w:val="left"/>
            </w:pPr>
            <w:r>
              <w:rPr>
                <w:sz w:val="18"/>
              </w:rPr>
              <w:t xml:space="preserve">冻结输出KL</w:t>
            </w:r>
          </w:p>
        </w:tc>
        <w:tc>
          <w:tcPr/>
          <w:p>
            <w:pPr>
              <w:pStyle w:val="Compact"/>
              <w:spacing w:after="60"/>
              <w:jc w:val="left"/>
            </w:pPr>
            <w:r>
              <w:rPr>
                <w:sz w:val="18"/>
              </w:rPr>
              <w:t xml:space="preserve">KD、LwF及迁移正则</w:t>
            </w:r>
          </w:p>
        </w:tc>
        <w:tc>
          <w:tcPr/>
          <w:p>
            <w:pPr>
              <w:pStyle w:val="Compact"/>
              <w:spacing w:after="60"/>
              <w:jc w:val="left"/>
            </w:pPr>
            <w:r>
              <w:rPr>
                <w:sz w:val="18"/>
              </w:rPr>
              <w:t xml:space="preserve">本任务中控制联合头偏移的试验</w:t>
            </w:r>
          </w:p>
        </w:tc>
        <w:tc>
          <w:tcPr/>
          <w:p>
            <w:pPr>
              <w:pStyle w:val="Compact"/>
              <w:spacing w:after="60"/>
              <w:jc w:val="left"/>
            </w:pPr>
            <w:r>
              <w:rPr>
                <w:sz w:val="18"/>
              </w:rPr>
              <w:t xml:space="preserve">常规训练候选，未证实收益</w:t>
            </w:r>
          </w:p>
        </w:tc>
      </w:tr>
    </w:tbl>
    <w:p>
      <w:pPr>
        <w:pStyle w:val="BodyText"/>
      </w:pPr>
      <w:r>
        <w:t xml:space="preserve">整体更适合定位为“针对异质遥感损毁的证据组织与联合学习方法”，而非基础网络、检索理论或蒸馏理论的突破。检索到相似模块不意味着项目没有价值；关键是问题是否明确、机制是否与代码一致、对照是否排除了容量和训练预算影响，以及收益是否在多个事件与种子上成立。</w:t>
      </w:r>
    </w:p>
    <w:p>
      <w:pPr>
        <w:pStyle w:val="BodyText"/>
      </w:pPr>
      <w:r>
        <w:t xml:space="preserve">不能只通过把Memory改称知识集成、把双槽改称双专家、把普通KL改称语义稳定约束来提高创新程度。引用已有思想、准确说明新增组织方式，并提供相应反事实对照，才是实质创新的证明。</w:t>
      </w:r>
    </w:p>
    <w:bookmarkEnd w:id="25"/>
    <w:bookmarkStart w:id="26" w:name="旧结果目前究竟能证明什么"/>
    <w:p>
      <w:pPr>
        <w:pStyle w:val="Heading2"/>
      </w:pPr>
      <w:r>
        <w:t xml:space="preserve">4. 旧结果目前究竟能证明什么</w:t>
      </w:r>
    </w:p>
    <w:p>
      <w:pPr>
        <w:pStyle w:val="FirstParagraph"/>
      </w:pPr>
      <w:r>
        <w:t xml:space="preserve">以下均为对话中旧Q-rebased四组结果，不是当前fresh库的新结果。指标为前景三类mIoU，单位%。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tblHeader/>
        </w:trPr>
        <w:tc>
          <w:tcPr/>
          <w:p>
            <w:pPr>
              <w:pStyle w:val="Compact"/>
              <w:spacing w:after="60"/>
              <w:jc w:val="left"/>
            </w:pPr>
            <w:r>
              <w:rPr>
                <w:sz w:val="18"/>
              </w:rPr>
              <w:t xml:space="preserve">配置</w:t>
            </w:r>
          </w:p>
        </w:tc>
        <w:tc>
          <w:tcPr/>
          <w:p>
            <w:pPr>
              <w:pStyle w:val="Compact"/>
              <w:spacing w:after="60"/>
              <w:jc w:val="right"/>
            </w:pPr>
            <w:r>
              <w:rPr>
                <w:sz w:val="18"/>
              </w:rPr>
              <w:t xml:space="preserve">500步</w:t>
            </w:r>
          </w:p>
        </w:tc>
        <w:tc>
          <w:tcPr/>
          <w:p>
            <w:pPr>
              <w:pStyle w:val="Compact"/>
              <w:spacing w:after="60"/>
              <w:jc w:val="right"/>
            </w:pPr>
            <w:r>
              <w:rPr>
                <w:sz w:val="18"/>
              </w:rPr>
              <w:t xml:space="preserve">1500步</w:t>
            </w:r>
          </w:p>
        </w:tc>
        <w:tc>
          <w:tcPr/>
          <w:p>
            <w:pPr>
              <w:pStyle w:val="Compact"/>
              <w:spacing w:after="60"/>
              <w:jc w:val="right"/>
            </w:pPr>
            <w:r>
              <w:rPr>
                <w:sz w:val="18"/>
              </w:rPr>
              <w:t xml:space="preserve">5000步</w:t>
            </w:r>
          </w:p>
        </w:tc>
      </w:tr>
      <w:tr>
        <w:tc>
          <w:tcPr/>
          <w:p>
            <w:pPr>
              <w:pStyle w:val="Compact"/>
              <w:spacing w:after="60"/>
              <w:jc w:val="left"/>
            </w:pPr>
            <w:r>
              <w:rPr>
                <w:sz w:val="18"/>
              </w:rPr>
              <w:t xml:space="preserve">同轮grid_probq</w:t>
            </w:r>
          </w:p>
        </w:tc>
        <w:tc>
          <w:tcPr/>
          <w:p>
            <w:pPr>
              <w:pStyle w:val="Compact"/>
              <w:spacing w:after="60"/>
              <w:jc w:val="right"/>
            </w:pPr>
            <w:r>
              <w:rPr>
                <w:sz w:val="18"/>
              </w:rPr>
              <w:t xml:space="preserve">61.9027</w:t>
            </w:r>
          </w:p>
        </w:tc>
        <w:tc>
          <w:tcPr/>
          <w:p>
            <w:pPr>
              <w:pStyle w:val="Compact"/>
              <w:spacing w:after="60"/>
              <w:jc w:val="right"/>
            </w:pPr>
            <w:r>
              <w:rPr>
                <w:sz w:val="18"/>
              </w:rPr>
              <w:t xml:space="preserve">61.9027</w:t>
            </w:r>
          </w:p>
        </w:tc>
        <w:tc>
          <w:tcPr/>
          <w:p>
            <w:pPr>
              <w:pStyle w:val="Compact"/>
              <w:spacing w:after="60"/>
              <w:jc w:val="right"/>
            </w:pPr>
            <w:r>
              <w:rPr>
                <w:sz w:val="18"/>
              </w:rPr>
              <w:t xml:space="preserve">61.9027</w:t>
            </w:r>
          </w:p>
        </w:tc>
      </w:tr>
      <w:tr>
        <w:tc>
          <w:tcPr/>
          <w:p>
            <w:pPr>
              <w:pStyle w:val="Compact"/>
              <w:spacing w:after="60"/>
              <w:jc w:val="left"/>
            </w:pPr>
            <w:r>
              <w:rPr>
                <w:sz w:val="18"/>
              </w:rPr>
              <w:t xml:space="preserve">A：空间双槽/图内</w:t>
            </w:r>
          </w:p>
        </w:tc>
        <w:tc>
          <w:tcPr/>
          <w:p>
            <w:pPr>
              <w:pStyle w:val="Compact"/>
              <w:spacing w:after="60"/>
              <w:jc w:val="right"/>
            </w:pPr>
            <w:r>
              <w:rPr>
                <w:sz w:val="18"/>
              </w:rPr>
              <w:t xml:space="preserve">62.0826</w:t>
            </w:r>
          </w:p>
        </w:tc>
        <w:tc>
          <w:tcPr/>
          <w:p>
            <w:pPr>
              <w:pStyle w:val="Compact"/>
              <w:spacing w:after="60"/>
              <w:jc w:val="right"/>
            </w:pPr>
            <w:r>
              <w:rPr>
                <w:sz w:val="18"/>
              </w:rPr>
              <w:t xml:space="preserve">61.8627</w:t>
            </w:r>
          </w:p>
        </w:tc>
        <w:tc>
          <w:tcPr/>
          <w:p>
            <w:pPr>
              <w:pStyle w:val="Compact"/>
              <w:spacing w:after="60"/>
              <w:jc w:val="right"/>
            </w:pPr>
            <w:r>
              <w:rPr>
                <w:sz w:val="18"/>
              </w:rPr>
              <w:t xml:space="preserve">61.4095</w:t>
            </w:r>
          </w:p>
        </w:tc>
      </w:tr>
      <w:tr>
        <w:tc>
          <w:tcPr/>
          <w:p>
            <w:pPr>
              <w:pStyle w:val="Compact"/>
              <w:spacing w:after="60"/>
              <w:jc w:val="left"/>
            </w:pPr>
            <w:r>
              <w:rPr>
                <w:sz w:val="18"/>
              </w:rPr>
              <w:t xml:space="preserve">B：soft双槽/图内</w:t>
            </w:r>
          </w:p>
        </w:tc>
        <w:tc>
          <w:tcPr/>
          <w:p>
            <w:pPr>
              <w:pStyle w:val="Compact"/>
              <w:spacing w:after="60"/>
              <w:jc w:val="right"/>
            </w:pPr>
            <w:r>
              <w:rPr>
                <w:sz w:val="18"/>
              </w:rPr>
              <w:t xml:space="preserve">62.1235</w:t>
            </w:r>
          </w:p>
        </w:tc>
        <w:tc>
          <w:tcPr/>
          <w:p>
            <w:pPr>
              <w:pStyle w:val="Compact"/>
              <w:spacing w:after="60"/>
              <w:jc w:val="right"/>
            </w:pPr>
            <w:r>
              <w:rPr>
                <w:sz w:val="18"/>
              </w:rPr>
              <w:t xml:space="preserve">61.8960</w:t>
            </w:r>
          </w:p>
        </w:tc>
        <w:tc>
          <w:tcPr/>
          <w:p>
            <w:pPr>
              <w:pStyle w:val="Compact"/>
              <w:spacing w:after="60"/>
              <w:jc w:val="right"/>
            </w:pPr>
            <w:r>
              <w:rPr>
                <w:sz w:val="18"/>
              </w:rPr>
              <w:t xml:space="preserve">61.4755</w:t>
            </w:r>
          </w:p>
        </w:tc>
      </w:tr>
      <w:tr>
        <w:tc>
          <w:tcPr/>
          <w:p>
            <w:pPr>
              <w:pStyle w:val="Compact"/>
              <w:spacing w:after="60"/>
              <w:jc w:val="left"/>
            </w:pPr>
            <w:r>
              <w:rPr>
                <w:sz w:val="18"/>
              </w:rPr>
              <w:t xml:space="preserve">C：空间双槽/Memory</w:t>
            </w:r>
          </w:p>
        </w:tc>
        <w:tc>
          <w:tcPr/>
          <w:p>
            <w:pPr>
              <w:pStyle w:val="Compact"/>
              <w:spacing w:after="60"/>
              <w:jc w:val="right"/>
            </w:pPr>
            <w:r>
              <w:rPr>
                <w:sz w:val="18"/>
              </w:rPr>
              <w:t xml:space="preserve">62.0933</w:t>
            </w:r>
          </w:p>
        </w:tc>
        <w:tc>
          <w:tcPr/>
          <w:p>
            <w:pPr>
              <w:pStyle w:val="Compact"/>
              <w:spacing w:after="60"/>
              <w:jc w:val="right"/>
            </w:pPr>
            <w:r>
              <w:rPr>
                <w:sz w:val="18"/>
              </w:rPr>
              <w:t xml:space="preserve">61.8494</w:t>
            </w:r>
          </w:p>
        </w:tc>
        <w:tc>
          <w:tcPr/>
          <w:p>
            <w:pPr>
              <w:pStyle w:val="Compact"/>
              <w:spacing w:after="60"/>
              <w:jc w:val="right"/>
            </w:pPr>
            <w:r>
              <w:rPr>
                <w:sz w:val="18"/>
              </w:rPr>
              <w:t xml:space="preserve">61.6194</w:t>
            </w:r>
          </w:p>
        </w:tc>
      </w:tr>
      <w:tr>
        <w:tc>
          <w:tcPr/>
          <w:p>
            <w:pPr>
              <w:pStyle w:val="Compact"/>
              <w:spacing w:after="60"/>
              <w:jc w:val="left"/>
            </w:pPr>
            <w:r>
              <w:rPr>
                <w:sz w:val="18"/>
              </w:rPr>
              <w:t xml:space="preserve">D：soft双槽/Memory</w:t>
            </w:r>
          </w:p>
        </w:tc>
        <w:tc>
          <w:tcPr/>
          <w:p>
            <w:pPr>
              <w:pStyle w:val="Compact"/>
              <w:spacing w:after="60"/>
              <w:jc w:val="right"/>
            </w:pPr>
            <w:r>
              <w:rPr>
                <w:sz w:val="18"/>
              </w:rPr>
              <w:t xml:space="preserve">62.1292</w:t>
            </w:r>
          </w:p>
        </w:tc>
        <w:tc>
          <w:tcPr/>
          <w:p>
            <w:pPr>
              <w:pStyle w:val="Compact"/>
              <w:spacing w:after="60"/>
              <w:jc w:val="right"/>
            </w:pPr>
            <w:r>
              <w:rPr>
                <w:sz w:val="18"/>
              </w:rPr>
              <w:t xml:space="preserve">61.9854</w:t>
            </w:r>
          </w:p>
        </w:tc>
        <w:tc>
          <w:tcPr/>
          <w:p>
            <w:pPr>
              <w:pStyle w:val="Compact"/>
              <w:spacing w:after="60"/>
              <w:jc w:val="right"/>
            </w:pPr>
            <w:r>
              <w:rPr>
                <w:sz w:val="18"/>
              </w:rPr>
              <w:t xml:space="preserve">61.6356</w:t>
            </w:r>
          </w:p>
        </w:tc>
      </w:tr>
    </w:tbl>
    <w:p>
      <w:pPr>
        <w:pStyle w:val="BodyText"/>
      </w:pPr>
      <w:r>
        <w:t xml:space="preserve">5000步时，B−A=+0.0660、D−C=+0.0162、C−A=+0.2099、D−B=+0.1601个百分点；D−grid_probq=−0.2671个百分点。二因素交互为−0.0498个百分点。因此，数据支持“该次匹配比较中soft和Memory各有正向相对差值”，不支持“组合已获得总体优势”，也不支持“二者存在正向超加性交互”。</w:t>
      </w:r>
    </w:p>
    <w:p>
      <w:pPr>
        <w:pStyle w:val="BodyText"/>
      </w:pPr>
      <w:r>
        <w:t xml:space="preserve">500步D−grid_probq=+0.2265个百分点，但D−B仅+0.0057。早期完整模型的小幅优势不能全部归给Memory。四组都包含两个槽，因此这些结果也没有证明两个槽优于一个槽。</w:t>
      </w:r>
    </w:p>
    <w:p>
      <w:pPr>
        <w:pStyle w:val="BodyText"/>
      </w:pPr>
      <w:r>
        <w:t xml:space="preserve">固定诊断中，D的Train loss从0.247669降至0.229629，Val loss从0.372182降至0.369346；Val前景mIoU却从62.1292降至61.6356。需要同时讨论泛化差距、损失代理与累计IoU的差别、等级误报，而不是一句“过拟合”解释全部。降低学习率缓解部分退化，删除背景Lovász没有解决问题，这两项已做过，不能再当作全新的研究方向。</w:t>
      </w:r>
    </w:p>
    <w:p>
      <w:pPr>
        <w:pStyle w:val="BodyText"/>
      </w:pPr>
      <w:r>
        <w:t xml:space="preserve">当前fresh链重新建库并训练D公共前缀，不是旧轨迹续训，也不是ABCD四组5000步。最新日志在500步初始Val第323张附近因路由检查退出；单图检查通过还不能替代全程验证。此次新链没有可用于摘要的新完整成绩。</w:t>
      </w:r>
    </w:p>
    <w:bookmarkEnd w:id="26"/>
    <w:bookmarkStart w:id="27" w:name="冠亚军哪些思想值得借鉴"/>
    <w:p>
      <w:pPr>
        <w:pStyle w:val="Heading2"/>
      </w:pPr>
      <w:r>
        <w:t xml:space="preserve">5. 冠亚军哪些思想值得借鉴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tblHeader/>
        </w:trPr>
        <w:tc>
          <w:tcPr/>
          <w:p>
            <w:pPr>
              <w:pStyle w:val="Compact"/>
              <w:spacing w:after="60"/>
              <w:jc w:val="left"/>
            </w:pPr>
            <w:r>
              <w:rPr>
                <w:sz w:val="18"/>
              </w:rPr>
              <w:t xml:space="preserve">外部思想</w:t>
            </w:r>
          </w:p>
        </w:tc>
        <w:tc>
          <w:tcPr/>
          <w:p>
            <w:pPr>
              <w:pStyle w:val="Compact"/>
              <w:spacing w:after="60"/>
              <w:jc w:val="left"/>
            </w:pPr>
            <w:r>
              <w:rPr>
                <w:sz w:val="18"/>
              </w:rPr>
              <w:t xml:space="preserve">与当前系统关系</w:t>
            </w:r>
          </w:p>
        </w:tc>
        <w:tc>
          <w:tcPr/>
          <w:p>
            <w:pPr>
              <w:pStyle w:val="Compact"/>
              <w:spacing w:after="60"/>
              <w:jc w:val="left"/>
            </w:pPr>
            <w:r>
              <w:rPr>
                <w:sz w:val="18"/>
              </w:rPr>
              <w:t xml:space="preserve">合理验证方式</w:t>
            </w:r>
          </w:p>
        </w:tc>
        <w:tc>
          <w:tcPr/>
          <w:p>
            <w:pPr>
              <w:pStyle w:val="Compact"/>
              <w:spacing w:after="60"/>
              <w:jc w:val="left"/>
            </w:pPr>
            <w:r>
              <w:rPr>
                <w:sz w:val="18"/>
              </w:rPr>
              <w:t xml:space="preserve">不宜直接做的事</w:t>
            </w:r>
          </w:p>
        </w:tc>
      </w:tr>
      <w:tr>
        <w:tc>
          <w:tcPr/>
          <w:p>
            <w:pPr>
              <w:pStyle w:val="Compact"/>
              <w:spacing w:after="60"/>
              <w:jc w:val="left"/>
            </w:pPr>
            <w:r>
              <w:rPr>
                <w:sz w:val="18"/>
              </w:rPr>
              <w:t xml:space="preserve">建筑定位概率引导</w:t>
            </w:r>
          </w:p>
        </w:tc>
        <w:tc>
          <w:tcPr/>
          <w:p>
            <w:pPr>
              <w:pStyle w:val="Compact"/>
              <w:spacing w:after="60"/>
              <w:jc w:val="left"/>
            </w:pPr>
            <w:r>
              <w:rPr>
                <w:sz w:val="18"/>
              </w:rPr>
              <w:t xml:space="preserve">当前B、Q与F调制已使用定位先验</w:t>
            </w:r>
          </w:p>
        </w:tc>
        <w:tc>
          <w:tcPr/>
          <w:p>
            <w:pPr>
              <w:pStyle w:val="Compact"/>
              <w:spacing w:after="60"/>
              <w:jc w:val="left"/>
            </w:pPr>
            <w:r>
              <w:rPr>
                <w:sz w:val="18"/>
              </w:rPr>
              <w:t xml:space="preserve">核查具体漏检位置；若增加外部定位，比较同损毁模型前后</w:t>
            </w:r>
          </w:p>
        </w:tc>
        <w:tc>
          <w:tcPr/>
          <w:p>
            <w:pPr>
              <w:pStyle w:val="Compact"/>
              <w:spacing w:after="60"/>
              <w:jc w:val="left"/>
            </w:pPr>
            <w:r>
              <w:rPr>
                <w:sz w:val="18"/>
              </w:rPr>
              <w:t xml:space="preserve">把已有B换个名称再算新贡献</w:t>
            </w:r>
          </w:p>
        </w:tc>
      </w:tr>
      <w:tr>
        <w:tc>
          <w:tcPr/>
          <w:p>
            <w:pPr>
              <w:pStyle w:val="Compact"/>
              <w:spacing w:after="60"/>
              <w:jc w:val="left"/>
            </w:pPr>
            <w:r>
              <w:rPr>
                <w:sz w:val="18"/>
              </w:rPr>
              <w:t xml:space="preserve">完好区域光学/SAR一致性</w:t>
            </w:r>
          </w:p>
        </w:tc>
        <w:tc>
          <w:tcPr/>
          <w:p>
            <w:pPr>
              <w:pStyle w:val="Compact"/>
              <w:spacing w:after="60"/>
              <w:jc w:val="left"/>
            </w:pPr>
            <w:r>
              <w:rPr>
                <w:sz w:val="18"/>
              </w:rPr>
              <w:t xml:space="preserve">可能针对模态差异导致的完好误报</w:t>
            </w:r>
          </w:p>
        </w:tc>
        <w:tc>
          <w:tcPr/>
          <w:p>
            <w:pPr>
              <w:pStyle w:val="Compact"/>
              <w:spacing w:after="60"/>
              <w:jc w:val="left"/>
            </w:pPr>
            <w:r>
              <w:rPr>
                <w:sz w:val="18"/>
              </w:rPr>
              <w:t xml:space="preserve">仅在可训练投影或受控解冻层上单项对照</w:t>
            </w:r>
          </w:p>
        </w:tc>
        <w:tc>
          <w:tcPr/>
          <w:p>
            <w:pPr>
              <w:pStyle w:val="Compact"/>
              <w:spacing w:after="60"/>
              <w:jc w:val="left"/>
            </w:pPr>
            <w:r>
              <w:rPr>
                <w:sz w:val="18"/>
              </w:rPr>
              <w:t xml:space="preserve">冻结特征加常数MSE后声称学到一致性</w:t>
            </w:r>
          </w:p>
        </w:tc>
      </w:tr>
      <w:tr>
        <w:tc>
          <w:tcPr/>
          <w:p>
            <w:pPr>
              <w:pStyle w:val="Compact"/>
              <w:spacing w:after="60"/>
              <w:jc w:val="left"/>
            </w:pPr>
            <w:r>
              <w:rPr>
                <w:sz w:val="18"/>
              </w:rPr>
              <w:t xml:space="preserve">伪标签适配</w:t>
            </w:r>
          </w:p>
        </w:tc>
        <w:tc>
          <w:tcPr/>
          <w:p>
            <w:pPr>
              <w:pStyle w:val="Compact"/>
              <w:spacing w:after="60"/>
              <w:jc w:val="left"/>
            </w:pPr>
            <w:r>
              <w:rPr>
                <w:sz w:val="18"/>
              </w:rPr>
              <w:t xml:space="preserve">使用目标域图像，有独立数据协议</w:t>
            </w:r>
          </w:p>
        </w:tc>
        <w:tc>
          <w:tcPr/>
          <w:p>
            <w:pPr>
              <w:pStyle w:val="Compact"/>
              <w:spacing w:after="60"/>
              <w:jc w:val="left"/>
            </w:pPr>
            <w:r>
              <w:rPr>
                <w:sz w:val="18"/>
              </w:rPr>
              <w:t xml:space="preserve">单设target-adaptation表，注明标签与阈值来源</w:t>
            </w:r>
          </w:p>
        </w:tc>
        <w:tc>
          <w:tcPr/>
          <w:p>
            <w:pPr>
              <w:pStyle w:val="Compact"/>
              <w:spacing w:after="60"/>
              <w:jc w:val="left"/>
            </w:pPr>
            <w:r>
              <w:rPr>
                <w:sz w:val="18"/>
              </w:rPr>
              <w:t xml:space="preserve">混入Train-only主表或Test反复选型</w:t>
            </w:r>
          </w:p>
        </w:tc>
      </w:tr>
      <w:tr>
        <w:tc>
          <w:tcPr/>
          <w:p>
            <w:pPr>
              <w:pStyle w:val="Compact"/>
              <w:spacing w:after="60"/>
              <w:jc w:val="left"/>
            </w:pPr>
            <w:r>
              <w:rPr>
                <w:sz w:val="18"/>
              </w:rPr>
              <w:t xml:space="preserve">对象投票</w:t>
            </w:r>
          </w:p>
        </w:tc>
        <w:tc>
          <w:tcPr/>
          <w:p>
            <w:pPr>
              <w:pStyle w:val="Compact"/>
              <w:spacing w:after="60"/>
              <w:jc w:val="left"/>
            </w:pPr>
            <w:r>
              <w:rPr>
                <w:sz w:val="18"/>
              </w:rPr>
              <w:t xml:space="preserve">输出后处理，可能减少碎片也可能扩大误判</w:t>
            </w:r>
          </w:p>
        </w:tc>
        <w:tc>
          <w:tcPr/>
          <w:p>
            <w:pPr>
              <w:pStyle w:val="Compact"/>
              <w:spacing w:after="60"/>
              <w:jc w:val="left"/>
            </w:pPr>
            <w:r>
              <w:rPr>
                <w:sz w:val="18"/>
              </w:rPr>
              <w:t xml:space="preserve">固定同权重预测，单列后处理前后</w:t>
            </w:r>
          </w:p>
        </w:tc>
        <w:tc>
          <w:tcPr/>
          <w:p>
            <w:pPr>
              <w:pStyle w:val="Compact"/>
              <w:spacing w:after="60"/>
              <w:jc w:val="left"/>
            </w:pPr>
            <w:r>
              <w:rPr>
                <w:sz w:val="18"/>
              </w:rPr>
              <w:t xml:space="preserve">把单体对象一致性说成当前软区域已保证</w:t>
            </w:r>
          </w:p>
        </w:tc>
      </w:tr>
      <w:tr>
        <w:tc>
          <w:tcPr/>
          <w:p>
            <w:pPr>
              <w:pStyle w:val="Compact"/>
              <w:spacing w:after="60"/>
              <w:jc w:val="left"/>
            </w:pPr>
            <w:r>
              <w:rPr>
                <w:sz w:val="18"/>
              </w:rPr>
              <w:t xml:space="preserve">多模型/TTA集成</w:t>
            </w:r>
          </w:p>
        </w:tc>
        <w:tc>
          <w:tcPr/>
          <w:p>
            <w:pPr>
              <w:pStyle w:val="Compact"/>
              <w:spacing w:after="60"/>
              <w:jc w:val="left"/>
            </w:pPr>
            <w:r>
              <w:rPr>
                <w:sz w:val="18"/>
              </w:rPr>
              <w:t xml:space="preserve">额外计算和选择预算</w:t>
            </w:r>
          </w:p>
        </w:tc>
        <w:tc>
          <w:tcPr/>
          <w:p>
            <w:pPr>
              <w:pStyle w:val="Compact"/>
              <w:spacing w:after="60"/>
              <w:jc w:val="left"/>
            </w:pPr>
            <w:r>
              <w:rPr>
                <w:sz w:val="18"/>
              </w:rPr>
              <w:t xml:space="preserve">精度与成本并报</w:t>
            </w:r>
          </w:p>
        </w:tc>
        <w:tc>
          <w:tcPr/>
          <w:p>
            <w:pPr>
              <w:pStyle w:val="Compact"/>
              <w:spacing w:after="60"/>
              <w:jc w:val="left"/>
            </w:pPr>
            <w:r>
              <w:rPr>
                <w:sz w:val="18"/>
              </w:rPr>
              <w:t xml:space="preserve">与单模型结果直接归因比较</w:t>
            </w:r>
          </w:p>
        </w:tc>
      </w:tr>
    </w:tbl>
    <w:p>
      <w:pPr>
        <w:pStyle w:val="BodyText"/>
      </w:pPr>
      <w:r>
        <w:t xml:space="preserve">冠军代码中定位伪标签默认熵阈值0.3，而损毁变化检测默认为0.2；不能机械复制二手介绍。亚军检查到的配置实际采用OHEM CE，额外Lovász调用被注释；完好区域特征MSE存在。论文描述、公开提交与竞赛最终成绩应分别核实，不拼装成一个“作者完整复现”。详细代码来源见文献核验资料。</w:t>
      </w:r>
    </w:p>
    <w:bookmarkEnd w:id="27"/>
    <w:bookmarkStart w:id="28" w:name="论文整体逻辑怎么变化"/>
    <w:p>
      <w:pPr>
        <w:pStyle w:val="Heading2"/>
      </w:pPr>
      <w:r>
        <w:t xml:space="preserve">6. 论文整体逻辑怎么变化</w:t>
      </w:r>
    </w:p>
    <w:p>
      <w:pPr>
        <w:pStyle w:val="FirstParagraph"/>
      </w:pPr>
      <w:r>
        <w:t xml:space="preserve">原逻辑：区域划分不佳→学习建筑Q→结构Adapter→监督排序→报告旧完整模型分数。</w:t>
      </w:r>
    </w:p>
    <w:p>
      <w:pPr>
        <w:pStyle w:val="BodyText"/>
      </w:pPr>
      <w:r>
        <w:t xml:space="preserve">新逻辑：固定前端仍有区域混合→双槽保留不同来源内容→历史软标签补充图内信息→保留像素与基础概率联合判断→用匹配对照检验内容是否不同、案例是否有用、最终判断是否改善。</w:t>
      </w:r>
    </w:p>
    <w:p>
      <w:pPr>
        <w:pStyle w:val="BodyText"/>
      </w:pPr>
      <w:r>
        <w:t xml:space="preserve">引言只围绕这条因果链。相关工作分成异质损毁、软区域/槽、历史支持、训练与评价四部分。方法先写共同冻结基础，再写双槽、案例选择/读取、回投与残差输出、训练目标。实验先给协议和基础，再给同容量二因素对照、支持/标签拆解、槽内容、误改与事件，而不是先堆大量成功案例。</w:t>
      </w:r>
    </w:p>
    <w:p>
      <w:pPr>
        <w:pStyle w:val="BodyText"/>
      </w:pPr>
      <w:r>
        <w:t xml:space="preserve">创新贡献与结果结论要分开。方法章节可准确描述已实现机制，结果章节只能报告绑定当前权重与协议的实验。正文不应夹杂“你需要跑哪个命令”等协作语言。伴随稿提供实验计划供内部执行；完成后应删除“待测”和计划性注释再投稿。</w:t>
      </w:r>
    </w:p>
    <w:bookmarkEnd w:id="28"/>
    <w:bookmarkStart w:id="29" w:name="图需要怎样改先不重画"/>
    <w:p>
      <w:pPr>
        <w:pStyle w:val="Heading2"/>
      </w:pPr>
      <w:r>
        <w:t xml:space="preserve">7. 图需要怎样改，先不重画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/>
        </w:trPr>
        <w:tc>
          <w:tcPr/>
          <w:p>
            <w:pPr>
              <w:pStyle w:val="Compact"/>
              <w:spacing w:after="60"/>
              <w:jc w:val="left"/>
            </w:pPr>
            <w:r>
              <w:rPr>
                <w:sz w:val="18"/>
              </w:rPr>
              <w:t xml:space="preserve">原图</w:t>
            </w:r>
          </w:p>
        </w:tc>
        <w:tc>
          <w:tcPr/>
          <w:p>
            <w:pPr>
              <w:pStyle w:val="Compact"/>
              <w:spacing w:after="60"/>
              <w:jc w:val="left"/>
            </w:pPr>
            <w:r>
              <w:rPr>
                <w:sz w:val="18"/>
              </w:rPr>
              <w:t xml:space="preserve">修改重点</w:t>
            </w:r>
          </w:p>
        </w:tc>
      </w:tr>
      <w:tr>
        <w:tc>
          <w:tcPr/>
          <w:p>
            <w:pPr>
              <w:pStyle w:val="Compact"/>
              <w:spacing w:after="60"/>
              <w:jc w:val="left"/>
            </w:pPr>
            <w:r>
              <w:rPr>
                <w:sz w:val="18"/>
              </w:rPr>
              <w:t xml:space="preserve">图1总体框架</w:t>
            </w:r>
          </w:p>
        </w:tc>
        <w:tc>
          <w:tcPr/>
          <w:p>
            <w:pPr>
              <w:pStyle w:val="Compact"/>
              <w:spacing w:after="60"/>
              <w:jc w:val="left"/>
            </w:pPr>
            <w:r>
              <w:rPr>
                <w:sz w:val="18"/>
              </w:rPr>
              <w:t xml:space="preserve">加Q后的互补双槽、grid_probq及log概率残差；标冻结范围；删除监督投影Top8；KL只画训练虚线</w:t>
            </w:r>
          </w:p>
        </w:tc>
      </w:tr>
      <w:tr>
        <w:tc>
          <w:tcPr/>
          <w:p>
            <w:pPr>
              <w:pStyle w:val="Compact"/>
              <w:spacing w:after="60"/>
              <w:jc w:val="left"/>
            </w:pPr>
            <w:r>
              <w:rPr>
                <w:sz w:val="18"/>
              </w:rPr>
              <w:t xml:space="preserve">图2结构Adapter</w:t>
            </w:r>
          </w:p>
        </w:tc>
        <w:tc>
          <w:tcPr/>
          <w:p>
            <w:pPr>
              <w:pStyle w:val="Compact"/>
              <w:spacing w:after="60"/>
              <w:jc w:val="left"/>
            </w:pPr>
            <w:r>
              <w:rPr>
                <w:sz w:val="18"/>
              </w:rPr>
              <w:t xml:space="preserve">Adapter压缩成继承基础；重点改为Q×B/Q×(1−B)、质量归一化、同权软标签、共享父T128</w:t>
            </w:r>
          </w:p>
        </w:tc>
      </w:tr>
      <w:tr>
        <w:tc>
          <w:tcPr/>
          <w:p>
            <w:pPr>
              <w:pStyle w:val="Compact"/>
              <w:spacing w:after="60"/>
              <w:jc w:val="left"/>
            </w:pPr>
            <w:r>
              <w:rPr>
                <w:sz w:val="18"/>
              </w:rPr>
              <w:t xml:space="preserve">图3检索读取</w:t>
            </w:r>
          </w:p>
        </w:tc>
        <w:tc>
          <w:tcPr/>
          <w:p>
            <w:pPr>
              <w:pStyle w:val="Compact"/>
              <w:spacing w:after="60"/>
              <w:jc w:val="left"/>
            </w:pPr>
            <w:r>
              <w:rPr>
                <w:sz w:val="18"/>
              </w:rPr>
              <w:t xml:space="preserve">Top64父→最多128槽；同图/同事件排除；无事件embedding、无可学习fallback；显示读取后回投汇加</w:t>
            </w:r>
          </w:p>
        </w:tc>
      </w:tr>
      <w:tr>
        <w:tc>
          <w:tcPr/>
          <w:p>
            <w:pPr>
              <w:pStyle w:val="Compact"/>
              <w:spacing w:after="60"/>
              <w:jc w:val="left"/>
            </w:pPr>
            <w:r>
              <w:rPr>
                <w:sz w:val="18"/>
              </w:rPr>
              <w:t xml:space="preserve">图4数据概览</w:t>
            </w:r>
          </w:p>
        </w:tc>
        <w:tc>
          <w:tcPr/>
          <w:p>
            <w:pPr>
              <w:pStyle w:val="Compact"/>
              <w:spacing w:after="60"/>
              <w:jc w:val="left"/>
            </w:pPr>
            <w:r>
              <w:rPr>
                <w:sz w:val="18"/>
              </w:rPr>
              <w:t xml:space="preserve">可保留事件地图，重新核对数据来源、划分、图例；不能暗示未见事件泛化</w:t>
            </w:r>
          </w:p>
        </w:tc>
      </w:tr>
      <w:tr>
        <w:tc>
          <w:tcPr/>
          <w:p>
            <w:pPr>
              <w:pStyle w:val="Compact"/>
              <w:spacing w:after="60"/>
              <w:jc w:val="left"/>
            </w:pPr>
            <w:r>
              <w:rPr>
                <w:sz w:val="18"/>
              </w:rPr>
              <w:t xml:space="preserve">图5总体可视化</w:t>
            </w:r>
          </w:p>
        </w:tc>
        <w:tc>
          <w:tcPr/>
          <w:p>
            <w:pPr>
              <w:pStyle w:val="Compact"/>
              <w:spacing w:after="60"/>
              <w:jc w:val="left"/>
            </w:pPr>
            <w:r>
              <w:rPr>
                <w:sz w:val="18"/>
              </w:rPr>
              <w:t xml:space="preserve">可保留裁窗，但当前模型列必须用对应新权重重新导出；建议grid_probq/B/D/候选Anchor</w:t>
            </w:r>
          </w:p>
        </w:tc>
      </w:tr>
      <w:tr>
        <w:tc>
          <w:tcPr/>
          <w:p>
            <w:pPr>
              <w:pStyle w:val="Compact"/>
              <w:spacing w:after="60"/>
              <w:jc w:val="left"/>
            </w:pPr>
            <w:r>
              <w:rPr>
                <w:sz w:val="18"/>
              </w:rPr>
              <w:t xml:space="preserve">图6–8局部图</w:t>
            </w:r>
          </w:p>
        </w:tc>
        <w:tc>
          <w:tcPr/>
          <w:p>
            <w:pPr>
              <w:pStyle w:val="Compact"/>
              <w:spacing w:after="60"/>
              <w:jc w:val="left"/>
            </w:pPr>
            <w:r>
              <w:rPr>
                <w:sz w:val="18"/>
              </w:rPr>
              <w:t xml:space="preserve">改为双槽内容、历史支持及困难负例、配对纠错/误改；保留成功和失败例</w:t>
            </w:r>
          </w:p>
        </w:tc>
      </w:tr>
      <w:tr>
        <w:tc>
          <w:tcPr/>
          <w:p>
            <w:pPr>
              <w:pStyle w:val="Compact"/>
              <w:spacing w:after="60"/>
              <w:jc w:val="left"/>
            </w:pPr>
            <w:r>
              <w:rPr>
                <w:sz w:val="18"/>
              </w:rPr>
              <w:t xml:space="preserve">图9类别柱状图</w:t>
            </w:r>
          </w:p>
        </w:tc>
        <w:tc>
          <w:tcPr/>
          <w:p>
            <w:pPr>
              <w:pStyle w:val="Compact"/>
              <w:spacing w:after="60"/>
              <w:jc w:val="left"/>
            </w:pPr>
            <w:r>
              <w:rPr>
                <w:sz w:val="18"/>
              </w:rPr>
              <w:t xml:space="preserve">使用同轮完整结果与种子区间；旧69.64派生值不能迁移</w:t>
            </w:r>
          </w:p>
        </w:tc>
      </w:tr>
      <w:tr>
        <w:tc>
          <w:tcPr/>
          <w:p>
            <w:pPr>
              <w:pStyle w:val="Compact"/>
              <w:spacing w:after="60"/>
              <w:jc w:val="left"/>
            </w:pPr>
            <w:r>
              <w:rPr>
                <w:sz w:val="18"/>
              </w:rPr>
              <w:t xml:space="preserve">图10事件差值</w:t>
            </w:r>
          </w:p>
        </w:tc>
        <w:tc>
          <w:tcPr/>
          <w:p>
            <w:pPr>
              <w:pStyle w:val="Compact"/>
              <w:spacing w:after="60"/>
              <w:jc w:val="left"/>
            </w:pPr>
            <w:r>
              <w:rPr>
                <w:sz w:val="18"/>
              </w:rPr>
              <w:t xml:space="preserve">统一前景/四类口径；事件配对差值不等于留事件泛化；注明原始计数与缺类规则</w:t>
            </w:r>
          </w:p>
        </w:tc>
      </w:tr>
    </w:tbl>
    <w:p>
      <w:pPr>
        <w:pStyle w:val="BodyText"/>
      </w:pPr>
      <w:r>
        <w:t xml:space="preserve">上述图6–8是后续改版的建议用途；原裁窗可以保留，新增机制内容须从真实前向与配对预测导出。</w:t>
      </w:r>
    </w:p>
    <w:p>
      <w:pPr>
        <w:pStyle w:val="BodyText"/>
      </w:pPr>
      <w:r>
        <w:t xml:space="preserve">不要提前画入独立双槽通道、调制前SAR读取、新监督检索、冠军伪标签或亚军MSE。它们都属于未实现或未验证扩展。逐张现有图片的具体文字、箭头与保留元素见</w:t>
      </w:r>
      <w:r>
        <w:t xml:space="preserve"> </w:t>
      </w:r>
      <w:r>
        <w:rPr>
          <w:rStyle w:val="VerbatimChar"/>
        </w:rPr>
        <w:t xml:space="preserve">PAPER3_LOGIC_FIGURES.md</w:t>
      </w:r>
      <w:r>
        <w:t xml:space="preserve">。</w:t>
      </w:r>
    </w:p>
    <w:bookmarkEnd w:id="29"/>
    <w:bookmarkStart w:id="30" w:name="下一步按最少必要实验执行"/>
    <w:p>
      <w:pPr>
        <w:pStyle w:val="Heading2"/>
      </w:pPr>
      <w:r>
        <w:t xml:space="preserve">8. 下一步按最少必要实验执行</w:t>
      </w:r>
    </w:p>
    <w:p>
      <w:pPr>
        <w:pStyle w:val="FirstParagraph"/>
      </w:pPr>
      <w:r>
        <w:rPr>
          <w:b/>
          <w:bCs/>
        </w:rPr>
        <w:t xml:space="preserve">第一步：固定可运行的新实验身份。</w:t>
      </w:r>
      <w:r>
        <w:t xml:space="preserve"> </w:t>
      </w:r>
      <w:r>
        <w:t xml:space="preserve">排查当前路由检查失败，保留失败图名、dtype、随机/精度状态及Q/B统计；不能只放宽阈值或伪造完成报告。归档新Q/A1/划分/成员库/代码哈希，避免再次因清理删除依赖。</w:t>
      </w:r>
    </w:p>
    <w:p>
      <w:pPr>
        <w:pStyle w:val="BodyText"/>
      </w:pPr>
      <w:r>
        <w:rPr>
          <w:b/>
          <w:bCs/>
        </w:rPr>
        <w:t xml:space="preserve">第二步：完成已实现的D-control/anchor。</w:t>
      </w:r>
      <w:r>
        <w:t xml:space="preserve"> </w:t>
      </w:r>
      <w:r>
        <w:t xml:space="preserve">共用500步前缀及优化器，预定1500终点，双方相同0.2学习率；报告Val450、共同原loss、KL、Damaged精确率/召回率、Intact误改及事件。初始完整Val通过前，不宣称候选训练完成。</w:t>
      </w:r>
    </w:p>
    <w:p>
      <w:pPr>
        <w:pStyle w:val="BodyText"/>
      </w:pPr>
      <w:r>
        <w:rPr>
          <w:b/>
          <w:bCs/>
        </w:rPr>
        <w:t xml:space="preserve">第三步：完成双槽/候选内容诊断。</w:t>
      </w:r>
      <w:r>
        <w:t xml:space="preserve"> </w:t>
      </w:r>
      <w:r>
        <w:t xml:space="preserve">原始内容诊断只需冻结前端和库；Reader使用诊断才需联合头权重。两槽内容相似时先检查B、槽质量和调制前后信息；候选不足时先检查库覆盖/排序。不要同时改双槽融合和检索。</w:t>
      </w:r>
    </w:p>
    <w:p>
      <w:pPr>
        <w:pStyle w:val="BodyText"/>
      </w:pPr>
      <w:r>
        <w:rPr>
          <w:b/>
          <w:bCs/>
        </w:rPr>
        <w:t xml:space="preserve">第四步：只选择有证据的一个改动。</w:t>
      </w:r>
      <w:r>
        <w:t xml:space="preserve"> </w:t>
      </w:r>
      <w:r>
        <w:t xml:space="preserve">若互补内容存在但融合有限，比较原B与同容量独立通道B；若候选排序遗漏好案例，固定64父预算比较排序；若锚定有效，给B相同目标后比较D−B。每次单因素，避免重复实现已有低LR/背景loss研究。</w:t>
      </w:r>
    </w:p>
    <w:p>
      <w:pPr>
        <w:pStyle w:val="BodyText"/>
      </w:pPr>
      <w:r>
        <w:rPr>
          <w:b/>
          <w:bCs/>
        </w:rPr>
        <w:t xml:space="preserve">第五步：统一新版本做结构证据。</w:t>
      </w:r>
      <w:r>
        <w:t xml:space="preserve"> </w:t>
      </w:r>
      <w:r>
        <w:t xml:space="preserve">配对A/B/C/D，加匹配单槽和像素头，至少3种子；检索/标签拆解选择最关键两三项，不盲目组合几十个实验。固定主终点，再进行最终Test；已探索的Test使用应明确声明。</w:t>
      </w:r>
    </w:p>
    <w:p>
      <w:pPr>
        <w:pStyle w:val="BodyText"/>
      </w:pPr>
      <w:r>
        <w:t xml:space="preserve">正式分数没有可保证的预期值。应期望得到清晰证据，而不是预先要求涨1–3个百分点。如果新D始终不能超过同源grid_probq，论文必须保留这一事实并缩减性能主张；若只有双槽有效，就保留双槽主线，把Memory作为条件性或负面发现。</w:t>
      </w:r>
    </w:p>
    <w:bookmarkEnd w:id="30"/>
    <w:bookmarkStart w:id="31" w:name="本次交付与使用方式"/>
    <w:p>
      <w:pPr>
        <w:pStyle w:val="Heading2"/>
      </w:pPr>
      <w:r>
        <w:t xml:space="preserve">9. 本次交付与使用方式</w:t>
      </w:r>
    </w:p>
    <w:p>
      <w:pPr>
        <w:pStyle w:val="FirstParagraph"/>
      </w:pPr>
      <w:r>
        <w:t xml:space="preserve">新稿提供全文重写、完整方法公式、七类实验表和图位说明；所有新版本成绩留空。文献表约50项，附作者/官方代码核验来源、引用用途及未核实字段。出版原站的部分访问受限，因此不宣称每个DOI均已核实，也不编造缺失卷页。</w:t>
      </w:r>
    </w:p>
    <w:p>
      <w:pPr>
        <w:pStyle w:val="BodyText"/>
      </w:pPr>
      <w:r>
        <w:t xml:space="preserve">先确认方法与代码版本，再填实验，最后改图与摘要结果句。不要先把历史数字填入新稿，再倒推一个能够解释数字的结构。</w:t>
      </w:r>
    </w:p>
    <w:bookmarkEnd w:id="31"/>
    <w:bookmarkEnd w:id="32"/>
    <w:sectPr>
      <w:footerReference r:id="rId9" w:type="default"/>
      <w:pgSz w:h="16838" w:w="11906"/>
      <w:pgMar w:bottom="1134" w:left="1134" w:right="1134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  <w:fldSimple w:instr="PAGE"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00" w:line="276" w:lineRule="auto"/>
    </w:pPr>
    <w:rPr>
      <w:rFonts w:ascii="Times New Roman" w:eastAsia="宋体" w:hAnsi="Times New Roman"/>
      <w:sz w:val="21"/>
    </w:rPr>
  </w:style>
  <w:style w:styleId="BodyText" w:type="paragraph">
    <w:name w:val="Body Text"/>
    <w:basedOn w:val="Normal"/>
    <w:link w:val="BodyTextChar"/>
    <w:qFormat/>
    <w:pPr>
      <w:spacing w:after="100" w:before="180" w:line="276" w:lineRule="auto"/>
    </w:pPr>
    <w:rPr>
      <w:rFonts w:ascii="Times New Roman" w:eastAsia="宋体" w:hAnsi="Times New Roman"/>
      <w:sz w:val="21"/>
    </w:rPr>
  </w:style>
  <w:style w:customStyle="1" w:styleId="FirstParagraph" w:type="paragraph">
    <w:name w:val="First Paragraph"/>
    <w:basedOn w:val="BodyText"/>
    <w:next w:val="BodyText"/>
    <w:qFormat/>
    <w:pPr>
      <w:spacing w:after="100" w:line="276" w:lineRule="auto"/>
    </w:pPr>
    <w:rPr>
      <w:rFonts w:ascii="Times New Roman" w:eastAsia="宋体" w:hAnsi="Times New Roman"/>
      <w:sz w:val="21"/>
    </w:rPr>
  </w:style>
  <w:style w:customStyle="1" w:styleId="Compact" w:type="paragraph">
    <w:name w:val="Compact"/>
    <w:basedOn w:val="BodyText"/>
    <w:qFormat/>
    <w:pPr>
      <w:spacing w:after="100" w:before="36" w:line="276" w:lineRule="auto"/>
    </w:pPr>
    <w:rPr>
      <w:rFonts w:ascii="Times New Roman" w:eastAsia="宋体" w:hAnsi="Times New Roman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120" w:before="240"/>
      <w:jc w:val="center"/>
    </w:pPr>
    <w:rPr>
      <w:rFonts w:ascii="Arial" w:asciiTheme="majorHAnsi" w:cstheme="majorBidi" w:eastAsia="黑体" w:eastAsiaTheme="majorEastAsia" w:hAnsi="Arial" w:hAnsiTheme="majorHAnsi"/>
      <w:b/>
      <w:bCs/>
      <w:color w:val="1C3557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>
      <w:spacing w:after="100" w:line="276" w:lineRule="auto"/>
    </w:pPr>
    <w:rPr>
      <w:rFonts w:ascii="Times New Roman" w:eastAsia="宋体" w:hAnsi="Times New Roman"/>
      <w:sz w:val="21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20" w:before="240"/>
      <w:outlineLvl w:val="0"/>
    </w:pPr>
    <w:rPr>
      <w:rFonts w:ascii="Arial" w:asciiTheme="majorHAnsi" w:cstheme="majorBidi" w:eastAsia="黑体" w:eastAsiaTheme="majorEastAsia" w:hAnsi="Arial" w:hAnsiTheme="majorHAnsi"/>
      <w:b/>
      <w:bCs/>
      <w:color w:val="1C3557"/>
      <w:sz w:val="28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20" w:before="240"/>
      <w:outlineLvl w:val="1"/>
    </w:pPr>
    <w:rPr>
      <w:rFonts w:ascii="Arial" w:asciiTheme="majorHAnsi" w:cstheme="majorBidi" w:eastAsia="黑体" w:eastAsiaTheme="majorEastAsia" w:hAnsi="Arial" w:hAnsiTheme="majorHAnsi"/>
      <w:b/>
      <w:bCs/>
      <w:color w:val="1C3557"/>
      <w:sz w:val="24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120" w:before="240"/>
      <w:outlineLvl w:val="2"/>
    </w:pPr>
    <w:rPr>
      <w:rFonts w:ascii="Arial" w:asciiTheme="majorHAnsi" w:cstheme="majorBidi" w:eastAsia="黑体" w:eastAsiaTheme="majorEastAsia" w:hAnsi="Arial" w:hAnsiTheme="majorHAnsi"/>
      <w:b/>
      <w:bCs/>
      <w:color w:val="1C3557"/>
      <w:sz w:val="22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00" w:before="0" w:line="276" w:lineRule="auto"/>
    </w:pPr>
    <w:rPr>
      <w:rFonts w:ascii="Times New Roman" w:eastAsia="宋体" w:hAnsi="Times New Roman"/>
      <w:i/>
      <w:sz w:val="21"/>
    </w:rPr>
  </w:style>
  <w:style w:customStyle="1" w:styleId="TableCaption" w:type="paragraph">
    <w:name w:val="Table Caption"/>
    <w:basedOn w:val="Caption"/>
    <w:pPr>
      <w:keepNext/>
      <w:spacing w:after="100" w:line="276" w:lineRule="auto"/>
    </w:pPr>
    <w:rPr>
      <w:rFonts w:ascii="Times New Roman" w:eastAsia="宋体" w:hAnsi="Times New Roman"/>
      <w:sz w:val="21"/>
    </w:r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2026-10-18T15:30:43Z</dcterms:created>
  <dcterms:modified xsi:type="dcterms:W3CDTF">2026-10-18T15:30:43Z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