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面向光学sar建筑损毁评估的建筑概率双槽区域建模与历史案例联合推理"/>
    <w:p>
      <w:pPr>
        <w:pStyle w:val="Title"/>
      </w:pPr>
      <w:r>
        <w:t xml:space="preserve">面向光学—SAR建筑损毁评估的建筑概率双槽区域建模与历史案例联合推理</w:t>
      </w:r>
    </w:p>
    <w:p>
      <w:pPr>
        <w:pStyle w:val="FirstParagraph"/>
      </w:pPr>
      <w:r>
        <w:t xml:space="preserve">作者、单位及基金信息：待补充。</w:t>
      </w:r>
    </w:p>
    <w:p>
      <w:pPr>
        <w:pStyle w:val="BodyText"/>
      </w:pPr>
      <w:r>
        <w:rPr>
          <w:b/>
          <w:bCs/>
        </w:rPr>
        <w:t xml:space="preserve">修订稿说明（投稿前删除）：</w:t>
      </w:r>
      <w:r>
        <w:t xml:space="preserve"> </w:t>
      </w:r>
      <w:r>
        <w:t xml:space="preserve">本稿依据2026年10月18日核查的</w:t>
      </w:r>
      <w:r>
        <w:t xml:space="preserve"> </w:t>
      </w:r>
      <w:r>
        <w:rPr>
          <w:rStyle w:val="VerbatimChar"/>
        </w:rPr>
        <w:t xml:space="preserve">joint_anchor_fresh_chain_v2</w:t>
      </w:r>
      <w:r>
        <w:t xml:space="preserve"> </w:t>
      </w:r>
      <w:r>
        <w:t xml:space="preserve">及其依赖代码重写。它对应固定Q、建筑概率双槽、父区域Top64检索、像素—区域—历史案例残差联合分类。概率锚定KL是已实现但尚待完整验证的候选训练策略。本稿不将旧版69.64%的四类Test mIoU归给新方法，所有新版本尚未完成的成绩均以“待测”表示。第IV节包含可直接填数的实验表和分析段落；其中拟补实验不能在最终论文中写成已经执行。原图不在本稿重画，图位和图注按新方法给出，逐图改动详见配套说明。</w:t>
      </w:r>
    </w:p>
    <w:bookmarkStart w:id="20" w:name="摘要"/>
    <w:p>
      <w:pPr>
        <w:pStyle w:val="Heading2"/>
      </w:pPr>
      <w:r>
        <w:t xml:space="preserve">摘要</w:t>
      </w:r>
    </w:p>
    <w:p>
      <w:pPr>
        <w:pStyle w:val="FirstParagraph"/>
      </w:pPr>
      <w:r>
        <w:t xml:space="preserve">灾前光学影像与灾后合成孔径雷达影像为建筑损毁评估提供结构与散射状态的互补观测，但建筑与背景在区域摘要中的混合，以及历史外观近邻与损毁语义之间的不一致，限制了上下文信息的有效利用。针对上述问题，本文研究一种建筑概率双槽区域建模与历史案例联合推理框架。在预训练光学—SAR前端与软区域归属固定的条件下，利用预测建筑概率及其互补权重，将每个父区域组织为偏建筑和偏背景两个槽，并以对应权重构建区域特征与训练案例软标签。随后，在排除同图和同事件案例的前提下，根据父区域表示选择历史支持，由槽级读取器联合编码案例内容、角色、质量比例和类别分布。最后，将区域与案例上下文按原路由回投，与像素特征共同预测相对于Q概率共享基线的分类修正。为研究继续训练时的预测退化，进一步设置冻结基线输出一致性的匹配对照。实验围绕双槽内容差异、历史支持增量、逐类误改和跨事件表现展开，在统一训练预算下分别评价组件作用与整体性能。【最终填入：完整标准测试集的前景/四类mIoU、同源对照差值、多种子结果及事件统计。】本研究旨在明确结构先验和历史监督如何参与像素损毁判别，以及额外上下文在何种条件下改善或损害预测。</w:t>
      </w:r>
    </w:p>
    <w:p>
      <w:pPr>
        <w:pStyle w:val="BodyText"/>
      </w:pPr>
      <w:r>
        <w:rPr>
          <w:b/>
          <w:bCs/>
        </w:rPr>
        <w:t xml:space="preserve">关键词：</w:t>
      </w:r>
      <w:r>
        <w:t xml:space="preserve"> </w:t>
      </w:r>
      <w:r>
        <w:t xml:space="preserve">建筑损毁评估；光学—SAR；软区域归属；建筑概率双槽；历史案例读取；像素区域联合分类</w:t>
      </w:r>
    </w:p>
    <w:bookmarkEnd w:id="20"/>
    <w:bookmarkStart w:id="21" w:name="i.-引言"/>
    <w:p>
      <w:pPr>
        <w:pStyle w:val="Heading2"/>
      </w:pPr>
      <w:r>
        <w:t xml:space="preserve">I. 引言</w:t>
      </w:r>
    </w:p>
    <w:p>
      <w:pPr>
        <w:pStyle w:val="FirstParagraph"/>
      </w:pPr>
      <w:r>
        <w:t xml:space="preserve">快速确定建筑损毁的位置与程度，是灾情研判、救援部署和恢复评估的重要环节。xBD等数据集推动了灾前、灾后光学影像中的建筑定位与等级识别研究[1]。然而，灾后光学成像受云雾、光照和观测窗口限制；灾前光学与灾后SAR的组合可利用已有结构信息与灾后散射观测开展评估。BRIGHT为这种异质输入提供了多事件数据和标准实验协议[2]。与同模态变化检测相比，光学—SAR系统还需要处理模态差异、几何对应误差和损毁标签分布不均，不能把观测差异直接等同于损毁变化。</w:t>
      </w:r>
    </w:p>
    <w:p>
      <w:pPr>
        <w:pStyle w:val="BodyText"/>
      </w:pPr>
      <w:r>
        <w:t xml:space="preserve">建筑损毁模型已从逐像素分类扩展到对象分析、定位与等级的多任务学习，以及更大范围的特征关系建模。ChangeOS利用对象语义组织损毁判断，双任务孪生Transformer和ChangeMamba分别探索定位—损毁协作与时空状态空间表示[3, 4, 5]。这些设计提升了表征能力，但更强的前端不自动解决区域证据的使用问题：一个软区域可能同时覆盖屋顶、道路和邻近建筑；一个外观相似的历史区域，也可能具有不同的损毁等级。</w:t>
      </w:r>
    </w:p>
    <w:p>
      <w:pPr>
        <w:pStyle w:val="BodyText"/>
      </w:pPr>
      <w:r>
        <w:t xml:space="preserve">本文关注两个具体问题。第一，在不重新学习区域边界的条件下，能否使混合区域保留不同来源的内容，而不是只形成一份均值摘要？第二，历史标注案例能否提供图内上下文没有的信息，并由分类器结合当前像素判断其相关性？这两个问题分别涉及证据的组织和证据的读取。增加槽位、注意力或案例数量本身均可能改变模型容量，因此不能用完整模型相对基础网络的单个差值替代机制验证。</w:t>
      </w:r>
    </w:p>
    <w:p>
      <w:pPr>
        <w:pStyle w:val="BodyText"/>
      </w:pPr>
      <w:r>
        <w:t xml:space="preserve">软超像素、区域上下文和支持特征缓存已经提供了相关基础。SSN和全卷积超像素方法研究局部可微关联，Super Token Sampling进一步将软聚合与回投用于视觉表示[6, 7, 8]；OCR和MCIBI分别利用对象上下文和数据集级记忆增强像素表征[9, 10]；Tip-Adapter说明带标签的支持缓存可以与原分类分数联合使用[11]。因此，本文不把软池化、交叉注意力、Memory或残差融合本身作为首创，而将研究集中在光学—SAR损毁场景中，建筑概率如何组织双槽证据，以及历史软标签如何在保持像素信息的条件下参与判别。</w:t>
      </w:r>
    </w:p>
    <w:p>
      <w:pPr>
        <w:pStyle w:val="BodyText"/>
      </w:pPr>
      <w:r>
        <w:t xml:space="preserve">所研究框架固定已有光学—SAR前端和区域归属Q，用Q与预测建筑概率的互补乘积构造两个槽。训练支持库使用同样的路由生成槽特征和软标签，使所读取的标签分布描述与特征一致的空间范围。检索先根据冻结父区域表示选择案例身份，再由可训练读取器在其子槽内分配注意力。区域、槽与Memory上下文被回投到像素网格，并通过残差头修正Q概率共享的基础预测。另设置标准KL输出约束，用于检验“减少相对基线的过度修正”是否有助于保持损毁判别能力；其效果通过匹配实验确定。</w:t>
      </w:r>
    </w:p>
    <w:p>
      <w:pPr>
        <w:pStyle w:val="BodyText"/>
      </w:pPr>
      <w:r>
        <w:t xml:space="preserve">本文的三项设计贡献概括如下。</w:t>
      </w:r>
    </w:p>
    <w:p>
      <w:pPr>
        <w:pStyle w:val="Compact"/>
        <w:numPr>
          <w:ilvl w:val="0"/>
          <w:numId w:val="1001"/>
        </w:numPr>
      </w:pPr>
      <w:r>
        <w:rPr>
          <w:b/>
          <w:bCs/>
        </w:rPr>
        <w:t xml:space="preserve">建筑概率条件的双槽证据组织。</w:t>
      </w:r>
      <w:r>
        <w:t xml:space="preserve"> </w:t>
      </w:r>
      <w:r>
        <w:t xml:space="preserve">在固定软区域内，以连续互补权重分别汇总偏建筑与偏背景内容，并保持父区域上下文以及特征、软标签和回投权重的一致性。该设计研究区域混合问题，不将槽位等同于建筑实例或真实类别。</w:t>
      </w:r>
    </w:p>
    <w:p>
      <w:pPr>
        <w:pStyle w:val="Compact"/>
        <w:numPr>
          <w:ilvl w:val="0"/>
          <w:numId w:val="1001"/>
        </w:numPr>
      </w:pPr>
      <w:r>
        <w:rPr>
          <w:b/>
          <w:bCs/>
        </w:rPr>
        <w:t xml:space="preserve">父区域选择与槽级读取分离的历史案例联合推理。</w:t>
      </w:r>
      <w:r>
        <w:t xml:space="preserve"> </w:t>
      </w:r>
      <w:r>
        <w:t xml:space="preserve">在合法Train案例中选择父区域，再以槽内容、父上下文、槽角色、质量比例与训练软标签构成支持，通过可训练读取器与当前查询共同推理。图像和事件身份用于支持排除及审计，而非替代损毁特征。</w:t>
      </w:r>
    </w:p>
    <w:p>
      <w:pPr>
        <w:pStyle w:val="Compact"/>
        <w:numPr>
          <w:ilvl w:val="0"/>
          <w:numId w:val="1001"/>
        </w:numPr>
      </w:pPr>
      <w:r>
        <w:rPr>
          <w:b/>
          <w:bCs/>
        </w:rPr>
        <w:t xml:space="preserve">保留像素与概率基线的联合修正及机制验证。</w:t>
      </w:r>
      <w:r>
        <w:t xml:space="preserve"> </w:t>
      </w:r>
      <w:r>
        <w:t xml:space="preserve">以像素、父区域、双槽和案例上下文学习分类残差，将整体性能、槽内容、支持质量与配对纠错/误改联系起来，并通过相同初始化与数据流检验概率锚定训练的作用。标准残差与KL是实现工具，本项贡献的强度取决于机制对照与可重复的实验结果。</w:t>
      </w:r>
    </w:p>
    <w:p>
      <w:pPr>
        <w:pStyle w:val="FirstParagraph"/>
      </w:pPr>
      <w:r>
        <w:t xml:space="preserve">上述表述是方法与验证设计，不预设三项均产生正向成绩。若最终锚定训练无效，应如实报告，不把它作为已成立的性能贡献。</w:t>
      </w:r>
    </w:p>
    <w:bookmarkEnd w:id="21"/>
    <w:bookmarkStart w:id="26" w:name="ii.-相关工作"/>
    <w:p>
      <w:pPr>
        <w:pStyle w:val="Heading2"/>
      </w:pPr>
      <w:r>
        <w:t xml:space="preserve">II. 相关工作</w:t>
      </w:r>
    </w:p>
    <w:bookmarkStart w:id="22" w:name="a.-建筑损毁评估与异质遥感观测"/>
    <w:p>
      <w:pPr>
        <w:pStyle w:val="Heading3"/>
      </w:pPr>
      <w:r>
        <w:t xml:space="preserve">A. 建筑损毁评估与异质遥感观测</w:t>
      </w:r>
    </w:p>
    <w:p>
      <w:pPr>
        <w:pStyle w:val="FirstParagraph"/>
      </w:pPr>
      <w:r>
        <w:t xml:space="preserve">xBD和BRIGHT分别推动了光学双时相与光学—SAR损毁评估[1, 2]。ChangeOS将建筑对象与损毁状态联系起来，双任务孪生Transformer将建筑定位和等级判别纳入同一框架，ChangeMamba研究多尺度时空状态建模[3, 4, 5]。BIT、ChangeStar和SCanNet分别从Transformer、单时相监督和时空语义关系出发研究变化检测，但其任务与四类损毁分级的监督目标不同[12, 13, 14]。FlowMamba进一步探索光学流启发的状态空间损毁表示，说明跨时相关系仍是重要研究方向[15]。领域泛化研究及WILDS基准提示，熟悉分布的优势不自动等价于新事件泛化；本文将这一一般性认识用于设计事件分析，而不把它当作本方法的实验证据[16, 17]。</w:t>
      </w:r>
    </w:p>
    <w:p>
      <w:pPr>
        <w:pStyle w:val="BodyText"/>
      </w:pPr>
      <w:r>
        <w:t xml:space="preserve">在光学—SAR融合中，特征差异既包含损毁变化，也包含传感器成像差异。SEN12MS为多模态遥感表征提供配对观测与数据融合基础[18]。UANet与UABCD分别研究建筑提取和变化检测中的不确定性，冠军建筑引导伪标签方案将二者组织为两阶段流程[19, 20, 21]。DFC2025亚军的公开实现还包含完好区域特征一致性及目标域微调[22]。这些公开方案使用的定位模型、伪标签、集成和测试时增强应逐项记录。这些机制值得借鉴，但应与仅使用Train监督、冻结后评估的协议分开。本文沿用项目中的DamageFormer衍生前端，将其定位先验和融合特征作为公共基础，而不把骨干替换、测试图像适配或竞赛后处理的收益归给双槽与Memory。</w:t>
      </w:r>
    </w:p>
    <w:bookmarkEnd w:id="22"/>
    <w:bookmarkStart w:id="23" w:name="b.-软区域结构先验与上下文表征"/>
    <w:p>
      <w:pPr>
        <w:pStyle w:val="Heading3"/>
      </w:pPr>
      <w:r>
        <w:t xml:space="preserve">B. 软区域、结构先验与上下文表征</w:t>
      </w:r>
    </w:p>
    <w:p>
      <w:pPr>
        <w:pStyle w:val="FirstParagraph"/>
      </w:pPr>
      <w:r>
        <w:t xml:space="preserve">SLIC在外观和空间坐标上组织超像素；SSN和全卷积超像素方法将局部关联学习纳入神经网络[23, 6, 7]。Super Token Sampling进一步使用局部软关联进行区域聚合和像素回投[8]。因此，软区域既可减少计算，也可提供内容组织方式，但其视觉边界质量与损毁分类收益需要分别验证。</w:t>
      </w:r>
    </w:p>
    <w:p>
      <w:pPr>
        <w:pStyle w:val="BodyText"/>
      </w:pPr>
      <w:r>
        <w:t xml:space="preserve">PSPNet、Non-local、OCR与ISNet分别从金字塔上下文、全局关系、对象区域及图像/语义层上下文角度增强分割表征[24, 25, 9, 26]。Slot Attention可学习对象中心的潜在表示[27]，但本文的双槽并非通过竞争聚类学习的对象槽，而是由已有建筑概率定义的两个条件摘要。FarSeg从前景感知关系出发处理遥感对象和背景的差异[28]。本文当前阶段不重新训练前端适配器，而检验固定Q之后的证据组织，避免将前景先验本身再次作为独立首创。</w:t>
      </w:r>
    </w:p>
    <w:p>
      <w:pPr>
        <w:pStyle w:val="BodyText"/>
      </w:pPr>
      <w:r>
        <w:t xml:space="preserve">双槽的意义在于允许混合区域保留两种侧重，而不保证二者总是不同。若建筑概率在某区域内近似常量，分别归一化后的两槽均值可能相同；纯屋顶区域出现这种现象并不构成故障。因而本文将混合区域、边缘、低建筑概率位置与区域内部区分统计，而不是通过强制正交制造差异。</w:t>
      </w:r>
    </w:p>
    <w:bookmarkEnd w:id="23"/>
    <w:bookmarkStart w:id="24" w:name="c.-历史支持原型与记忆增强"/>
    <w:p>
      <w:pPr>
        <w:pStyle w:val="Heading3"/>
      </w:pPr>
      <w:r>
        <w:t xml:space="preserve">C. 历史支持、原型与记忆增强</w:t>
      </w:r>
    </w:p>
    <w:p>
      <w:pPr>
        <w:pStyle w:val="FirstParagraph"/>
      </w:pPr>
      <w:r>
        <w:t xml:space="preserve">Prototypical Networks和FEAT研究如何将支持样本转化为可用类别表示，Tip-Adapter以训练特征和标签构建缓存，并与基础模型预测联合使用[29, 30, 11]。分割领域中，MCIBI及其后续工作利用数据集级类别记忆增强像素上下文[10, 31]。PANet、PFENet和HSNet进一步研究原型对齐、先验引导和查询—支持相关性在少样本分割中的作用[32, 33, 34]。本文保留具体父区域及其两个槽，而不是只存储每类的单一平均原型；这使支持来源、类别混合与重复案例能够被显式检查。</w:t>
      </w:r>
    </w:p>
    <w:p>
      <w:pPr>
        <w:pStyle w:val="BodyText"/>
      </w:pPr>
      <w:r>
        <w:t xml:space="preserve">Cross-Batch Memory将历史批次特征用于度量学习，SupCon通过类别关系构造监督对比目标[35, 36]。这些机制与推理时读取带软标签的历史案例相关，但不等价。当前实现没有监督检索投影，Reader梯度不会更新父区域TopK的排序；如果未来引入可学习排序，必须作为新的实验因素，而不能把当前读取器称为已学习的跨事件检索器。</w:t>
      </w:r>
    </w:p>
    <w:p>
      <w:pPr>
        <w:pStyle w:val="BodyText"/>
      </w:pPr>
      <w:r>
        <w:t xml:space="preserve">本文将案例选择与案例读取分开。父区域选择控制支持身份和预算，槽级注意力决定如何读取已选支持。借鉴注意力机制的通用形式[37]，支持软标签仅进入值表示，图像和事件信息用于合法性过滤。这种分离允许分别验证检索质量、标签信息及读取器的贡献。</w:t>
      </w:r>
    </w:p>
    <w:bookmarkEnd w:id="24"/>
    <w:bookmarkStart w:id="25" w:name="d.-损失目标输出约束与评价"/>
    <w:p>
      <w:pPr>
        <w:pStyle w:val="Heading3"/>
      </w:pPr>
      <w:r>
        <w:t xml:space="preserve">D. 损失目标、输出约束与评价</w:t>
      </w:r>
    </w:p>
    <w:p>
      <w:pPr>
        <w:pStyle w:val="FirstParagraph"/>
      </w:pPr>
      <w:r>
        <w:t xml:space="preserve">Lovász-Softmax以可微代理目标优化分割重叠，交叉熵与Focal Loss分别从概率拟合和样本权重角度处理分类困难[38, 39]。这些目标的改善不保证数据集级前景mIoU同时提高，特别是在类别缺失、图像均值与像素累计采用不同权重时。本文保留损失分量和各类混淆统计，不根据总loss单独判断模型是否过拟合。</w:t>
      </w:r>
    </w:p>
    <w:p>
      <w:pPr>
        <w:pStyle w:val="BodyText"/>
      </w:pPr>
      <w:r>
        <w:t xml:space="preserve">知识蒸馏、Learning without Forgetting、L2-SP和DELTA分别从输出或参数/特征层约束新任务适配[40, 41, 42, 43]。本文候选KL沿用标准输出蒸馏形式，其作用是限制偏离冻结概率基线，而非识别哪些教师预测正确。Mean Teacher采用权重平均教师进行一致性学习，而本文教师固定为基础概率，两者的教师更新和数据协议不同[44]。温度校准及分布偏移下的不确定性研究也说明概率置信度与最终类别正确性并非同一量[45, 46]。如果锚定同时限制了对教师错误的纠正，即使KL变小，也不能认定方法有效。</w:t>
      </w:r>
    </w:p>
    <w:p>
      <w:pPr>
        <w:pStyle w:val="BodyText"/>
      </w:pPr>
      <w:r>
        <w:t xml:space="preserve">骨干、优化器和随机运行条件同样影响比较。Swin和SegFormer等网络提供不同的视觉表示结构，AdamW改变了权重衰减的实施方式[47, 48, 49]。梯度冲突方法如PCGrad为多目标取舍提供诊断视角[50]，但本文未默认接入梯度投影。正式实验设计采用配对运行与预先固定的终点，并拟报告多次训练的变异；随机划分、初始化与超参数选择带来的不确定性不能被一个最佳单次结果替代。</w:t>
      </w:r>
    </w:p>
    <w:bookmarkEnd w:id="25"/>
    <w:bookmarkEnd w:id="26"/>
    <w:bookmarkStart w:id="32" w:name="iii.-方法"/>
    <w:p>
      <w:pPr>
        <w:pStyle w:val="Heading2"/>
      </w:pPr>
      <w:r>
        <w:t xml:space="preserve">III. 方法</w:t>
      </w:r>
    </w:p>
    <w:bookmarkStart w:id="27" w:name="a.-任务与冻结前端"/>
    <w:p>
      <w:pPr>
        <w:pStyle w:val="Heading3"/>
      </w:pPr>
      <w:r>
        <w:t xml:space="preserve">A. 任务与冻结前端</w:t>
      </w:r>
    </w:p>
    <w:p>
      <w:pPr>
        <w:pStyle w:val="FirstParagraph"/>
      </w:pPr>
      <w:r>
        <w:t xml:space="preserve">给定配准后的灾前光学影像</w:t>
      </w:r>
      <w:r>
        <w:t xml:space="preserve"> </w:t>
      </w:r>
      <m:oMath>
        <m:sSup>
          <m:e>
            <m:r>
              <m:t>I</m:t>
            </m:r>
          </m:e>
          <m:sup>
            <m:r>
              <m:rPr>
                <m:sty m:val="p"/>
              </m:rPr>
              <m:t>o</m:t>
            </m:r>
            <m:r>
              <m:rPr>
                <m:sty m:val="p"/>
              </m:rPr>
              <m:t>p</m:t>
            </m:r>
            <m:r>
              <m:rPr>
                <m:sty m:val="p"/>
              </m:rPr>
              <m:t>t</m:t>
            </m:r>
          </m:sup>
        </m:sSup>
      </m:oMath>
      <w:r>
        <w:t xml:space="preserve"> </w:t>
      </w:r>
      <w:r>
        <w:t xml:space="preserve">与灾后SAR影像</w:t>
      </w:r>
      <w:r>
        <w:t xml:space="preserve"> </w:t>
      </w:r>
      <m:oMath>
        <m:sSup>
          <m:e>
            <m:r>
              <m:t>I</m:t>
            </m:r>
          </m:e>
          <m:sup>
            <m:r>
              <m:rPr>
                <m:sty m:val="p"/>
              </m:rPr>
              <m:t>s</m:t>
            </m:r>
            <m:r>
              <m:rPr>
                <m:sty m:val="p"/>
              </m:rPr>
              <m:t>a</m:t>
            </m:r>
            <m:r>
              <m:rPr>
                <m:sty m:val="p"/>
              </m:rPr>
              <m:t>r</m:t>
            </m:r>
          </m:sup>
        </m:sSup>
      </m:oMath>
      <w:r>
        <w:t xml:space="preserve">，预测每个有效像素的类别</w:t>
      </w:r>
      <w:r>
        <w:t xml:space="preserve"> </w:t>
      </w:r>
      <m:oMath>
        <m:sSub>
          <m:e>
            <m:r>
              <m:t>y</m:t>
            </m:r>
          </m:e>
          <m:sub>
            <m:r>
              <m:t>i</m:t>
            </m:r>
          </m:sub>
        </m:sSub>
        <m:r>
          <m:rPr>
            <m:sty m:val="p"/>
          </m:rPr>
          <m:t>∈</m:t>
        </m:r>
        <m:r>
          <m:rPr>
            <m:sty m:val="p"/>
          </m:rPr>
          <m:t>{</m:t>
        </m:r>
        <m:r>
          <m:t>0</m:t>
        </m:r>
        <m:r>
          <m:rPr>
            <m:sty m:val="p"/>
          </m:rPr>
          <m:t>,</m:t>
        </m:r>
        <m:r>
          <m:t>1</m:t>
        </m:r>
        <m:r>
          <m:rPr>
            <m:sty m:val="p"/>
          </m:rPr>
          <m:t>,</m:t>
        </m:r>
        <m:r>
          <m:t>2</m:t>
        </m:r>
        <m:r>
          <m:rPr>
            <m:sty m:val="p"/>
          </m:rPr>
          <m:t>,</m:t>
        </m:r>
        <m:r>
          <m:t>3</m:t>
        </m:r>
        <m:r>
          <m:rPr>
            <m:sty m:val="p"/>
          </m:rPr>
          <m:t>}</m:t>
        </m:r>
      </m:oMath>
      <w:r>
        <w:t xml:space="preserve">，依次表示背景、完好、受损、毁坏。忽略标签不参与监督和评价。记基础前端输出的融合特征为</w:t>
      </w:r>
      <w:r>
        <w:t xml:space="preserve"> </w:t>
      </w:r>
      <m:oMath>
        <m:sSub>
          <m:e>
            <m:r>
              <m:t>F</m:t>
            </m:r>
          </m:e>
          <m:sub>
            <m:r>
              <m:t>i</m:t>
            </m:r>
          </m:sub>
        </m:sSub>
        <m:r>
          <m:rPr>
            <m:sty m:val="p"/>
          </m:rPr>
          <m:t>∈</m:t>
        </m:r>
        <m:sSup>
          <m:e>
            <m:r>
              <m:rPr>
                <m:sty m:val="p"/>
                <m:scr m:val="double-struck"/>
              </m:rPr>
              <m:t>R</m:t>
            </m:r>
          </m:e>
          <m:sup>
            <m:r>
              <m:t>256</m:t>
            </m:r>
          </m:sup>
        </m:sSup>
      </m:oMath>
      <w:r>
        <w:t xml:space="preserve">，预测建筑概率为</w:t>
      </w:r>
      <w:r>
        <w:t xml:space="preserve"> </w:t>
      </w:r>
      <m:oMath>
        <m:sSub>
          <m:e>
            <m:r>
              <m:t>B</m:t>
            </m:r>
          </m:e>
          <m:sub>
            <m:r>
              <m:t>i</m:t>
            </m:r>
          </m:sub>
        </m:sSub>
        <m:r>
          <m:rPr>
            <m:sty m:val="p"/>
          </m:rPr>
          <m:t>∈</m:t>
        </m:r>
        <m:d>
          <m:dPr>
            <m:begChr m:val="["/>
            <m:endChr m:val="]"/>
            <m:sepChr m:val=""/>
            <m:grow/>
          </m:dPr>
          <m:e>
            <m:r>
              <m:t>0</m:t>
            </m:r>
            <m:r>
              <m:rPr>
                <m:sty m:val="p"/>
              </m:rPr>
              <m:t>,</m:t>
            </m:r>
            <m:r>
              <m:t>1</m:t>
            </m:r>
          </m:e>
        </m:d>
      </m:oMath>
      <w:r>
        <w:t xml:space="preserve">，原始四类概率为</w:t>
      </w:r>
      <w:r>
        <w:t xml:space="preserve"> </w:t>
      </w:r>
      <m:oMath>
        <m:sSub>
          <m:e>
            <m:r>
              <m:t>p</m:t>
            </m:r>
          </m:e>
          <m:sub>
            <m:r>
              <m:t>i</m:t>
            </m:r>
          </m:sub>
        </m:sSub>
      </m:oMath>
      <w:r>
        <w:t xml:space="preserve">。这里的</w:t>
      </w:r>
      <w:r>
        <w:t xml:space="preserve"> </w:t>
      </w:r>
      <m:oMath>
        <m:sSub>
          <m:e>
            <m:r>
              <m:t>p</m:t>
            </m:r>
          </m:e>
          <m:sub>
            <m:r>
              <m:t>i</m:t>
            </m:r>
          </m:sub>
        </m:sSub>
      </m:oMath>
      <w:r>
        <w:t xml:space="preserve"> </w:t>
      </w:r>
      <w:r>
        <w:t xml:space="preserve">在与Q对应的低分辨率网格上由native logits先做softmax得到，不以先恢复全分辨率后的概率代替。父区域表示由原始特征均值</w:t>
      </w:r>
      <w:r>
        <w:t xml:space="preserve"> </w:t>
      </w:r>
      <m:oMath>
        <m:sSub>
          <m:e>
            <m:acc>
              <m:accPr>
                <m:chr m:val="‾"/>
              </m:accPr>
              <m:e>
                <m:r>
                  <m:t>F</m:t>
                </m:r>
              </m:e>
            </m:acc>
          </m:e>
          <m:sub>
            <m:r>
              <m:t>r</m:t>
            </m:r>
          </m:sub>
        </m:sSub>
      </m:oMath>
      <w:r>
        <w:t xml:space="preserve"> </w:t>
      </w:r>
      <w:r>
        <w:t xml:space="preserve">与结构区域特征</w:t>
      </w:r>
      <w:r>
        <w:t xml:space="preserve"> </w:t>
      </w:r>
      <m:oMath>
        <m:sSub>
          <m:e>
            <m:r>
              <m:t>T</m:t>
            </m:r>
          </m:e>
          <m:sub>
            <m:r>
              <m:t>r</m:t>
            </m:r>
          </m:sub>
        </m:sSub>
        <m:r>
          <m:rPr>
            <m:sty m:val="p"/>
          </m:rPr>
          <m:t>∈</m:t>
        </m:r>
        <m:sSup>
          <m:e>
            <m:r>
              <m:rPr>
                <m:sty m:val="p"/>
                <m:scr m:val="double-struck"/>
              </m:rPr>
              <m:t>R</m:t>
            </m:r>
          </m:e>
          <m:sup>
            <m:r>
              <m:t>128</m:t>
            </m:r>
          </m:sup>
        </m:sSup>
      </m:oMath>
      <w:r>
        <w:t xml:space="preserve"> </w:t>
      </w:r>
      <w:r>
        <w:t xml:space="preserve">构成。</w:t>
      </w:r>
    </w:p>
    <w:p>
      <w:pPr>
        <w:pStyle w:val="BodyText"/>
      </w:pPr>
      <w:r>
        <w:t xml:space="preserve">当前联合阶段冻结前端、Q生成器及原始父表示生成过程。Q沿用已有局部九候选软区域模型；其源模型包含结构描述亲和、空间约束及建筑相容信息，父区域编码也已包含条件适配和统计汇总。这些是本轮共享基础，不应再按当前新增贡献重复归因。Q表示像素与局部区域中心的软关联，并不输出建筑实例身份，也不保证区域连通或严格位于建筑内部。</w:t>
      </w:r>
    </w:p>
    <w:p>
      <w:pPr>
        <w:pStyle w:val="BodyText"/>
      </w:pPr>
      <w:r>
        <w:t xml:space="preserve">当前</w:t>
      </w:r>
      <w:r>
        <w:t xml:space="preserve"> </w:t>
      </w:r>
      <m:oMath>
        <m:r>
          <m:t>F</m:t>
        </m:r>
      </m:oMath>
      <w:r>
        <w:t xml:space="preserve"> </w:t>
      </w:r>
      <w:r>
        <w:t xml:space="preserve">已经过前端的软建筑调制，背景响应受到衰减但并非全部置零。因此，后述偏背景槽只组织现有融合特征，不能被解释为恢复了未经抑制的原始SAR周边证据。新增独立SAR周边分支属于另一项结构实验，本稿未将其纳入已实现主模型。</w:t>
      </w:r>
    </w:p>
    <w:p>
      <w:pPr>
        <w:pStyle w:val="BodyText"/>
      </w:pPr>
      <w:r>
        <w:rPr>
          <w:b/>
          <w:bCs/>
        </w:rPr>
        <w:t xml:space="preserve">图1置于此处。</w:t>
      </w:r>
      <w:r>
        <w:t xml:space="preserve"> </w:t>
      </w:r>
      <w:r>
        <w:t xml:space="preserve">图1　总体框架：固定光学—SAR前端提供像素特征、建筑概率与Q；Q产生概率共享基线，Q与建筑概率产生双槽；父区域选择Train历史案例，槽级Reader读取其特征和软标签；像素、父区域、槽及案例上下文共同输出分类修正。冻结模块和可训练模块采用不同边框；KL仅以训练虚线标示。</w:t>
      </w:r>
    </w:p>
    <w:bookmarkEnd w:id="27"/>
    <w:bookmarkStart w:id="28" w:name="b.-q概率共享与建筑概率双槽"/>
    <w:p>
      <w:pPr>
        <w:pStyle w:val="Heading3"/>
      </w:pPr>
      <w:r>
        <w:t xml:space="preserve">B. Q概率共享与建筑概率双槽</w:t>
      </w:r>
    </w:p>
    <w:p>
      <w:pPr>
        <w:pStyle w:val="FirstParagraph"/>
      </w:pPr>
      <w:r>
        <w:t xml:space="preserve">记</w:t>
      </w:r>
      <w:r>
        <w:t xml:space="preserve"> </w:t>
      </w:r>
      <m:oMath>
        <m:sSub>
          <m:e>
            <m:r>
              <m:t>Q</m:t>
            </m:r>
          </m:e>
          <m:sub>
            <m:r>
              <m:t>i</m:t>
            </m:r>
            <m:r>
              <m:t>r</m:t>
            </m:r>
          </m:sub>
        </m:sSub>
        <m:r>
          <m:rPr>
            <m:sty m:val="p"/>
          </m:rPr>
          <m:t>≥</m:t>
        </m:r>
        <m:r>
          <m:t>0</m:t>
        </m:r>
      </m:oMath>
      <w:r>
        <w:t xml:space="preserve"> </w:t>
      </w:r>
      <w:r>
        <w:t xml:space="preserve">且</w:t>
      </w:r>
      <w:r>
        <w:t xml:space="preserve"> </w:t>
      </w:r>
      <m:oMath>
        <m:nary>
          <m:naryPr>
            <m:chr m:val="∑"/>
            <m:limLoc m:val="undOvr"/>
            <m:subHide m:val="off"/>
            <m:supHide m:val="on"/>
          </m:naryPr>
          <m:sub>
            <m:r>
              <m:t>r</m:t>
            </m:r>
          </m:sub>
          <m:sup>
            <m:r>
              <m:t>​</m:t>
            </m:r>
          </m:sup>
          <m:e>
            <m:sSub>
              <m:e>
                <m:r>
                  <m:t>Q</m:t>
                </m:r>
              </m:e>
              <m:sub>
                <m:r>
                  <m:t>i</m:t>
                </m:r>
                <m:r>
                  <m:t>r</m:t>
                </m:r>
              </m:sub>
            </m:sSub>
          </m:e>
        </m:nary>
        <m:r>
          <m:rPr>
            <m:sty m:val="p"/>
          </m:rPr>
          <m:t>=</m:t>
        </m:r>
        <m:r>
          <m:t>1</m:t>
        </m:r>
      </m:oMath>
      <w:r>
        <w:t xml:space="preserve">。未出现在位置</w:t>
      </w:r>
      <w:r>
        <w:t xml:space="preserve"> </w:t>
      </w:r>
      <m:oMath>
        <m:r>
          <m:t>i</m:t>
        </m:r>
      </m:oMath>
      <w:r>
        <w:t xml:space="preserve"> </w:t>
      </w:r>
      <w:r>
        <w:t xml:space="preserve">的局部候选集合中的区域，其权重为零。Q概率共享先汇总四类概率，再沿同一Q回投：</w:t>
      </w:r>
    </w:p>
    <w:p>
      <w:pPr>
        <w:pStyle w:val="BodyText"/>
      </w:pPr>
      <m:oMathPara>
        <m:oMathParaPr>
          <m:jc m:val="center"/>
        </m:oMathParaPr>
        <m:oMath>
          <m:sSub>
            <m:e>
              <m:acc>
                <m:accPr>
                  <m:chr m:val="‾"/>
                </m:accPr>
                <m:e>
                  <m:r>
                    <m:t>p</m:t>
                  </m:r>
                </m:e>
              </m:acc>
            </m:e>
            <m:sub>
              <m:r>
                <m:t>r</m:t>
              </m:r>
            </m:sub>
          </m:sSub>
          <m:r>
            <m:rPr>
              <m:sty m:val="p"/>
            </m:rPr>
            <m:t>=</m:t>
          </m:r>
          <m:f>
            <m:fPr>
              <m:type m:val="bar"/>
            </m:fPr>
            <m:num>
              <m:nary>
                <m:naryPr>
                  <m:chr m:val="∑"/>
                  <m:limLoc m:val="undOvr"/>
                  <m:subHide m:val="off"/>
                  <m:supHide m:val="on"/>
                </m:naryPr>
                <m:sub>
                  <m:r>
                    <m:t>i</m:t>
                  </m:r>
                </m:sub>
                <m:sup>
                  <m:r>
                    <m:t>​</m:t>
                  </m:r>
                </m:sup>
                <m:e>
                  <m:sSub>
                    <m:e>
                      <m:r>
                        <m:t>Q</m:t>
                      </m:r>
                    </m:e>
                    <m:sub>
                      <m:r>
                        <m:t>i</m:t>
                      </m:r>
                      <m:r>
                        <m:t>r</m:t>
                      </m:r>
                    </m:sub>
                  </m:sSub>
                </m:e>
              </m:nary>
              <m:sSub>
                <m:e>
                  <m:r>
                    <m:t>p</m:t>
                  </m:r>
                </m:e>
                <m:sub>
                  <m:r>
                    <m:t>i</m:t>
                  </m:r>
                </m:sub>
              </m:sSub>
            </m:num>
            <m:den>
              <m:nary>
                <m:naryPr>
                  <m:chr m:val="∑"/>
                  <m:limLoc m:val="undOvr"/>
                  <m:subHide m:val="off"/>
                  <m:supHide m:val="on"/>
                </m:naryPr>
                <m:sub>
                  <m:r>
                    <m:t>i</m:t>
                  </m:r>
                </m:sub>
                <m:sup>
                  <m:r>
                    <m:t>​</m:t>
                  </m:r>
                </m:sup>
                <m:e>
                  <m:sSub>
                    <m:e>
                      <m:r>
                        <m:t>Q</m:t>
                      </m:r>
                    </m:e>
                    <m:sub>
                      <m:r>
                        <m:t>i</m:t>
                      </m:r>
                      <m:r>
                        <m:t>r</m:t>
                      </m:r>
                    </m:sub>
                  </m:sSub>
                </m:e>
              </m:nary>
            </m:den>
          </m:f>
          <m:r>
            <m:rPr>
              <m:sty m:val="p"/>
            </m:rPr>
            <m:t>,</m:t>
          </m:r>
          <m:r>
            <m:t>  </m:t>
          </m:r>
          <m:sSubSup>
            <m:e>
              <m:r>
                <m:t>p</m:t>
              </m:r>
            </m:e>
            <m:sub>
              <m:r>
                <m:t>i</m:t>
              </m:r>
            </m:sub>
            <m:sup>
              <m:r>
                <m:t>0</m:t>
              </m:r>
            </m:sup>
          </m:sSubSup>
          <m:r>
            <m:rPr>
              <m:sty m:val="p"/>
            </m:rPr>
            <m:t>=</m:t>
          </m:r>
          <m:nary>
            <m:naryPr>
              <m:chr m:val="∑"/>
              <m:limLoc m:val="undOvr"/>
              <m:subHide m:val="off"/>
              <m:supHide m:val="on"/>
            </m:naryPr>
            <m:sub>
              <m:r>
                <m:t>r</m:t>
              </m:r>
            </m:sub>
            <m:sup>
              <m:r>
                <m:t>​</m:t>
              </m:r>
            </m:sup>
            <m:e>
              <m:sSub>
                <m:e>
                  <m:r>
                    <m:t>Q</m:t>
                  </m:r>
                </m:e>
                <m:sub>
                  <m:r>
                    <m:t>i</m:t>
                  </m:r>
                  <m:r>
                    <m:t>r</m:t>
                  </m:r>
                </m:sub>
              </m:sSub>
            </m:e>
          </m:nary>
          <m:sSub>
            <m:e>
              <m:acc>
                <m:accPr>
                  <m:chr m:val="‾"/>
                </m:accPr>
                <m:e>
                  <m:r>
                    <m:t>p</m:t>
                  </m:r>
                </m:e>
              </m:acc>
            </m:e>
            <m:sub>
              <m:r>
                <m:t>r</m:t>
              </m:r>
            </m:sub>
          </m:sSub>
          <m:r>
            <m:rPr>
              <m:sty m:val="p"/>
            </m:rPr>
            <m:t>.</m:t>
          </m:r>
          <m:r>
            <m:t>  </m:t>
          </m:r>
          <m:r>
            <m:rPr>
              <m:nor/>
              <m:sty m:val="p"/>
            </m:rPr>
            <m:t>(1)</m:t>
          </m:r>
        </m:oMath>
      </m:oMathPara>
    </w:p>
    <w:p>
      <w:pPr>
        <w:pStyle w:val="FirstParagraph"/>
      </w:pPr>
      <w:r>
        <w:t xml:space="preserve">实际实现还包含分辨率恢复与概率归一化；零质量区域使用无效掩膜。该操作共享的是基础类别概率，区别于先平均logits后softmax，也区别于对最终联合输出再做一次平滑。</w:t>
      </w:r>
    </w:p>
    <w:p>
      <w:pPr>
        <w:pStyle w:val="BodyText"/>
      </w:pPr>
      <w:r>
        <w:t xml:space="preserve">在每个父区域内定义两个槽的路由：</w:t>
      </w:r>
    </w:p>
    <w:p>
      <w:pPr>
        <w:pStyle w:val="BodyText"/>
      </w:pPr>
      <m:oMathPara>
        <m:oMathParaPr>
          <m:jc m:val="center"/>
        </m:oMathParaPr>
        <m:oMath>
          <m:sSub>
            <m:e>
              <m:r>
                <m:t>w</m:t>
              </m:r>
            </m:e>
            <m:sub>
              <m:r>
                <m:t>i</m:t>
              </m:r>
              <m:r>
                <m:t>r</m:t>
              </m:r>
              <m:r>
                <m:t>0</m:t>
              </m:r>
            </m:sub>
          </m:sSub>
          <m:r>
            <m:rPr>
              <m:sty m:val="p"/>
            </m:rPr>
            <m:t>=</m:t>
          </m:r>
          <m:sSub>
            <m:e>
              <m:r>
                <m:t>Q</m:t>
              </m:r>
            </m:e>
            <m:sub>
              <m:r>
                <m:t>i</m:t>
              </m:r>
              <m:r>
                <m:t>r</m:t>
              </m:r>
            </m:sub>
          </m:sSub>
          <m:d>
            <m:dPr>
              <m:begChr m:val="("/>
              <m:endChr m:val=")"/>
              <m:sepChr m:val=""/>
              <m:grow/>
            </m:dPr>
            <m:e>
              <m:r>
                <m:t>1</m:t>
              </m:r>
              <m:r>
                <m:rPr>
                  <m:sty m:val="p"/>
                </m:rPr>
                <m:t>−</m:t>
              </m:r>
              <m:sSub>
                <m:e>
                  <m:r>
                    <m:t>B</m:t>
                  </m:r>
                </m:e>
                <m:sub>
                  <m:r>
                    <m:t>i</m:t>
                  </m:r>
                </m:sub>
              </m:sSub>
            </m:e>
          </m:d>
          <m:r>
            <m:rPr>
              <m:sty m:val="p"/>
            </m:rPr>
            <m:t>,</m:t>
          </m:r>
          <m:r>
            <m:t>  </m:t>
          </m:r>
          <m:sSub>
            <m:e>
              <m:r>
                <m:t>w</m:t>
              </m:r>
            </m:e>
            <m:sub>
              <m:r>
                <m:t>i</m:t>
              </m:r>
              <m:r>
                <m:t>r</m:t>
              </m:r>
              <m:r>
                <m:t>1</m:t>
              </m:r>
            </m:sub>
          </m:sSub>
          <m:r>
            <m:rPr>
              <m:sty m:val="p"/>
            </m:rPr>
            <m:t>=</m:t>
          </m:r>
          <m:sSub>
            <m:e>
              <m:r>
                <m:t>Q</m:t>
              </m:r>
            </m:e>
            <m:sub>
              <m:r>
                <m:t>i</m:t>
              </m:r>
              <m:r>
                <m:t>r</m:t>
              </m:r>
            </m:sub>
          </m:sSub>
          <m:sSub>
            <m:e>
              <m:r>
                <m:t>B</m:t>
              </m:r>
            </m:e>
            <m:sub>
              <m:r>
                <m:t>i</m:t>
              </m:r>
            </m:sub>
          </m:sSub>
          <m:r>
            <m:rPr>
              <m:sty m:val="p"/>
            </m:rPr>
            <m:t>.</m:t>
          </m:r>
          <m:r>
            <m:t>  </m:t>
          </m:r>
          <m:r>
            <m:rPr>
              <m:nor/>
              <m:sty m:val="p"/>
            </m:rPr>
            <m:t>(2)</m:t>
          </m:r>
        </m:oMath>
      </m:oMathPara>
    </w:p>
    <w:p>
      <w:pPr>
        <w:pStyle w:val="FirstParagraph"/>
      </w:pPr>
      <w:r>
        <w:t xml:space="preserve">槽0和槽1分别称为偏背景槽与偏建筑槽，名称表示汇总角色。二者满足</w:t>
      </w:r>
      <w:r>
        <w:t xml:space="preserve"> </w:t>
      </w:r>
      <m:oMath>
        <m:sSub>
          <m:e>
            <m:r>
              <m:t>w</m:t>
            </m:r>
          </m:e>
          <m:sub>
            <m:r>
              <m:t>i</m:t>
            </m:r>
            <m:r>
              <m:t>r</m:t>
            </m:r>
            <m:r>
              <m:t>0</m:t>
            </m:r>
          </m:sub>
        </m:sSub>
        <m:r>
          <m:rPr>
            <m:sty m:val="p"/>
          </m:rPr>
          <m:t>+</m:t>
        </m:r>
        <m:sSub>
          <m:e>
            <m:r>
              <m:t>w</m:t>
            </m:r>
          </m:e>
          <m:sub>
            <m:r>
              <m:t>i</m:t>
            </m:r>
            <m:r>
              <m:t>r</m:t>
            </m:r>
            <m:r>
              <m:t>1</m:t>
            </m:r>
          </m:sub>
        </m:sSub>
        <m:r>
          <m:rPr>
            <m:sty m:val="p"/>
          </m:rPr>
          <m:t>=</m:t>
        </m:r>
        <m:sSub>
          <m:e>
            <m:r>
              <m:t>Q</m:t>
            </m:r>
          </m:e>
          <m:sub>
            <m:r>
              <m:t>i</m:t>
            </m:r>
            <m:r>
              <m:t>r</m:t>
            </m:r>
          </m:sub>
        </m:sSub>
      </m:oMath>
      <w:r>
        <w:t xml:space="preserve">，因此没有通过复制完整区域而人为增加像素总质量。实际计算在特征网格上使用插值后的预测</w:t>
      </w:r>
      <w:r>
        <w:t xml:space="preserve"> </w:t>
      </w:r>
      <m:oMath>
        <m:r>
          <m:t>B</m:t>
        </m:r>
      </m:oMath>
      <w:r>
        <w:t xml:space="preserve">；查询真值不参与路由生成。</w:t>
      </w:r>
    </w:p>
    <w:p>
      <w:pPr>
        <w:pStyle w:val="BodyText"/>
      </w:pPr>
      <w:r>
        <w:t xml:space="preserve">对正质量槽，定义槽质量、均值和质量比例：</w:t>
      </w:r>
    </w:p>
    <w:p>
      <w:pPr>
        <w:pStyle w:val="BodyText"/>
      </w:pPr>
      <m:oMathPara>
        <m:oMathParaPr>
          <m:jc m:val="center"/>
        </m:oMathParaPr>
        <m:oMath>
          <m:sSub>
            <m:e>
              <m:r>
                <m:t>m</m:t>
              </m:r>
            </m:e>
            <m:sub>
              <m:r>
                <m:t>r</m:t>
              </m:r>
              <m:r>
                <m:t>s</m:t>
              </m:r>
            </m:sub>
          </m:sSub>
          <m:r>
            <m:rPr>
              <m:sty m:val="p"/>
            </m:rPr>
            <m:t>=</m:t>
          </m:r>
          <m:nary>
            <m:naryPr>
              <m:chr m:val="∑"/>
              <m:limLoc m:val="undOvr"/>
              <m:subHide m:val="off"/>
              <m:supHide m:val="on"/>
            </m:naryPr>
            <m:sub>
              <m:r>
                <m:t>i</m:t>
              </m:r>
            </m:sub>
            <m:sup>
              <m:r>
                <m:t>​</m:t>
              </m:r>
            </m:sup>
            <m:e>
              <m:sSub>
                <m:e>
                  <m:r>
                    <m:t>w</m:t>
                  </m:r>
                </m:e>
                <m:sub>
                  <m:r>
                    <m:t>i</m:t>
                  </m:r>
                  <m:r>
                    <m:t>r</m:t>
                  </m:r>
                  <m:r>
                    <m:t>s</m:t>
                  </m:r>
                </m:sub>
              </m:sSub>
            </m:e>
          </m:nary>
          <m:r>
            <m:rPr>
              <m:sty m:val="p"/>
            </m:rPr>
            <m:t>,</m:t>
          </m:r>
          <m:r>
            <m:t> </m:t>
          </m:r>
          <m:sSub>
            <m:e>
              <m:r>
                <m:t>f</m:t>
              </m:r>
            </m:e>
            <m:sub>
              <m:r>
                <m:t>r</m:t>
              </m:r>
              <m:r>
                <m:t>s</m:t>
              </m:r>
            </m:sub>
          </m:sSub>
          <m:r>
            <m:rPr>
              <m:sty m:val="p"/>
            </m:rPr>
            <m:t>=</m:t>
          </m:r>
          <m:f>
            <m:fPr>
              <m:type m:val="bar"/>
            </m:fPr>
            <m:num>
              <m:nary>
                <m:naryPr>
                  <m:chr m:val="∑"/>
                  <m:limLoc m:val="undOvr"/>
                  <m:subHide m:val="off"/>
                  <m:supHide m:val="on"/>
                </m:naryPr>
                <m:sub>
                  <m:r>
                    <m:t>i</m:t>
                  </m:r>
                </m:sub>
                <m:sup>
                  <m:r>
                    <m:t>​</m:t>
                  </m:r>
                </m:sup>
                <m:e>
                  <m:sSub>
                    <m:e>
                      <m:r>
                        <m:t>w</m:t>
                      </m:r>
                    </m:e>
                    <m:sub>
                      <m:r>
                        <m:t>i</m:t>
                      </m:r>
                      <m:r>
                        <m:t>r</m:t>
                      </m:r>
                      <m:r>
                        <m:t>s</m:t>
                      </m:r>
                    </m:sub>
                  </m:sSub>
                </m:e>
              </m:nary>
              <m:sSub>
                <m:e>
                  <m:r>
                    <m:t>F</m:t>
                  </m:r>
                </m:e>
                <m:sub>
                  <m:r>
                    <m:t>i</m:t>
                  </m:r>
                </m:sub>
              </m:sSub>
            </m:num>
            <m:den>
              <m:sSub>
                <m:e>
                  <m:r>
                    <m:t>m</m:t>
                  </m:r>
                </m:e>
                <m:sub>
                  <m:r>
                    <m:t>r</m:t>
                  </m:r>
                  <m:r>
                    <m:t>s</m:t>
                  </m:r>
                </m:sub>
              </m:sSub>
            </m:den>
          </m:f>
          <m:r>
            <m:rPr>
              <m:sty m:val="p"/>
            </m:rPr>
            <m:t>,</m:t>
          </m:r>
          <m:r>
            <m:t> </m:t>
          </m:r>
          <m:sSub>
            <m:e>
              <m:r>
                <m:t>ρ</m:t>
              </m:r>
            </m:e>
            <m:sub>
              <m:r>
                <m:t>r</m:t>
              </m:r>
              <m:r>
                <m:t>s</m:t>
              </m:r>
            </m:sub>
          </m:sSub>
          <m:r>
            <m:rPr>
              <m:sty m:val="p"/>
            </m:rPr>
            <m:t>=</m:t>
          </m:r>
          <m:f>
            <m:fPr>
              <m:type m:val="bar"/>
            </m:fPr>
            <m:num>
              <m:sSub>
                <m:e>
                  <m:r>
                    <m:t>m</m:t>
                  </m:r>
                </m:e>
                <m:sub>
                  <m:r>
                    <m:t>r</m:t>
                  </m:r>
                  <m:r>
                    <m:t>s</m:t>
                  </m:r>
                </m:sub>
              </m:sSub>
            </m:num>
            <m:den>
              <m:sSub>
                <m:e>
                  <m:r>
                    <m:t>m</m:t>
                  </m:r>
                </m:e>
                <m:sub>
                  <m:r>
                    <m:t>r</m:t>
                  </m:r>
                  <m:r>
                    <m:t>0</m:t>
                  </m:r>
                </m:sub>
              </m:sSub>
              <m:r>
                <m:rPr>
                  <m:sty m:val="p"/>
                </m:rPr>
                <m:t>+</m:t>
              </m:r>
              <m:sSub>
                <m:e>
                  <m:r>
                    <m:t>m</m:t>
                  </m:r>
                </m:e>
                <m:sub>
                  <m:r>
                    <m:t>r</m:t>
                  </m:r>
                  <m:r>
                    <m:t>1</m:t>
                  </m:r>
                </m:sub>
              </m:sSub>
            </m:den>
          </m:f>
          <m:r>
            <m:rPr>
              <m:sty m:val="p"/>
            </m:rPr>
            <m:t>.</m:t>
          </m:r>
          <m:r>
            <m:t>  </m:t>
          </m:r>
          <m:r>
            <m:rPr>
              <m:nor/>
              <m:sty m:val="p"/>
            </m:rPr>
            <m:t>(3)</m:t>
          </m:r>
        </m:oMath>
      </m:oMathPara>
    </w:p>
    <w:p>
      <w:pPr>
        <w:pStyle w:val="FirstParagraph"/>
      </w:pPr>
      <w:r>
        <w:t xml:space="preserve">零质量槽置零并被有效性掩膜排除；不通过任意小质量下限改变正质量槽的均值。对Train支持，设</w:t>
      </w:r>
      <w:r>
        <w:t xml:space="preserve"> </w:t>
      </w:r>
      <m:oMath>
        <m:sSub>
          <m:e>
            <m:r>
              <m:t>a</m:t>
            </m:r>
          </m:e>
          <m:sub>
            <m:r>
              <m:t>i</m:t>
            </m:r>
            <m:r>
              <m:t>c</m:t>
            </m:r>
          </m:sub>
        </m:sSub>
      </m:oMath>
      <w:r>
        <w:t xml:space="preserve"> </w:t>
      </w:r>
      <w:r>
        <w:t xml:space="preserve">为有效one-hot标签在特征网格上的面积质量，则软标签为</w:t>
      </w:r>
    </w:p>
    <w:p>
      <w:pPr>
        <w:pStyle w:val="BodyText"/>
      </w:pPr>
      <m:oMathPara>
        <m:oMathParaPr>
          <m:jc m:val="center"/>
        </m:oMathParaPr>
        <m:oMath>
          <m:sSubSup>
            <m:e>
              <m:r>
                <m:t>y</m:t>
              </m:r>
            </m:e>
            <m:sub>
              <m:r>
                <m:t>r</m:t>
              </m:r>
              <m:r>
                <m:t>s</m:t>
              </m:r>
              <m:r>
                <m:rPr>
                  <m:sty m:val="p"/>
                </m:rPr>
                <m:t>,</m:t>
              </m:r>
              <m:r>
                <m:t>c</m:t>
              </m:r>
            </m:sub>
            <m:sup>
              <m:r>
                <m:rPr>
                  <m:sty m:val="p"/>
                </m:rPr>
                <m:t>s</m:t>
              </m:r>
              <m:r>
                <m:rPr>
                  <m:sty m:val="p"/>
                </m:rPr>
                <m:t>u</m:t>
              </m:r>
              <m:r>
                <m:rPr>
                  <m:sty m:val="p"/>
                </m:rPr>
                <m:t>p</m:t>
              </m:r>
            </m:sup>
          </m:sSubSup>
          <m:r>
            <m:rPr>
              <m:sty m:val="p"/>
            </m:rPr>
            <m:t>=</m:t>
          </m:r>
          <m:f>
            <m:fPr>
              <m:type m:val="bar"/>
            </m:fPr>
            <m:num>
              <m:nary>
                <m:naryPr>
                  <m:chr m:val="∑"/>
                  <m:limLoc m:val="undOvr"/>
                  <m:subHide m:val="off"/>
                  <m:supHide m:val="on"/>
                </m:naryPr>
                <m:sub>
                  <m:r>
                    <m:t>i</m:t>
                  </m:r>
                </m:sub>
                <m:sup>
                  <m:r>
                    <m:t>​</m:t>
                  </m:r>
                </m:sup>
                <m:e>
                  <m:sSub>
                    <m:e>
                      <m:r>
                        <m:t>w</m:t>
                      </m:r>
                    </m:e>
                    <m:sub>
                      <m:r>
                        <m:t>i</m:t>
                      </m:r>
                      <m:r>
                        <m:t>r</m:t>
                      </m:r>
                      <m:r>
                        <m:t>s</m:t>
                      </m:r>
                    </m:sub>
                  </m:sSub>
                </m:e>
              </m:nary>
              <m:sSub>
                <m:e>
                  <m:r>
                    <m:t>a</m:t>
                  </m:r>
                </m:e>
                <m:sub>
                  <m:r>
                    <m:t>i</m:t>
                  </m:r>
                  <m:r>
                    <m:t>c</m:t>
                  </m:r>
                </m:sub>
              </m:sSub>
            </m:num>
            <m:den>
              <m:nary>
                <m:naryPr>
                  <m:chr m:val="∑"/>
                  <m:limLoc m:val="undOvr"/>
                  <m:subHide m:val="off"/>
                  <m:supHide m:val="on"/>
                </m:naryPr>
                <m:sub>
                  <m:r>
                    <m:t>i</m:t>
                  </m:r>
                </m:sub>
                <m:sup>
                  <m:r>
                    <m:t>​</m:t>
                  </m:r>
                </m:sup>
                <m:e>
                  <m:sSub>
                    <m:e>
                      <m:r>
                        <m:t>w</m:t>
                      </m:r>
                    </m:e>
                    <m:sub>
                      <m:r>
                        <m:t>i</m:t>
                      </m:r>
                      <m:r>
                        <m:t>r</m:t>
                      </m:r>
                      <m:r>
                        <m:t>s</m:t>
                      </m:r>
                    </m:sub>
                  </m:sSub>
                </m:e>
              </m:nary>
              <m:nary>
                <m:naryPr>
                  <m:chr m:val="∑"/>
                  <m:limLoc m:val="undOvr"/>
                  <m:subHide m:val="off"/>
                  <m:supHide m:val="off"/>
                </m:naryPr>
                <m:sub>
                  <m:r>
                    <m:t>k</m:t>
                  </m:r>
                  <m:r>
                    <m:rPr>
                      <m:sty m:val="p"/>
                    </m:rPr>
                    <m:t>=</m:t>
                  </m:r>
                  <m:r>
                    <m:t>0</m:t>
                  </m:r>
                </m:sub>
                <m:sup>
                  <m:r>
                    <m:t>3</m:t>
                  </m:r>
                </m:sup>
                <m:e>
                  <m:sSub>
                    <m:e>
                      <m:r>
                        <m:t>a</m:t>
                      </m:r>
                    </m:e>
                    <m:sub>
                      <m:r>
                        <m:t>i</m:t>
                      </m:r>
                      <m:r>
                        <m:t>k</m:t>
                      </m:r>
                    </m:sub>
                  </m:sSub>
                </m:e>
              </m:nary>
            </m:den>
          </m:f>
          <m:r>
            <m:rPr>
              <m:sty m:val="p"/>
            </m:rPr>
            <m:t>.</m:t>
          </m:r>
          <m:r>
            <m:t>  </m:t>
          </m:r>
          <m:r>
            <m:rPr>
              <m:nor/>
              <m:sty m:val="p"/>
            </m:rPr>
            <m:t>(4)</m:t>
          </m:r>
        </m:oMath>
      </m:oMathPara>
    </w:p>
    <w:p>
      <w:pPr>
        <w:pStyle w:val="FirstParagraph"/>
      </w:pPr>
      <w:r>
        <w:t xml:space="preserve">忽略标签不贡献分子和分母。当标签质量为零时，软标签置零，支持槽由有效性掩膜排除；支持有效需要同时具有正特征质量和正标签质量。该规则使特征与标签描述相同的槽内容；不能将父区域标签简单复制给两个槽。偏背景槽中可以含有被定位模型低估的建筑，包括受损或毁坏像素，因此不强制其类别为背景。</w:t>
      </w:r>
    </w:p>
    <w:p>
      <w:pPr>
        <w:pStyle w:val="BodyText"/>
      </w:pPr>
      <w:r>
        <w:t xml:space="preserve">槽编码结合子槽内容、共享父上下文、角色和质量比例：</w:t>
      </w:r>
    </w:p>
    <w:p>
      <w:pPr>
        <w:pStyle w:val="BodyText"/>
      </w:pPr>
      <m:oMathPara>
        <m:oMathParaPr>
          <m:jc m:val="center"/>
        </m:oMathParaPr>
        <m:oMath>
          <m:sSub>
            <m:e>
              <m:r>
                <m:t>e</m:t>
              </m:r>
            </m:e>
            <m:sub>
              <m:r>
                <m:t>r</m:t>
              </m:r>
              <m:r>
                <m:t>s</m:t>
              </m:r>
            </m:sub>
          </m:sSub>
          <m:r>
            <m:rPr>
              <m:sty m:val="p"/>
            </m:rPr>
            <m:t>=</m:t>
          </m:r>
          <m:r>
            <m:rPr>
              <m:sty m:val="p"/>
            </m:rPr>
            <m:t>GELU</m:t>
          </m:r>
          <m:r>
            <m:t>​</m:t>
          </m:r>
          <m:d>
            <m:dPr>
              <m:begChr m:val="("/>
              <m:endChr m:val=")"/>
              <m:sepChr m:val=""/>
              <m:grow/>
            </m:dPr>
            <m:e>
              <m:r>
                <m:rPr>
                  <m:sty m:val="p"/>
                </m:rPr>
                <m:t>LN</m:t>
              </m:r>
              <m:d>
                <m:dPr>
                  <m:begChr m:val="["/>
                  <m:endChr m:val="]"/>
                  <m:sepChr m:val=""/>
                  <m:grow/>
                </m:dPr>
                <m:e>
                  <m:sSub>
                    <m:e>
                      <m:r>
                        <m:t>ϕ</m:t>
                      </m:r>
                    </m:e>
                    <m:sub>
                      <m:r>
                        <m:t>f</m:t>
                      </m:r>
                    </m:sub>
                  </m:sSub>
                  <m:d>
                    <m:dPr>
                      <m:begChr m:val="("/>
                      <m:endChr m:val=")"/>
                      <m:sepChr m:val=""/>
                      <m:grow/>
                    </m:dPr>
                    <m:e>
                      <m:sSub>
                        <m:e>
                          <m:r>
                            <m:t>f</m:t>
                          </m:r>
                        </m:e>
                        <m:sub>
                          <m:r>
                            <m:t>r</m:t>
                          </m:r>
                          <m:r>
                            <m:t>s</m:t>
                          </m:r>
                        </m:sub>
                      </m:sSub>
                    </m:e>
                  </m:d>
                  <m:r>
                    <m:rPr>
                      <m:sty m:val="p"/>
                    </m:rPr>
                    <m:t>+</m:t>
                  </m:r>
                  <m:sSub>
                    <m:e>
                      <m:r>
                        <m:t>ϕ</m:t>
                      </m:r>
                    </m:e>
                    <m:sub>
                      <m:r>
                        <m:t>t</m:t>
                      </m:r>
                    </m:sub>
                  </m:sSub>
                  <m:d>
                    <m:dPr>
                      <m:begChr m:val="("/>
                      <m:endChr m:val=")"/>
                      <m:sepChr m:val=""/>
                      <m:grow/>
                    </m:dPr>
                    <m:e>
                      <m:sSub>
                        <m:e>
                          <m:r>
                            <m:t>T</m:t>
                          </m:r>
                        </m:e>
                        <m:sub>
                          <m:r>
                            <m:t>r</m:t>
                          </m:r>
                        </m:sub>
                      </m:sSub>
                    </m:e>
                  </m:d>
                  <m:r>
                    <m:rPr>
                      <m:sty m:val="p"/>
                    </m:rPr>
                    <m:t>+</m:t>
                  </m:r>
                  <m:sSub>
                    <m:e>
                      <m:r>
                        <m:t>E</m:t>
                      </m:r>
                    </m:e>
                    <m:sub>
                      <m:r>
                        <m:t>s</m:t>
                      </m:r>
                    </m:sub>
                  </m:sSub>
                  <m:r>
                    <m:rPr>
                      <m:sty m:val="p"/>
                    </m:rPr>
                    <m:t>+</m:t>
                  </m:r>
                  <m:sSub>
                    <m:e>
                      <m:r>
                        <m:t>W</m:t>
                      </m:r>
                    </m:e>
                    <m:sub>
                      <m:r>
                        <m:t>ρ</m:t>
                      </m:r>
                    </m:sub>
                  </m:sSub>
                  <m:sSub>
                    <m:e>
                      <m:r>
                        <m:t>ρ</m:t>
                      </m:r>
                    </m:e>
                    <m:sub>
                      <m:r>
                        <m:t>r</m:t>
                      </m:r>
                      <m:r>
                        <m:t>s</m:t>
                      </m:r>
                    </m:sub>
                  </m:sSub>
                </m:e>
              </m:d>
            </m:e>
          </m:d>
          <m:r>
            <m:rPr>
              <m:sty m:val="p"/>
            </m:rPr>
            <m:t>.</m:t>
          </m:r>
          <m:r>
            <m:t>  </m:t>
          </m:r>
          <m:r>
            <m:rPr>
              <m:nor/>
              <m:sty m:val="p"/>
            </m:rPr>
            <m:t>(5)</m:t>
          </m:r>
        </m:oMath>
      </m:oMathPara>
    </w:p>
    <w:p>
      <w:pPr>
        <w:pStyle w:val="FirstParagraph"/>
      </w:pPr>
      <w:r>
        <w:t xml:space="preserve">其中输出维度为128。两个槽共享父</w:t>
      </w:r>
      <w:r>
        <w:t xml:space="preserve"> </w:t>
      </w:r>
      <m:oMath>
        <m:sSub>
          <m:e>
            <m:r>
              <m:t>T</m:t>
            </m:r>
          </m:e>
          <m:sub>
            <m:r>
              <m:t>r</m:t>
            </m:r>
          </m:sub>
        </m:sSub>
      </m:oMath>
      <w:r>
        <w:t xml:space="preserve">，并没有分别重新计算两个结构T128。空间双槽容量对照使用特征网格上4×4单元交替的固定棋盘分流替代</w:t>
      </w:r>
      <w:r>
        <w:t xml:space="preserve"> </w:t>
      </w:r>
      <m:oMath>
        <m:r>
          <m:t>B</m:t>
        </m:r>
      </m:oMath>
      <w:r>
        <w:t xml:space="preserve">，其余形状与编码器保持一致。该对照用于区分建筑语义分流与增加槽位容量。</w:t>
      </w:r>
    </w:p>
    <w:p>
      <w:pPr>
        <w:pStyle w:val="BodyText"/>
      </w:pPr>
      <w:r>
        <w:rPr>
          <w:b/>
          <w:bCs/>
        </w:rPr>
        <w:t xml:space="preserve">图2置于此处。</w:t>
      </w:r>
      <w:r>
        <w:t xml:space="preserve"> </w:t>
      </w:r>
      <w:r>
        <w:t xml:space="preserve">图2　双槽构建：Q与B形成互补路由；每个槽显示质量、F256摘要及同权Train软标签；父T128进入两个槽编码器。标明空槽掩膜，删除“每槽对应一栋建筑”或“背景槽标签必为背景”的暗示。</w:t>
      </w:r>
    </w:p>
    <w:bookmarkEnd w:id="28"/>
    <w:bookmarkStart w:id="29" w:name="c.-train案例构建与父区域检索"/>
    <w:p>
      <w:pPr>
        <w:pStyle w:val="Heading3"/>
      </w:pPr>
      <w:r>
        <w:t xml:space="preserve">C. Train案例构建与父区域检索</w:t>
      </w:r>
    </w:p>
    <w:p>
      <w:pPr>
        <w:pStyle w:val="FirstParagraph"/>
      </w:pPr>
      <w:r>
        <w:t xml:space="preserve">历史支持仅来自Train。每个记录保存父区域身份、父特征及检索key、两个槽的特征与四类软标签、有效质量，以及用于过滤和追溯的图像与事件标识。当前重建流程按事件与父区域主导软标签类别分层，使用稳定哈希进行有界选择，父案例容量上限3411、每图每主导类别至多2个；实际支持数以输出manifest为准，容量上限不等于最终有效案例数。</w:t>
      </w:r>
    </w:p>
    <w:p>
      <w:pPr>
        <w:pStyle w:val="BodyText"/>
      </w:pPr>
      <w:r>
        <w:t xml:space="preserve">对查询父区域</w:t>
      </w:r>
      <w:r>
        <w:t xml:space="preserve"> </w:t>
      </w:r>
      <m:oMath>
        <m:r>
          <m:t>r</m:t>
        </m:r>
      </m:oMath>
      <w:r>
        <w:t xml:space="preserve">，在合法支持集合</w:t>
      </w:r>
      <w:r>
        <w:t xml:space="preserve"> </w:t>
      </w:r>
      <m:oMath>
        <m:sSub>
          <m:e>
            <m:r>
              <m:rPr>
                <m:sty m:val="p"/>
                <m:scr m:val="script"/>
              </m:rPr>
              <m:t>M</m:t>
            </m:r>
          </m:e>
          <m:sub>
            <m:r>
              <m:t>r</m:t>
            </m:r>
          </m:sub>
        </m:sSub>
      </m:oMath>
      <w:r>
        <w:t xml:space="preserve"> </w:t>
      </w:r>
      <w:r>
        <w:t xml:space="preserve">中按固定父区域相似度选取最多</w:t>
      </w:r>
      <w:r>
        <w:t xml:space="preserve"> </w:t>
      </w:r>
      <m:oMath>
        <m:r>
          <m:t>K</m:t>
        </m:r>
        <m:r>
          <m:rPr>
            <m:sty m:val="p"/>
          </m:rPr>
          <m:t>=</m:t>
        </m:r>
        <m:r>
          <m:t>64</m:t>
        </m:r>
      </m:oMath>
      <w:r>
        <w:t xml:space="preserve"> </w:t>
      </w:r>
      <w:r>
        <w:t xml:space="preserve">个案例：</w:t>
      </w:r>
    </w:p>
    <w:p>
      <w:pPr>
        <w:pStyle w:val="BodyText"/>
      </w:pPr>
      <m:oMathPara>
        <m:oMathParaPr>
          <m:jc m:val="center"/>
        </m:oMathParaPr>
        <m:oMath>
          <m:sSub>
            <m:e>
              <m:r>
                <m:rPr>
                  <m:sty m:val="p"/>
                  <m:scr m:val="script"/>
                </m:rPr>
                <m:t>N</m:t>
              </m:r>
            </m:e>
            <m:sub>
              <m:r>
                <m:t>K</m:t>
              </m:r>
            </m:sub>
          </m:sSub>
          <m:d>
            <m:dPr>
              <m:begChr m:val="("/>
              <m:endChr m:val=")"/>
              <m:sepChr m:val=""/>
              <m:grow/>
            </m:dPr>
            <m:e>
              <m:r>
                <m:t>r</m:t>
              </m:r>
            </m:e>
          </m:d>
          <m:r>
            <m:rPr>
              <m:sty m:val="p"/>
            </m:rPr>
            <m:t>=</m:t>
          </m:r>
          <m:sSub>
            <m:e>
              <m:r>
                <m:rPr>
                  <m:sty m:val="p"/>
                </m:rPr>
                <m:t>TopK</m:t>
              </m:r>
            </m:e>
            <m:sub>
              <m:r>
                <m:t>j</m:t>
              </m:r>
              <m:r>
                <m:rPr>
                  <m:sty m:val="p"/>
                </m:rPr>
                <m:t>∈</m:t>
              </m:r>
              <m:sSub>
                <m:e>
                  <m:r>
                    <m:rPr>
                      <m:sty m:val="p"/>
                      <m:scr m:val="script"/>
                    </m:rPr>
                    <m:t>M</m:t>
                  </m:r>
                </m:e>
                <m:sub>
                  <m:r>
                    <m:t>r</m:t>
                  </m:r>
                </m:sub>
              </m:sSub>
            </m:sub>
          </m:sSub>
          <m:r>
            <m:t> </m:t>
          </m:r>
          <m:r>
            <m:t>s</m:t>
          </m:r>
          <m:d>
            <m:dPr>
              <m:begChr m:val="("/>
              <m:endChr m:val=")"/>
              <m:sepChr m:val=""/>
              <m:grow/>
            </m:dPr>
            <m:e>
              <m:sSub>
                <m:e>
                  <m:r>
                    <m:t>k</m:t>
                  </m:r>
                </m:e>
                <m:sub>
                  <m:r>
                    <m:t>r</m:t>
                  </m:r>
                </m:sub>
              </m:sSub>
              <m:r>
                <m:rPr>
                  <m:sty m:val="p"/>
                </m:rPr>
                <m:t>,</m:t>
              </m:r>
              <m:sSub>
                <m:e>
                  <m:r>
                    <m:t>k</m:t>
                  </m:r>
                </m:e>
                <m:sub>
                  <m:r>
                    <m:t>j</m:t>
                  </m:r>
                </m:sub>
              </m:sSub>
            </m:e>
          </m:d>
          <m:r>
            <m:rPr>
              <m:sty m:val="p"/>
            </m:rPr>
            <m:t>.</m:t>
          </m:r>
          <m:r>
            <m:t>  </m:t>
          </m:r>
          <m:r>
            <m:rPr>
              <m:nor/>
              <m:sty m:val="p"/>
            </m:rPr>
            <m:t>(6)</m:t>
          </m:r>
        </m:oMath>
      </m:oMathPara>
    </w:p>
    <w:p>
      <w:pPr>
        <w:pStyle w:val="FirstParagraph"/>
      </w:pPr>
      <w:r>
        <w:t xml:space="preserve">当前默认key为冻结T128，F256作为另一个检索表示用于独立对照；具体归一化与平局排序需随运行选择器版本归档。本文不把内部Reader注意力写成外部检索排序学习。过滤移除同图与同事件案例；这种排除减少了直接来源近邻，但不等价于训练阶段没有见过验证事件。未见事件泛化需要另外的事件隔离协议。</w:t>
      </w:r>
    </w:p>
    <w:p>
      <w:pPr>
        <w:pStyle w:val="BodyText"/>
      </w:pPr>
      <w:r>
        <w:t xml:space="preserve">每个父案例展开为两个支持槽，共形成至多</w:t>
      </w:r>
      <w:r>
        <w:t xml:space="preserve"> </w:t>
      </w:r>
      <m:oMath>
        <m:r>
          <m:t>2</m:t>
        </m:r>
        <m:r>
          <m:t>K</m:t>
        </m:r>
        <m:r>
          <m:rPr>
            <m:sty m:val="p"/>
          </m:rPr>
          <m:t>=</m:t>
        </m:r>
        <m:r>
          <m:t>128</m:t>
        </m:r>
      </m:oMath>
      <w:r>
        <w:t xml:space="preserve"> </w:t>
      </w:r>
      <w:r>
        <w:t xml:space="preserve">个支持token。案例预算仍为64个父案例，不能把128个槽当作128个独立历史对象。无效或不足的支持使用掩膜，缺失上下文为零，不使用可学习的补位案例。</w:t>
      </w:r>
    </w:p>
    <w:bookmarkEnd w:id="29"/>
    <w:bookmarkStart w:id="30" w:name="d.-槽级reader与像素联合修正"/>
    <w:p>
      <w:pPr>
        <w:pStyle w:val="Heading3"/>
      </w:pPr>
      <w:r>
        <w:t xml:space="preserve">D. 槽级Reader与像素联合修正</w:t>
      </w:r>
    </w:p>
    <w:p>
      <w:pPr>
        <w:pStyle w:val="FirstParagraph"/>
      </w:pPr>
      <w:r>
        <w:t xml:space="preserve">两种查询槽都可以读取所选父案例的两种支持槽，不设置“建筑槽只能读取建筑槽”的限制。对查询槽</w:t>
      </w:r>
      <w:r>
        <w:t xml:space="preserve"> </w:t>
      </w:r>
      <m:oMath>
        <m:sSub>
          <m:e>
            <m:r>
              <m:t>e</m:t>
            </m:r>
          </m:e>
          <m:sub>
            <m:r>
              <m:t>r</m:t>
            </m:r>
            <m:r>
              <m:t>s</m:t>
            </m:r>
          </m:sub>
        </m:sSub>
      </m:oMath>
      <w:r>
        <w:t xml:space="preserve"> </w:t>
      </w:r>
      <w:r>
        <w:t xml:space="preserve">与支持槽</w:t>
      </w:r>
      <w:r>
        <w:t xml:space="preserve"> </w:t>
      </w:r>
      <m:oMath>
        <m:sSub>
          <m:e>
            <m:r>
              <m:t>e</m:t>
            </m:r>
          </m:e>
          <m:sub>
            <m:r>
              <m:t>j</m:t>
            </m:r>
            <m:r>
              <m:t>t</m:t>
            </m:r>
          </m:sub>
        </m:sSub>
      </m:oMath>
      <w:r>
        <w:t xml:space="preserve">，一个注意力头可写为</w:t>
      </w:r>
    </w:p>
    <w:p>
      <w:pPr>
        <w:pStyle w:val="BodyText"/>
      </w:pPr>
      <m:oMathPara>
        <m:oMathParaPr>
          <m:jc m:val="center"/>
        </m:oMathParaPr>
        <m:oMath>
          <m:sSub>
            <m:e>
              <m:r>
                <m:t>α</m:t>
              </m:r>
            </m:e>
            <m:sub>
              <m:r>
                <m:t>r</m:t>
              </m:r>
              <m:r>
                <m:t>s</m:t>
              </m:r>
              <m:r>
                <m:rPr>
                  <m:sty m:val="p"/>
                </m:rPr>
                <m:t>,</m:t>
              </m:r>
              <m:r>
                <m:t>j</m:t>
              </m:r>
              <m:r>
                <m:t>t</m:t>
              </m:r>
            </m:sub>
          </m:sSub>
          <m:r>
            <m:rPr>
              <m:sty m:val="p"/>
            </m:rPr>
            <m:t>=</m:t>
          </m:r>
          <m:sSub>
            <m:e>
              <m:r>
                <m:rPr>
                  <m:sty m:val="p"/>
                </m:rPr>
                <m:t>softmax</m:t>
              </m:r>
            </m:e>
            <m:sub>
              <m:r>
                <m:t>j</m:t>
              </m:r>
              <m:r>
                <m:rPr>
                  <m:sty m:val="p"/>
                </m:rPr>
                <m:t>∈</m:t>
              </m:r>
              <m:sSub>
                <m:e>
                  <m:r>
                    <m:rPr>
                      <m:sty m:val="p"/>
                      <m:scr m:val="script"/>
                    </m:rPr>
                    <m:t>N</m:t>
                  </m:r>
                </m:e>
                <m:sub>
                  <m:r>
                    <m:t>K</m:t>
                  </m:r>
                </m:sub>
              </m:sSub>
              <m:d>
                <m:dPr>
                  <m:begChr m:val="("/>
                  <m:endChr m:val=")"/>
                  <m:sepChr m:val=""/>
                  <m:grow/>
                </m:dPr>
                <m:e>
                  <m:r>
                    <m:t>r</m:t>
                  </m:r>
                </m:e>
              </m:d>
              <m:r>
                <m:rPr>
                  <m:sty m:val="p"/>
                </m:rPr>
                <m:t>,</m:t>
              </m:r>
              <m:r>
                <m:t> </m:t>
              </m:r>
              <m:r>
                <m:t>t</m:t>
              </m:r>
              <m:r>
                <m:rPr>
                  <m:sty m:val="p"/>
                </m:rPr>
                <m:t>∈</m:t>
              </m:r>
              <m:r>
                <m:rPr>
                  <m:sty m:val="p"/>
                </m:rPr>
                <m:t>{</m:t>
              </m:r>
              <m:r>
                <m:t>0</m:t>
              </m:r>
              <m:r>
                <m:rPr>
                  <m:sty m:val="p"/>
                </m:rPr>
                <m:t>,</m:t>
              </m:r>
              <m:r>
                <m:t>1</m:t>
              </m:r>
              <m:r>
                <m:rPr>
                  <m:sty m:val="p"/>
                </m:rPr>
                <m:t>}</m:t>
              </m:r>
              <m:r>
                <m:rPr>
                  <m:sty m:val="p"/>
                </m:rPr>
                <m:t>,</m:t>
              </m:r>
              <m:r>
                <m:t> </m:t>
              </m:r>
              <m:r>
                <m:rPr>
                  <m:sty m:val="p"/>
                </m:rPr>
                <m:t>v</m:t>
              </m:r>
              <m:r>
                <m:rPr>
                  <m:sty m:val="p"/>
                </m:rPr>
                <m:t>a</m:t>
              </m:r>
              <m:r>
                <m:rPr>
                  <m:sty m:val="p"/>
                </m:rPr>
                <m:t>l</m:t>
              </m:r>
              <m:r>
                <m:rPr>
                  <m:sty m:val="p"/>
                </m:rPr>
                <m:t>i</m:t>
              </m:r>
              <m:r>
                <m:rPr>
                  <m:sty m:val="p"/>
                </m:rPr>
                <m:t>d</m:t>
              </m:r>
            </m:sub>
          </m:sSub>
          <m:f>
            <m:fPr>
              <m:type m:val="bar"/>
            </m:fPr>
            <m:num>
              <m:sSup>
                <m:e>
                  <m:d>
                    <m:dPr>
                      <m:begChr m:val="("/>
                      <m:endChr m:val=")"/>
                      <m:sepChr m:val=""/>
                      <m:grow/>
                    </m:dPr>
                    <m:e>
                      <m:sSub>
                        <m:e>
                          <m:r>
                            <m:t>W</m:t>
                          </m:r>
                        </m:e>
                        <m:sub>
                          <m:r>
                            <m:t>q</m:t>
                          </m:r>
                        </m:sub>
                      </m:sSub>
                      <m:sSub>
                        <m:e>
                          <m:r>
                            <m:t>e</m:t>
                          </m:r>
                        </m:e>
                        <m:sub>
                          <m:r>
                            <m:t>r</m:t>
                          </m:r>
                          <m:r>
                            <m:t>s</m:t>
                          </m:r>
                        </m:sub>
                      </m:sSub>
                    </m:e>
                  </m:d>
                </m:e>
                <m:sup>
                  <m:r>
                    <m:rPr>
                      <m:sty m:val="p"/>
                    </m:rPr>
                    <m:t>⊤</m:t>
                  </m:r>
                </m:sup>
              </m:sSup>
              <m:d>
                <m:dPr>
                  <m:begChr m:val="("/>
                  <m:endChr m:val=")"/>
                  <m:sepChr m:val=""/>
                  <m:grow/>
                </m:dPr>
                <m:e>
                  <m:sSub>
                    <m:e>
                      <m:r>
                        <m:t>W</m:t>
                      </m:r>
                    </m:e>
                    <m:sub>
                      <m:r>
                        <m:t>k</m:t>
                      </m:r>
                    </m:sub>
                  </m:sSub>
                  <m:sSub>
                    <m:e>
                      <m:r>
                        <m:t>e</m:t>
                      </m:r>
                    </m:e>
                    <m:sub>
                      <m:r>
                        <m:t>j</m:t>
                      </m:r>
                      <m:r>
                        <m:t>t</m:t>
                      </m:r>
                    </m:sub>
                  </m:sSub>
                </m:e>
              </m:d>
            </m:num>
            <m:den>
              <m:rad>
                <m:radPr>
                  <m:degHide m:val="on"/>
                </m:radPr>
                <m:deg/>
                <m:e>
                  <m:r>
                    <m:t>d</m:t>
                  </m:r>
                </m:e>
              </m:rad>
            </m:den>
          </m:f>
          <m:r>
            <m:rPr>
              <m:sty m:val="p"/>
            </m:rPr>
            <m:t>,</m:t>
          </m:r>
          <m:r>
            <m:t>  </m:t>
          </m:r>
          <m:sSub>
            <m:e>
              <m:r>
                <m:t>c</m:t>
              </m:r>
            </m:e>
            <m:sub>
              <m:r>
                <m:t>r</m:t>
              </m:r>
              <m:r>
                <m:t>s</m:t>
              </m:r>
            </m:sub>
          </m:sSub>
          <m:r>
            <m:rPr>
              <m:sty m:val="p"/>
            </m:rPr>
            <m:t>=</m:t>
          </m:r>
          <m:nary>
            <m:naryPr>
              <m:chr m:val="∑"/>
              <m:limLoc m:val="undOvr"/>
              <m:subHide m:val="off"/>
              <m:supHide m:val="on"/>
            </m:naryPr>
            <m:sub>
              <m:r>
                <m:t>j</m:t>
              </m:r>
              <m:r>
                <m:rPr>
                  <m:sty m:val="p"/>
                </m:rPr>
                <m:t>,</m:t>
              </m:r>
              <m:r>
                <m:t>t</m:t>
              </m:r>
            </m:sub>
            <m:sup>
              <m:r>
                <m:t>​</m:t>
              </m:r>
            </m:sup>
            <m:e>
              <m:sSub>
                <m:e>
                  <m:r>
                    <m:t>α</m:t>
                  </m:r>
                </m:e>
                <m:sub>
                  <m:r>
                    <m:t>r</m:t>
                  </m:r>
                  <m:r>
                    <m:t>s</m:t>
                  </m:r>
                  <m:r>
                    <m:rPr>
                      <m:sty m:val="p"/>
                    </m:rPr>
                    <m:t>,</m:t>
                  </m:r>
                  <m:r>
                    <m:t>j</m:t>
                  </m:r>
                  <m:r>
                    <m:t>t</m:t>
                  </m:r>
                </m:sub>
              </m:sSub>
            </m:e>
          </m:nary>
          <m:sSub>
            <m:e>
              <m:r>
                <m:t>W</m:t>
              </m:r>
            </m:e>
            <m:sub>
              <m:r>
                <m:t>v</m:t>
              </m:r>
            </m:sub>
          </m:sSub>
          <m:d>
            <m:dPr>
              <m:begChr m:val="("/>
              <m:endChr m:val=")"/>
              <m:sepChr m:val=""/>
              <m:grow/>
            </m:dPr>
            <m:e>
              <m:sSub>
                <m:e>
                  <m:r>
                    <m:t>e</m:t>
                  </m:r>
                </m:e>
                <m:sub>
                  <m:r>
                    <m:t>j</m:t>
                  </m:r>
                  <m:r>
                    <m:t>t</m:t>
                  </m:r>
                </m:sub>
              </m:sSub>
              <m:r>
                <m:rPr>
                  <m:sty m:val="p"/>
                </m:rPr>
                <m:t>+</m:t>
              </m:r>
              <m:sSub>
                <m:e>
                  <m:r>
                    <m:t>W</m:t>
                  </m:r>
                </m:e>
                <m:sub>
                  <m:r>
                    <m:t>y</m:t>
                  </m:r>
                </m:sub>
              </m:sSub>
              <m:sSubSup>
                <m:e>
                  <m:r>
                    <m:t>y</m:t>
                  </m:r>
                </m:e>
                <m:sub>
                  <m:r>
                    <m:t>j</m:t>
                  </m:r>
                  <m:r>
                    <m:t>t</m:t>
                  </m:r>
                </m:sub>
                <m:sup>
                  <m:r>
                    <m:rPr>
                      <m:sty m:val="p"/>
                    </m:rPr>
                    <m:t>s</m:t>
                  </m:r>
                  <m:r>
                    <m:rPr>
                      <m:sty m:val="p"/>
                    </m:rPr>
                    <m:t>u</m:t>
                  </m:r>
                  <m:r>
                    <m:rPr>
                      <m:sty m:val="p"/>
                    </m:rPr>
                    <m:t>p</m:t>
                  </m:r>
                </m:sup>
              </m:sSubSup>
            </m:e>
          </m:d>
          <m:r>
            <m:rPr>
              <m:sty m:val="p"/>
            </m:rPr>
            <m:t>.</m:t>
          </m:r>
          <m:r>
            <m:t>  </m:t>
          </m:r>
          <m:r>
            <m:rPr>
              <m:nor/>
              <m:sty m:val="p"/>
            </m:rPr>
            <m:t>(7)</m:t>
          </m:r>
        </m:oMath>
      </m:oMathPara>
    </w:p>
    <w:p>
      <w:pPr>
        <w:pStyle w:val="FirstParagraph"/>
      </w:pPr>
      <w:r>
        <w:t xml:space="preserve">式（7）表示一个注意力头的中间结果。实现使用四头注意力与掩膜归一化，再将各头拼接并通过输出投影得到最终</w:t>
      </w:r>
      <w:r>
        <w:t xml:space="preserve"> </w:t>
      </w:r>
      <m:oMath>
        <m:sSub>
          <m:e>
            <m:r>
              <m:t>c</m:t>
            </m:r>
          </m:e>
          <m:sub>
            <m:r>
              <m:t>r</m:t>
            </m:r>
            <m:r>
              <m:t>s</m:t>
            </m:r>
          </m:sub>
        </m:sSub>
      </m:oMath>
      <w:r>
        <w:t xml:space="preserve">。Train软标签进入支持值表示，不直接替代查询预测；图像/事件标识用于检索合法性检查，没有作为事件嵌入加入当前Reader。支持标签也不由验证或测试真值构造。</w:t>
      </w:r>
    </w:p>
    <w:p>
      <w:pPr>
        <w:pStyle w:val="BodyText"/>
      </w:pPr>
      <w:r>
        <w:t xml:space="preserve">父区域、槽及案例上下文分别回投：</w:t>
      </w:r>
    </w:p>
    <w:p>
      <w:pPr>
        <w:pStyle w:val="BodyText"/>
      </w:pPr>
      <m:oMathPara>
        <m:oMathParaPr>
          <m:jc m:val="center"/>
        </m:oMathParaPr>
        <m:oMath>
          <m:sSubSup>
            <m:e>
              <m:r>
                <m:t>G</m:t>
              </m:r>
            </m:e>
            <m:sub>
              <m:r>
                <m:t>i</m:t>
              </m:r>
            </m:sub>
            <m:sup>
              <m:r>
                <m:rPr>
                  <m:sty m:val="p"/>
                </m:rPr>
                <m:t>p</m:t>
              </m:r>
              <m:r>
                <m:rPr>
                  <m:sty m:val="p"/>
                </m:rPr>
                <m:t>a</m:t>
              </m:r>
              <m:r>
                <m:rPr>
                  <m:sty m:val="p"/>
                </m:rPr>
                <m:t>r</m:t>
              </m:r>
              <m:r>
                <m:rPr>
                  <m:sty m:val="p"/>
                </m:rPr>
                <m:t>e</m:t>
              </m:r>
              <m:r>
                <m:rPr>
                  <m:sty m:val="p"/>
                </m:rPr>
                <m:t>n</m:t>
              </m:r>
              <m:r>
                <m:rPr>
                  <m:sty m:val="p"/>
                </m:rPr>
                <m:t>t</m:t>
              </m:r>
            </m:sup>
          </m:sSubSup>
          <m:r>
            <m:rPr>
              <m:sty m:val="p"/>
            </m:rPr>
            <m:t>=</m:t>
          </m:r>
          <m:nary>
            <m:naryPr>
              <m:chr m:val="∑"/>
              <m:limLoc m:val="undOvr"/>
              <m:subHide m:val="off"/>
              <m:supHide m:val="on"/>
            </m:naryPr>
            <m:sub>
              <m:r>
                <m:t>r</m:t>
              </m:r>
            </m:sub>
            <m:sup>
              <m:r>
                <m:t>​</m:t>
              </m:r>
            </m:sup>
            <m:e>
              <m:sSub>
                <m:e>
                  <m:r>
                    <m:t>Q</m:t>
                  </m:r>
                </m:e>
                <m:sub>
                  <m:r>
                    <m:t>i</m:t>
                  </m:r>
                  <m:r>
                    <m:t>r</m:t>
                  </m:r>
                </m:sub>
              </m:sSub>
            </m:e>
          </m:nary>
          <m:sSub>
            <m:e>
              <m:r>
                <m:t>ϕ</m:t>
              </m:r>
            </m:e>
            <m:sub>
              <m:r>
                <m:t>p</m:t>
              </m:r>
            </m:sub>
          </m:sSub>
          <m:d>
            <m:dPr>
              <m:begChr m:val="("/>
              <m:endChr m:val=")"/>
              <m:sepChr m:val=""/>
              <m:grow/>
            </m:dPr>
            <m:e>
              <m:d>
                <m:dPr>
                  <m:begChr m:val="["/>
                  <m:endChr m:val="]"/>
                  <m:sepChr m:val=""/>
                  <m:grow/>
                </m:dPr>
                <m:e>
                  <m:sSub>
                    <m:e>
                      <m:acc>
                        <m:accPr>
                          <m:chr m:val="‾"/>
                        </m:accPr>
                        <m:e>
                          <m:r>
                            <m:t>F</m:t>
                          </m:r>
                        </m:e>
                      </m:acc>
                    </m:e>
                    <m:sub>
                      <m:r>
                        <m:t>r</m:t>
                      </m:r>
                    </m:sub>
                  </m:sSub>
                  <m:r>
                    <m:rPr>
                      <m:sty m:val="p"/>
                    </m:rPr>
                    <m:t>,</m:t>
                  </m:r>
                  <m:sSub>
                    <m:e>
                      <m:r>
                        <m:t>T</m:t>
                      </m:r>
                    </m:e>
                    <m:sub>
                      <m:r>
                        <m:t>r</m:t>
                      </m:r>
                    </m:sub>
                  </m:sSub>
                </m:e>
              </m:d>
            </m:e>
          </m:d>
          <m:r>
            <m:rPr>
              <m:sty m:val="p"/>
            </m:rPr>
            <m:t>,</m:t>
          </m:r>
          <m:r>
            <m:t> </m:t>
          </m:r>
          <m:sSubSup>
            <m:e>
              <m:r>
                <m:t>G</m:t>
              </m:r>
            </m:e>
            <m:sub>
              <m:r>
                <m:t>i</m:t>
              </m:r>
            </m:sub>
            <m:sup>
              <m:r>
                <m:rPr>
                  <m:sty m:val="p"/>
                </m:rPr>
                <m:t>s</m:t>
              </m:r>
              <m:r>
                <m:rPr>
                  <m:sty m:val="p"/>
                </m:rPr>
                <m:t>l</m:t>
              </m:r>
              <m:r>
                <m:rPr>
                  <m:sty m:val="p"/>
                </m:rPr>
                <m:t>o</m:t>
              </m:r>
              <m:r>
                <m:rPr>
                  <m:sty m:val="p"/>
                </m:rPr>
                <m:t>t</m:t>
              </m:r>
            </m:sup>
          </m:sSubSup>
          <m:r>
            <m:rPr>
              <m:sty m:val="p"/>
            </m:rPr>
            <m:t>=</m:t>
          </m:r>
          <m:nary>
            <m:naryPr>
              <m:chr m:val="∑"/>
              <m:limLoc m:val="undOvr"/>
              <m:subHide m:val="off"/>
              <m:supHide m:val="on"/>
            </m:naryPr>
            <m:sub>
              <m:r>
                <m:t>r</m:t>
              </m:r>
              <m:r>
                <m:rPr>
                  <m:sty m:val="p"/>
                </m:rPr>
                <m:t>,</m:t>
              </m:r>
              <m:r>
                <m:t>s</m:t>
              </m:r>
            </m:sub>
            <m:sup>
              <m:r>
                <m:t>​</m:t>
              </m:r>
            </m:sup>
            <m:e>
              <m:sSub>
                <m:e>
                  <m:r>
                    <m:t>w</m:t>
                  </m:r>
                </m:e>
                <m:sub>
                  <m:r>
                    <m:t>i</m:t>
                  </m:r>
                  <m:r>
                    <m:t>r</m:t>
                  </m:r>
                  <m:r>
                    <m:t>s</m:t>
                  </m:r>
                </m:sub>
              </m:sSub>
            </m:e>
          </m:nary>
          <m:sSub>
            <m:e>
              <m:r>
                <m:t>e</m:t>
              </m:r>
            </m:e>
            <m:sub>
              <m:r>
                <m:t>r</m:t>
              </m:r>
              <m:r>
                <m:t>s</m:t>
              </m:r>
            </m:sub>
          </m:sSub>
          <m:r>
            <m:rPr>
              <m:sty m:val="p"/>
            </m:rPr>
            <m:t>,</m:t>
          </m:r>
          <m:r>
            <m:t> </m:t>
          </m:r>
          <m:sSubSup>
            <m:e>
              <m:r>
                <m:t>G</m:t>
              </m:r>
            </m:e>
            <m:sub>
              <m:r>
                <m:t>i</m:t>
              </m:r>
            </m:sub>
            <m:sup>
              <m:r>
                <m:rPr>
                  <m:sty m:val="p"/>
                </m:rPr>
                <m:t>m</m:t>
              </m:r>
              <m:r>
                <m:rPr>
                  <m:sty m:val="p"/>
                </m:rPr>
                <m:t>e</m:t>
              </m:r>
              <m:r>
                <m:rPr>
                  <m:sty m:val="p"/>
                </m:rPr>
                <m:t>m</m:t>
              </m:r>
            </m:sup>
          </m:sSubSup>
          <m:r>
            <m:rPr>
              <m:sty m:val="p"/>
            </m:rPr>
            <m:t>=</m:t>
          </m:r>
          <m:nary>
            <m:naryPr>
              <m:chr m:val="∑"/>
              <m:limLoc m:val="undOvr"/>
              <m:subHide m:val="off"/>
              <m:supHide m:val="on"/>
            </m:naryPr>
            <m:sub>
              <m:r>
                <m:t>r</m:t>
              </m:r>
              <m:r>
                <m:rPr>
                  <m:sty m:val="p"/>
                </m:rPr>
                <m:t>,</m:t>
              </m:r>
              <m:r>
                <m:t>s</m:t>
              </m:r>
            </m:sub>
            <m:sup>
              <m:r>
                <m:t>​</m:t>
              </m:r>
            </m:sup>
            <m:e>
              <m:sSub>
                <m:e>
                  <m:r>
                    <m:t>w</m:t>
                  </m:r>
                </m:e>
                <m:sub>
                  <m:r>
                    <m:t>i</m:t>
                  </m:r>
                  <m:r>
                    <m:t>r</m:t>
                  </m:r>
                  <m:r>
                    <m:t>s</m:t>
                  </m:r>
                </m:sub>
              </m:sSub>
            </m:e>
          </m:nary>
          <m:sSub>
            <m:e>
              <m:r>
                <m:t>c</m:t>
              </m:r>
            </m:e>
            <m:sub>
              <m:r>
                <m:t>r</m:t>
              </m:r>
              <m:r>
                <m:t>s</m:t>
              </m:r>
            </m:sub>
          </m:sSub>
          <m:r>
            <m:rPr>
              <m:sty m:val="p"/>
            </m:rPr>
            <m:t>.</m:t>
          </m:r>
          <m:r>
            <m:t>  </m:t>
          </m:r>
          <m:r>
            <m:rPr>
              <m:nor/>
              <m:sty m:val="p"/>
            </m:rPr>
            <m:t>(8)</m:t>
          </m:r>
        </m:oMath>
      </m:oMathPara>
    </w:p>
    <w:p>
      <w:pPr>
        <w:pStyle w:val="FirstParagraph"/>
      </w:pPr>
      <w:r>
        <w:t xml:space="preserve">当前实现将两槽贡献加权汇加成一个槽上下文图，案例贡献同样汇加为一个Memory上下文图。角色信息已进入槽编码，但最终分类器并不接收两张完全独立的槽图。独立通道回投是一项可测试扩展，不能画入当前已实现结构。</w:t>
      </w:r>
    </w:p>
    <w:p>
      <w:pPr>
        <w:pStyle w:val="BodyText"/>
      </w:pPr>
      <w:r>
        <w:t xml:space="preserve">联合头以像素投影、三个上下文图及基础概率为输入，产生四类修正</w:t>
      </w:r>
      <w:r>
        <w:t xml:space="preserve"> </w:t>
      </w:r>
      <m:oMath>
        <m:sSub>
          <m:e>
            <m:r>
              <m:t>Δ</m:t>
            </m:r>
          </m:e>
          <m:sub>
            <m:r>
              <m:t>i</m:t>
            </m:r>
          </m:sub>
        </m:sSub>
      </m:oMath>
      <w:r>
        <w:t xml:space="preserve">：</w:t>
      </w:r>
    </w:p>
    <w:p>
      <w:pPr>
        <w:pStyle w:val="BodyText"/>
      </w:pPr>
      <m:oMathPara>
        <m:oMathParaPr>
          <m:jc m:val="center"/>
        </m:oMathParaPr>
        <m:oMath>
          <m:r>
            <m:t>Δ</m:t>
          </m:r>
          <m:r>
            <m:rPr>
              <m:sty m:val="p"/>
            </m:rPr>
            <m:t>=</m:t>
          </m:r>
          <m:r>
            <m:rPr>
              <m:sty m:val="p"/>
            </m:rPr>
            <m:t>Up</m:t>
          </m:r>
          <m:r>
            <m:t> </m:t>
          </m:r>
          <m:r>
            <m:t>h</m:t>
          </m:r>
          <m:d>
            <m:dPr>
              <m:begChr m:val="("/>
              <m:endChr m:val=")"/>
              <m:sepChr m:val=""/>
              <m:grow/>
            </m:dPr>
            <m:e>
              <m:d>
                <m:dPr>
                  <m:begChr m:val="["/>
                  <m:endChr m:val="]"/>
                  <m:sepChr m:val=""/>
                  <m:grow/>
                </m:dPr>
                <m:e>
                  <m:sSub>
                    <m:e>
                      <m:r>
                        <m:t>ϕ</m:t>
                      </m:r>
                    </m:e>
                    <m:sub>
                      <m:r>
                        <m:t>x</m:t>
                      </m:r>
                    </m:sub>
                  </m:sSub>
                  <m:d>
                    <m:dPr>
                      <m:begChr m:val="("/>
                      <m:endChr m:val=")"/>
                      <m:sepChr m:val=""/>
                      <m:grow/>
                    </m:dPr>
                    <m:e>
                      <m:r>
                        <m:t>F</m:t>
                      </m:r>
                    </m:e>
                  </m:d>
                  <m:r>
                    <m:rPr>
                      <m:sty m:val="p"/>
                    </m:rPr>
                    <m:t>,</m:t>
                  </m:r>
                  <m:sSup>
                    <m:e>
                      <m:r>
                        <m:t>G</m:t>
                      </m:r>
                    </m:e>
                    <m:sup>
                      <m:r>
                        <m:rPr>
                          <m:sty m:val="p"/>
                        </m:rPr>
                        <m:t>p</m:t>
                      </m:r>
                      <m:r>
                        <m:rPr>
                          <m:sty m:val="p"/>
                        </m:rPr>
                        <m:t>a</m:t>
                      </m:r>
                      <m:r>
                        <m:rPr>
                          <m:sty m:val="p"/>
                        </m:rPr>
                        <m:t>r</m:t>
                      </m:r>
                      <m:r>
                        <m:rPr>
                          <m:sty m:val="p"/>
                        </m:rPr>
                        <m:t>e</m:t>
                      </m:r>
                      <m:r>
                        <m:rPr>
                          <m:sty m:val="p"/>
                        </m:rPr>
                        <m:t>n</m:t>
                      </m:r>
                      <m:r>
                        <m:rPr>
                          <m:sty m:val="p"/>
                        </m:rPr>
                        <m:t>t</m:t>
                      </m:r>
                    </m:sup>
                  </m:sSup>
                  <m:r>
                    <m:rPr>
                      <m:sty m:val="p"/>
                    </m:rPr>
                    <m:t>,</m:t>
                  </m:r>
                  <m:sSup>
                    <m:e>
                      <m:r>
                        <m:t>G</m:t>
                      </m:r>
                    </m:e>
                    <m:sup>
                      <m:r>
                        <m:rPr>
                          <m:sty m:val="p"/>
                        </m:rPr>
                        <m:t>s</m:t>
                      </m:r>
                      <m:r>
                        <m:rPr>
                          <m:sty m:val="p"/>
                        </m:rPr>
                        <m:t>l</m:t>
                      </m:r>
                      <m:r>
                        <m:rPr>
                          <m:sty m:val="p"/>
                        </m:rPr>
                        <m:t>o</m:t>
                      </m:r>
                      <m:r>
                        <m:rPr>
                          <m:sty m:val="p"/>
                        </m:rPr>
                        <m:t>t</m:t>
                      </m:r>
                    </m:sup>
                  </m:sSup>
                  <m:r>
                    <m:rPr>
                      <m:sty m:val="p"/>
                    </m:rPr>
                    <m:t>,</m:t>
                  </m:r>
                  <m:sSup>
                    <m:e>
                      <m:r>
                        <m:t>G</m:t>
                      </m:r>
                    </m:e>
                    <m:sup>
                      <m:r>
                        <m:rPr>
                          <m:sty m:val="p"/>
                        </m:rPr>
                        <m:t>m</m:t>
                      </m:r>
                      <m:r>
                        <m:rPr>
                          <m:sty m:val="p"/>
                        </m:rPr>
                        <m:t>e</m:t>
                      </m:r>
                      <m:r>
                        <m:rPr>
                          <m:sty m:val="p"/>
                        </m:rPr>
                        <m:t>m</m:t>
                      </m:r>
                    </m:sup>
                  </m:sSup>
                  <m:r>
                    <m:rPr>
                      <m:sty m:val="p"/>
                    </m:rPr>
                    <m:t>,</m:t>
                  </m:r>
                  <m:r>
                    <m:rPr>
                      <m:sty m:val="p"/>
                    </m:rPr>
                    <m:t>Down</m:t>
                  </m:r>
                  <m:d>
                    <m:dPr>
                      <m:begChr m:val="("/>
                      <m:endChr m:val=")"/>
                      <m:sepChr m:val=""/>
                      <m:grow/>
                    </m:dPr>
                    <m:e>
                      <m:sSup>
                        <m:e>
                          <m:r>
                            <m:t>p</m:t>
                          </m:r>
                        </m:e>
                        <m:sup>
                          <m:r>
                            <m:t>0</m:t>
                          </m:r>
                        </m:sup>
                      </m:sSup>
                    </m:e>
                  </m:d>
                </m:e>
              </m:d>
            </m:e>
          </m:d>
          <m:r>
            <m:rPr>
              <m:sty m:val="p"/>
            </m:rPr>
            <m:t>,</m:t>
          </m:r>
          <m:r>
            <m:t>  </m:t>
          </m:r>
          <m:sSubSup>
            <m:e>
              <m:r>
                <m:t>p</m:t>
              </m:r>
            </m:e>
            <m:sub>
              <m:r>
                <m:t>i</m:t>
              </m:r>
            </m:sub>
            <m:sup>
              <m:r>
                <m:t>θ</m:t>
              </m:r>
            </m:sup>
          </m:sSubSup>
          <m:r>
            <m:rPr>
              <m:sty m:val="p"/>
            </m:rPr>
            <m:t>=</m:t>
          </m:r>
          <m:r>
            <m:rPr>
              <m:sty m:val="p"/>
            </m:rPr>
            <m:t>softmax</m:t>
          </m:r>
          <m:r>
            <m:t>​</m:t>
          </m:r>
          <m:d>
            <m:dPr>
              <m:begChr m:val="("/>
              <m:endChr m:val=")"/>
              <m:sepChr m:val=""/>
              <m:grow/>
            </m:dPr>
            <m:e>
              <m:r>
                <m:rPr>
                  <m:sty m:val="p"/>
                </m:rPr>
                <m:t>log</m:t>
              </m:r>
              <m:sSubSup>
                <m:e>
                  <m:acc>
                    <m:accPr>
                      <m:chr m:val="̃"/>
                    </m:accPr>
                    <m:e>
                      <m:r>
                        <m:t>p</m:t>
                      </m:r>
                    </m:e>
                  </m:acc>
                </m:e>
                <m:sub>
                  <m:r>
                    <m:t>i</m:t>
                  </m:r>
                </m:sub>
                <m:sup>
                  <m:r>
                    <m:t>0</m:t>
                  </m:r>
                </m:sup>
              </m:sSubSup>
              <m:r>
                <m:rPr>
                  <m:sty m:val="p"/>
                </m:rPr>
                <m:t>+</m:t>
              </m:r>
              <m:sSub>
                <m:e>
                  <m:r>
                    <m:t>Δ</m:t>
                  </m:r>
                </m:e>
                <m:sub>
                  <m:r>
                    <m:t>i</m:t>
                  </m:r>
                </m:sub>
              </m:sSub>
            </m:e>
          </m:d>
          <m:r>
            <m:rPr>
              <m:sty m:val="p"/>
            </m:rPr>
            <m:t>.</m:t>
          </m:r>
          <m:r>
            <m:t>  </m:t>
          </m:r>
          <m:r>
            <m:rPr>
              <m:nor/>
              <m:sty m:val="p"/>
            </m:rPr>
            <m:t>(9)</m:t>
          </m:r>
        </m:oMath>
      </m:oMathPara>
    </w:p>
    <w:p>
      <w:pPr>
        <w:pStyle w:val="FirstParagraph"/>
      </w:pPr>
      <m:oMath>
        <m:sSup>
          <m:e>
            <m:acc>
              <m:accPr>
                <m:chr m:val="̃"/>
              </m:accPr>
              <m:e>
                <m:r>
                  <m:t>p</m:t>
                </m:r>
              </m:e>
            </m:acc>
          </m:e>
          <m:sup>
            <m:r>
              <m:t>0</m:t>
            </m:r>
          </m:sup>
        </m:sSup>
      </m:oMath>
      <w:r>
        <w:t xml:space="preserve">表示数值稳定处理后的基础概率。像素投影为64维，各上下文为128维，与四类概率拼接后共有452个输入通道。末层卷积零初始化，使初始输出复现经数值稳定处理的基础判断。该初始化有助于明确训练起点，但不保证继续训练后性能不下降；模型仍可能将基线正确的像素改错。</w:t>
      </w:r>
    </w:p>
    <w:p>
      <w:pPr>
        <w:pStyle w:val="BodyText"/>
      </w:pPr>
      <w:r>
        <w:rPr>
          <w:b/>
          <w:bCs/>
        </w:rPr>
        <w:t xml:space="preserve">图3置于此处。</w:t>
      </w:r>
      <w:r>
        <w:t xml:space="preserve"> </w:t>
      </w:r>
      <w:r>
        <w:t xml:space="preserve">图3　父区域选择与槽级读取：冻结父key→同图/同事件过滤→Top64父ID→最多128支持槽；支持软标签进入value。两查询槽读取同一父集合的全部合法槽，按各自路由回投后汇加。图中区分检索相似度、Reader注意力与最终分类修正。</w:t>
      </w:r>
    </w:p>
    <w:bookmarkEnd w:id="30"/>
    <w:bookmarkStart w:id="31" w:name="e.-联合训练与概率锚定候选"/>
    <w:p>
      <w:pPr>
        <w:pStyle w:val="Heading3"/>
      </w:pPr>
      <w:r>
        <w:t xml:space="preserve">E. 联合训练与概率锚定候选</w:t>
      </w:r>
    </w:p>
    <w:p>
      <w:pPr>
        <w:pStyle w:val="FirstParagraph"/>
      </w:pPr>
      <w:r>
        <w:t xml:space="preserve">原目标保留四类监督：</w:t>
      </w:r>
    </w:p>
    <w:p>
      <w:pPr>
        <w:pStyle w:val="BodyText"/>
      </w:pPr>
      <m:oMathPara>
        <m:oMathParaPr>
          <m:jc m:val="center"/>
        </m:oMathParaPr>
        <m:oMath>
          <m:sSub>
            <m:e>
              <m:r>
                <m:t>L</m:t>
              </m:r>
            </m:e>
            <m:sub>
              <m:r>
                <m:rPr>
                  <m:sty m:val="p"/>
                </m:rPr>
                <m:t>o</m:t>
              </m:r>
              <m:r>
                <m:rPr>
                  <m:sty m:val="p"/>
                </m:rPr>
                <m:t>r</m:t>
              </m:r>
              <m:r>
                <m:rPr>
                  <m:sty m:val="p"/>
                </m:rPr>
                <m:t>i</m:t>
              </m:r>
              <m:r>
                <m:rPr>
                  <m:sty m:val="p"/>
                </m:rPr>
                <m:t>g</m:t>
              </m:r>
            </m:sub>
          </m:sSub>
          <m:r>
            <m:rPr>
              <m:sty m:val="p"/>
            </m:rPr>
            <m:t>=</m:t>
          </m:r>
          <m:sSub>
            <m:e>
              <m:r>
                <m:t>L</m:t>
              </m:r>
            </m:e>
            <m:sub>
              <m:r>
                <m:rPr>
                  <m:sty m:val="p"/>
                </m:rPr>
                <m:t>N</m:t>
              </m:r>
              <m:r>
                <m:rPr>
                  <m:sty m:val="p"/>
                </m:rPr>
                <m:t>L</m:t>
              </m:r>
              <m:r>
                <m:rPr>
                  <m:sty m:val="p"/>
                </m:rPr>
                <m:t>L</m:t>
              </m:r>
            </m:sub>
          </m:sSub>
          <m:r>
            <m:rPr>
              <m:sty m:val="p"/>
            </m:rPr>
            <m:t>+</m:t>
          </m:r>
          <m:sSub>
            <m:e>
              <m:r>
                <m:t>L</m:t>
              </m:r>
            </m:e>
            <m:sub>
              <m:r>
                <m:rPr>
                  <m:sty m:val="p"/>
                </m:rPr>
                <m:t>L</m:t>
              </m:r>
              <m:r>
                <m:rPr>
                  <m:sty m:val="p"/>
                </m:rPr>
                <m:t>o</m:t>
              </m:r>
              <m:r>
                <m:rPr>
                  <m:sty m:val="p"/>
                </m:rPr>
                <m:t>v</m:t>
              </m:r>
              <m:r>
                <m:rPr>
                  <m:sty m:val="p"/>
                </m:rPr>
                <m:t>a</m:t>
              </m:r>
              <m:r>
                <m:rPr>
                  <m:sty m:val="p"/>
                </m:rPr>
                <m:t>s</m:t>
              </m:r>
              <m:r>
                <m:rPr>
                  <m:sty m:val="p"/>
                </m:rPr>
                <m:t>z</m:t>
              </m:r>
              <m:r>
                <m:rPr>
                  <m:sty m:val="p"/>
                </m:rPr>
                <m:t>,</m:t>
              </m:r>
              <m:r>
                <m:rPr>
                  <m:sty m:val="p"/>
                </m:rPr>
                <m:t>p</m:t>
              </m:r>
              <m:r>
                <m:rPr>
                  <m:sty m:val="p"/>
                </m:rPr>
                <m:t>r</m:t>
              </m:r>
              <m:r>
                <m:rPr>
                  <m:sty m:val="p"/>
                </m:rPr>
                <m:t>e</m:t>
              </m:r>
              <m:r>
                <m:rPr>
                  <m:sty m:val="p"/>
                </m:rPr>
                <m:t>s</m:t>
              </m:r>
              <m:r>
                <m:rPr>
                  <m:sty m:val="p"/>
                </m:rPr>
                <m:t>e</m:t>
              </m:r>
              <m:r>
                <m:rPr>
                  <m:sty m:val="p"/>
                </m:rPr>
                <m:t>n</m:t>
              </m:r>
              <m:r>
                <m:rPr>
                  <m:sty m:val="p"/>
                </m:rPr>
                <m:t>t</m:t>
              </m:r>
            </m:sub>
          </m:sSub>
          <m:r>
            <m:rPr>
              <m:sty m:val="p"/>
            </m:rPr>
            <m:t>.</m:t>
          </m:r>
          <m:r>
            <m:t>  </m:t>
          </m:r>
          <m:r>
            <m:rPr>
              <m:nor/>
              <m:sty m:val="p"/>
            </m:rPr>
            <m:t>(10)</m:t>
          </m:r>
        </m:oMath>
      </m:oMathPara>
    </w:p>
    <w:p>
      <w:pPr>
        <w:pStyle w:val="FirstParagraph"/>
      </w:pPr>
      <w:r>
        <w:t xml:space="preserve">其中NLL使用全部有效像素，Lovász按实际实现的present类规则计算。可训练部分包括像素与父区域投影、槽编码、Reader和残差分类头；基础前端、Q、父原始表示生成器、支持内容与外部检索选择均固定。</w:t>
      </w:r>
    </w:p>
    <w:p>
      <w:pPr>
        <w:pStyle w:val="BodyText"/>
      </w:pPr>
      <w:r>
        <w:t xml:space="preserve">为检验输出偏离与预测退化的关系，候选分支增加</w:t>
      </w:r>
    </w:p>
    <w:p>
      <w:pPr>
        <w:pStyle w:val="BodyText"/>
      </w:pPr>
      <m:oMathPara>
        <m:oMathParaPr>
          <m:jc m:val="center"/>
        </m:oMathParaPr>
        <m:oMath>
          <m:sSub>
            <m:e>
              <m:r>
                <m:t>L</m:t>
              </m:r>
            </m:e>
            <m:sub>
              <m:r>
                <m:rPr>
                  <m:sty m:val="p"/>
                </m:rPr>
                <m:t>a</m:t>
              </m:r>
              <m:r>
                <m:rPr>
                  <m:sty m:val="p"/>
                </m:rPr>
                <m:t>n</m:t>
              </m:r>
              <m:r>
                <m:rPr>
                  <m:sty m:val="p"/>
                </m:rPr>
                <m:t>c</m:t>
              </m:r>
              <m:r>
                <m:rPr>
                  <m:sty m:val="p"/>
                </m:rPr>
                <m:t>h</m:t>
              </m:r>
              <m:r>
                <m:rPr>
                  <m:sty m:val="p"/>
                </m:rPr>
                <m:t>o</m:t>
              </m:r>
              <m:r>
                <m:rPr>
                  <m:sty m:val="p"/>
                </m:rPr>
                <m:t>r</m:t>
              </m:r>
            </m:sub>
          </m:sSub>
          <m:r>
            <m:rPr>
              <m:sty m:val="p"/>
            </m:rPr>
            <m:t>=</m:t>
          </m:r>
          <m:sSub>
            <m:e>
              <m:r>
                <m:t>L</m:t>
              </m:r>
            </m:e>
            <m:sub>
              <m:r>
                <m:rPr>
                  <m:sty m:val="p"/>
                </m:rPr>
                <m:t>o</m:t>
              </m:r>
              <m:r>
                <m:rPr>
                  <m:sty m:val="p"/>
                </m:rPr>
                <m:t>r</m:t>
              </m:r>
              <m:r>
                <m:rPr>
                  <m:sty m:val="p"/>
                </m:rPr>
                <m:t>i</m:t>
              </m:r>
              <m:r>
                <m:rPr>
                  <m:sty m:val="p"/>
                </m:rPr>
                <m:t>g</m:t>
              </m:r>
            </m:sub>
          </m:sSub>
          <m:r>
            <m:rPr>
              <m:sty m:val="p"/>
            </m:rPr>
            <m:t>+</m:t>
          </m:r>
          <m:r>
            <m:t>λ</m:t>
          </m:r>
          <m:f>
            <m:fPr>
              <m:type m:val="bar"/>
            </m:fPr>
            <m:num>
              <m:r>
                <m:t>1</m:t>
              </m:r>
            </m:num>
            <m:den>
              <m:sSub>
                <m:e>
                  <m:r>
                    <m:t>N</m:t>
                  </m:r>
                </m:e>
                <m:sub>
                  <m:r>
                    <m:rPr>
                      <m:sty m:val="p"/>
                    </m:rPr>
                    <m:t>i</m:t>
                  </m:r>
                  <m:r>
                    <m:rPr>
                      <m:sty m:val="p"/>
                    </m:rPr>
                    <m:t>m</m:t>
                  </m:r>
                  <m:r>
                    <m:rPr>
                      <m:sty m:val="p"/>
                    </m:rPr>
                    <m:t>g</m:t>
                  </m:r>
                </m:sub>
              </m:sSub>
            </m:den>
          </m:f>
          <m:nary>
            <m:naryPr>
              <m:chr m:val="∑"/>
              <m:limLoc m:val="undOvr"/>
              <m:subHide m:val="off"/>
              <m:supHide m:val="on"/>
            </m:naryPr>
            <m:sub>
              <m:r>
                <m:t>x</m:t>
              </m:r>
            </m:sub>
            <m:sup>
              <m:r>
                <m:t>​</m:t>
              </m:r>
            </m:sup>
            <m:e>
              <m:f>
                <m:fPr>
                  <m:type m:val="bar"/>
                </m:fPr>
                <m:num>
                  <m:r>
                    <m:t>1</m:t>
                  </m:r>
                </m:num>
                <m:den>
                  <m:d>
                    <m:dPr>
                      <m:begChr m:val="|"/>
                      <m:endChr m:val="|"/>
                      <m:sepChr m:val=""/>
                      <m:grow/>
                    </m:dPr>
                    <m:e>
                      <m:sSub>
                        <m:e>
                          <m:r>
                            <m:t>Ω</m:t>
                          </m:r>
                        </m:e>
                        <m:sub>
                          <m:r>
                            <m:t>x</m:t>
                          </m:r>
                        </m:sub>
                      </m:sSub>
                    </m:e>
                  </m:d>
                </m:den>
              </m:f>
            </m:e>
          </m:nary>
          <m:nary>
            <m:naryPr>
              <m:chr m:val="∑"/>
              <m:limLoc m:val="undOvr"/>
              <m:subHide m:val="off"/>
              <m:supHide m:val="on"/>
            </m:naryPr>
            <m:sub>
              <m:r>
                <m:t>i</m:t>
              </m:r>
              <m:r>
                <m:rPr>
                  <m:sty m:val="p"/>
                </m:rPr>
                <m:t>∈</m:t>
              </m:r>
              <m:sSub>
                <m:e>
                  <m:r>
                    <m:t>Ω</m:t>
                  </m:r>
                </m:e>
                <m:sub>
                  <m:r>
                    <m:t>x</m:t>
                  </m:r>
                </m:sub>
              </m:sSub>
            </m:sub>
            <m:sup>
              <m:r>
                <m:t>​</m:t>
              </m:r>
            </m:sup>
            <m:e>
              <m:r>
                <m:rPr>
                  <m:sty m:val="p"/>
                </m:rPr>
                <m:t>KL</m:t>
              </m:r>
            </m:e>
          </m:nary>
          <m:d>
            <m:dPr>
              <m:begChr m:val="("/>
              <m:endChr m:val=")"/>
              <m:sepChr m:val=""/>
              <m:grow/>
            </m:dPr>
            <m:e>
              <m:r>
                <m:rPr>
                  <m:sty m:val="p"/>
                </m:rPr>
                <m:t>stopgrad</m:t>
              </m:r>
              <m:d>
                <m:dPr>
                  <m:begChr m:val="("/>
                  <m:endChr m:val=")"/>
                  <m:sepChr m:val=""/>
                  <m:grow/>
                </m:dPr>
                <m:e>
                  <m:sSubSup>
                    <m:e>
                      <m:r>
                        <m:t>p</m:t>
                      </m:r>
                    </m:e>
                    <m:sub>
                      <m:r>
                        <m:t>i</m:t>
                      </m:r>
                    </m:sub>
                    <m:sup>
                      <m:r>
                        <m:t>0</m:t>
                      </m:r>
                    </m:sup>
                  </m:sSubSup>
                </m:e>
              </m:d>
              <m:r>
                <m:rPr>
                  <m:sty m:val="p"/>
                </m:rPr>
                <m:t>‖</m:t>
              </m:r>
              <m:sSubSup>
                <m:e>
                  <m:r>
                    <m:t>p</m:t>
                  </m:r>
                </m:e>
                <m:sub>
                  <m:r>
                    <m:t>i</m:t>
                  </m:r>
                </m:sub>
                <m:sup>
                  <m:r>
                    <m:t>θ</m:t>
                  </m:r>
                </m:sup>
              </m:sSubSup>
            </m:e>
          </m:d>
          <m:r>
            <m:rPr>
              <m:sty m:val="p"/>
            </m:rPr>
            <m:t>.</m:t>
          </m:r>
          <m:r>
            <m:t>  </m:t>
          </m:r>
          <m:r>
            <m:rPr>
              <m:nor/>
              <m:sty m:val="p"/>
            </m:rPr>
            <m:t>(11)</m:t>
          </m:r>
        </m:oMath>
      </m:oMathPara>
    </w:p>
    <w:p>
      <w:pPr>
        <w:pStyle w:val="FirstParagraph"/>
      </w:pPr>
      <w:r>
        <w:t xml:space="preserve">当前探索设置为</w:t>
      </w:r>
      <w:r>
        <w:t xml:space="preserve"> </w:t>
      </w:r>
      <m:oMath>
        <m:r>
          <m:t>λ</m:t>
        </m:r>
        <m:r>
          <m:rPr>
            <m:sty m:val="p"/>
          </m:rPr>
          <m:t>=</m:t>
        </m:r>
        <m:r>
          <m:t>0.1</m:t>
        </m:r>
      </m:oMath>
      <w:r>
        <w:t xml:space="preserve">、温度1；</w:t>
      </w:r>
      <m:oMath>
        <m:sSub>
          <m:e>
            <m:r>
              <m:t>Ω</m:t>
            </m:r>
          </m:e>
          <m:sub>
            <m:r>
              <m:t>x</m:t>
            </m:r>
          </m:sub>
        </m:sSub>
      </m:oMath>
      <w:r>
        <w:t xml:space="preserve">只排除ignore像素，包含背景及教师预测错误的位置。全ignore图像以分母1处理、贡献0，仍按实际批内图像数平均。它没有使用真值筛选“教师正确像素”，也没有接受/拒绝Memory的门控。在概率数值截断未激活且采用共同归约方式时，NLL与KL部分的学生梯度等价于以</w:t>
      </w:r>
      <w:r>
        <w:t xml:space="preserve"> </w:t>
      </w:r>
      <m:oMath>
        <m:d>
          <m:dPr>
            <m:begChr m:val="("/>
            <m:endChr m:val=")"/>
            <m:sepChr m:val=""/>
            <m:grow/>
          </m:dPr>
          <m:e>
            <m:r>
              <m:rPr>
                <m:sty m:val="p"/>
              </m:rPr>
              <m:t>onehot</m:t>
            </m:r>
            <m:d>
              <m:dPr>
                <m:begChr m:val="("/>
                <m:endChr m:val=")"/>
                <m:sepChr m:val=""/>
                <m:grow/>
              </m:dPr>
              <m:e>
                <m:r>
                  <m:t>y</m:t>
                </m:r>
              </m:e>
            </m:d>
            <m:r>
              <m:rPr>
                <m:sty m:val="p"/>
              </m:rPr>
              <m:t>+</m:t>
            </m:r>
            <m:r>
              <m:t>λ</m:t>
            </m:r>
            <m:sSup>
              <m:e>
                <m:r>
                  <m:t>p</m:t>
                </m:r>
              </m:e>
              <m:sup>
                <m:r>
                  <m:t>0</m:t>
                </m:r>
              </m:sup>
            </m:sSup>
          </m:e>
        </m:d>
        <m:r>
          <m:rPr>
            <m:sty m:val="p"/>
          </m:rPr>
          <m:t>/</m:t>
        </m:r>
        <m:d>
          <m:dPr>
            <m:begChr m:val="("/>
            <m:endChr m:val=")"/>
            <m:sepChr m:val=""/>
            <m:grow/>
          </m:dPr>
          <m:e>
            <m:r>
              <m:t>1</m:t>
            </m:r>
            <m:r>
              <m:rPr>
                <m:sty m:val="p"/>
              </m:rPr>
              <m:t>+</m:t>
            </m:r>
            <m:r>
              <m:t>λ</m:t>
            </m:r>
          </m:e>
        </m:d>
      </m:oMath>
      <w:r>
        <w:t xml:space="preserve"> </w:t>
      </w:r>
      <w:r>
        <w:t xml:space="preserve">为软目标的加权交叉熵；这是标准输出正则化的应用，不是新的蒸馏理论。</w:t>
      </w:r>
    </w:p>
    <w:p>
      <w:pPr>
        <w:pStyle w:val="BodyText"/>
      </w:pPr>
      <w:r>
        <w:t xml:space="preserve">当前连续实验先对D结构共同训练500步，再复制模型、优化器及随机状态，分为原目标和锚定目标两支继续到1500步。两支从分支点起使用相同的0.2倍原学习率，并保留原5000步调度长度，避免将目标差异与调度终点变化混合。建库遍历Train2918并不等于这项1500步试验已经将全部Train图像作为训练查询访问。正式比较以实际更新和查询记录为准。</w:t>
      </w:r>
    </w:p>
    <w:p>
      <w:pPr>
        <w:pStyle w:val="BodyText"/>
      </w:pPr>
      <w:r>
        <w:t xml:space="preserve">当前入口使用AdamW，原调度最大学习率为</w:t>
      </w:r>
      <w:r>
        <w:t xml:space="preserve"> </w:t>
      </w:r>
      <m:oMath>
        <m:sSup>
          <m:e>
            <m:r>
              <m:t>10</m:t>
            </m:r>
          </m:e>
          <m:sup>
            <m:r>
              <m:rPr>
                <m:sty m:val="p"/>
              </m:rPr>
              <m:t>−</m:t>
            </m:r>
            <m:r>
              <m:t>4</m:t>
            </m:r>
          </m:sup>
        </m:sSup>
      </m:oMath>
      <w:r>
        <w:t xml:space="preserve">，warmup为500步，weight decay为0.005，梯度范数裁剪阈值为1，查询batch为1，探索种子3407。正式重复实验保持这些共同设置，仅改变预先指定的种子。固定Train诊断子集取公共前500步访问图像中的前450张，适合比较检查点变化，不自动代表整个Train2918。</w:t>
      </w:r>
    </w:p>
    <w:bookmarkEnd w:id="31"/>
    <w:bookmarkEnd w:id="32"/>
    <w:bookmarkStart w:id="40" w:name="iv.-实验设置与结果组织"/>
    <w:p>
      <w:pPr>
        <w:pStyle w:val="Heading2"/>
      </w:pPr>
      <w:r>
        <w:t xml:space="preserve">IV. 实验设置与结果组织</w:t>
      </w:r>
    </w:p>
    <w:bookmarkStart w:id="33" w:name="a.-数据协议与指标"/>
    <w:p>
      <w:pPr>
        <w:pStyle w:val="Heading3"/>
      </w:pPr>
      <w:r>
        <w:t xml:space="preserve">A. 数据、协议与指标</w:t>
      </w:r>
    </w:p>
    <w:p>
      <w:pPr>
        <w:pStyle w:val="FirstParagraph"/>
      </w:pPr>
      <w:r>
        <w:rPr>
          <w:b/>
          <w:bCs/>
        </w:rPr>
        <w:t xml:space="preserve">图4置于此处。</w:t>
      </w:r>
      <w:r>
        <w:t xml:space="preserve"> </w:t>
      </w:r>
      <w:r>
        <w:t xml:space="preserve">BRIGHT事件/数据概览，注明标准划分和事件分布。它不表示当前实验已做到未见事件泛化。</w:t>
      </w:r>
    </w:p>
    <w:p>
      <w:pPr>
        <w:pStyle w:val="BodyText"/>
      </w:pPr>
      <w:r>
        <w:t xml:space="preserve">以BRIGHT标准机器学习划分为主：Train2918、Val450，Test878仅用于方案冻结后的最终评估。训练图像用于前端既有训练、支持库构建和联合头学习；Val用于设计选择与机制诊断。若已经对Test进行探索性检查，应在实验记录中声明，不能将其伪装成从未接触的最终保留集。另设事件隔离实验时，需重新划分训练事件、重建支持库和核对前端训练来源。</w:t>
      </w:r>
    </w:p>
    <w:p>
      <w:pPr>
        <w:pStyle w:val="BodyText"/>
      </w:pPr>
      <w:r>
        <w:t xml:space="preserve">四类混淆矩阵在整个划分上累计，计算各类IoU、前景mIoU和四类mIoU：</w:t>
      </w:r>
    </w:p>
    <w:p>
      <w:pPr>
        <w:pStyle w:val="BodyText"/>
      </w:pPr>
      <m:oMathPara>
        <m:oMathParaPr>
          <m:jc m:val="center"/>
        </m:oMathParaPr>
        <m:oMath>
          <m:sSub>
            <m:e>
              <m:r>
                <m:rPr>
                  <m:sty m:val="p"/>
                </m:rPr>
                <m:t>IoU</m:t>
              </m:r>
            </m:e>
            <m:sub>
              <m:r>
                <m:t>c</m:t>
              </m:r>
            </m:sub>
          </m:sSub>
          <m:r>
            <m:rPr>
              <m:sty m:val="p"/>
            </m:rPr>
            <m:t>=</m:t>
          </m:r>
          <m:f>
            <m:fPr>
              <m:type m:val="bar"/>
            </m:fPr>
            <m:num>
              <m:r>
                <m:t>T</m:t>
              </m:r>
              <m:sSub>
                <m:e>
                  <m:r>
                    <m:t>P</m:t>
                  </m:r>
                </m:e>
                <m:sub>
                  <m:r>
                    <m:t>c</m:t>
                  </m:r>
                </m:sub>
              </m:sSub>
            </m:num>
            <m:den>
              <m:r>
                <m:t>T</m:t>
              </m:r>
              <m:sSub>
                <m:e>
                  <m:r>
                    <m:t>P</m:t>
                  </m:r>
                </m:e>
                <m:sub>
                  <m:r>
                    <m:t>c</m:t>
                  </m:r>
                </m:sub>
              </m:sSub>
              <m:r>
                <m:rPr>
                  <m:sty m:val="p"/>
                </m:rPr>
                <m:t>+</m:t>
              </m:r>
              <m:r>
                <m:t>F</m:t>
              </m:r>
              <m:sSub>
                <m:e>
                  <m:r>
                    <m:t>P</m:t>
                  </m:r>
                </m:e>
                <m:sub>
                  <m:r>
                    <m:t>c</m:t>
                  </m:r>
                </m:sub>
              </m:sSub>
              <m:r>
                <m:rPr>
                  <m:sty m:val="p"/>
                </m:rPr>
                <m:t>+</m:t>
              </m:r>
              <m:r>
                <m:t>F</m:t>
              </m:r>
              <m:sSub>
                <m:e>
                  <m:r>
                    <m:t>N</m:t>
                  </m:r>
                </m:e>
                <m:sub>
                  <m:r>
                    <m:t>c</m:t>
                  </m:r>
                </m:sub>
              </m:sSub>
            </m:den>
          </m:f>
          <m:r>
            <m:rPr>
              <m:sty m:val="p"/>
            </m:rPr>
            <m:t>,</m:t>
          </m:r>
          <m:r>
            <m:t> </m:t>
          </m:r>
          <m:sSub>
            <m:e>
              <m:r>
                <m:rPr>
                  <m:sty m:val="p"/>
                </m:rPr>
                <m:t>mIoU</m:t>
              </m:r>
            </m:e>
            <m:sub>
              <m:r>
                <m:t>f</m:t>
              </m:r>
              <m:r>
                <m:t>g</m:t>
              </m:r>
            </m:sub>
          </m:sSub>
          <m:r>
            <m:rPr>
              <m:sty m:val="p"/>
            </m:rPr>
            <m:t>=</m:t>
          </m:r>
          <m:f>
            <m:fPr>
              <m:type m:val="bar"/>
            </m:fPr>
            <m:num>
              <m:sSub>
                <m:e>
                  <m:r>
                    <m:rPr>
                      <m:sty m:val="p"/>
                    </m:rPr>
                    <m:t>IoU</m:t>
                  </m:r>
                </m:e>
                <m:sub>
                  <m:r>
                    <m:t>1</m:t>
                  </m:r>
                </m:sub>
              </m:sSub>
              <m:r>
                <m:rPr>
                  <m:sty m:val="p"/>
                </m:rPr>
                <m:t>+</m:t>
              </m:r>
              <m:sSub>
                <m:e>
                  <m:r>
                    <m:rPr>
                      <m:sty m:val="p"/>
                    </m:rPr>
                    <m:t>IoU</m:t>
                  </m:r>
                </m:e>
                <m:sub>
                  <m:r>
                    <m:t>2</m:t>
                  </m:r>
                </m:sub>
              </m:sSub>
              <m:r>
                <m:rPr>
                  <m:sty m:val="p"/>
                </m:rPr>
                <m:t>+</m:t>
              </m:r>
              <m:sSub>
                <m:e>
                  <m:r>
                    <m:rPr>
                      <m:sty m:val="p"/>
                    </m:rPr>
                    <m:t>IoU</m:t>
                  </m:r>
                </m:e>
                <m:sub>
                  <m:r>
                    <m:t>3</m:t>
                  </m:r>
                </m:sub>
              </m:sSub>
            </m:num>
            <m:den>
              <m:r>
                <m:t>3</m:t>
              </m:r>
            </m:den>
          </m:f>
          <m:r>
            <m:rPr>
              <m:sty m:val="p"/>
            </m:rPr>
            <m:t>,</m:t>
          </m:r>
          <m:r>
            <m:t> </m:t>
          </m:r>
          <m:sSub>
            <m:e>
              <m:r>
                <m:rPr>
                  <m:sty m:val="p"/>
                </m:rPr>
                <m:t>mIoU</m:t>
              </m:r>
            </m:e>
            <m:sub>
              <m:r>
                <m:t>4</m:t>
              </m:r>
            </m:sub>
          </m:sSub>
          <m:r>
            <m:rPr>
              <m:sty m:val="p"/>
            </m:rPr>
            <m:t>=</m:t>
          </m:r>
          <m:f>
            <m:fPr>
              <m:type m:val="bar"/>
            </m:fPr>
            <m:num>
              <m:r>
                <m:t>1</m:t>
              </m:r>
            </m:num>
            <m:den>
              <m:r>
                <m:t>4</m:t>
              </m:r>
            </m:den>
          </m:f>
          <m:nary>
            <m:naryPr>
              <m:chr m:val="∑"/>
              <m:limLoc m:val="undOvr"/>
              <m:subHide m:val="off"/>
              <m:supHide m:val="off"/>
            </m:naryPr>
            <m:sub>
              <m:r>
                <m:t>c</m:t>
              </m:r>
              <m:r>
                <m:rPr>
                  <m:sty m:val="p"/>
                </m:rPr>
                <m:t>=</m:t>
              </m:r>
              <m:r>
                <m:t>0</m:t>
              </m:r>
            </m:sub>
            <m:sup>
              <m:r>
                <m:t>3</m:t>
              </m:r>
            </m:sup>
            <m:e>
              <m:sSub>
                <m:e>
                  <m:r>
                    <m:rPr>
                      <m:sty m:val="p"/>
                    </m:rPr>
                    <m:t>IoU</m:t>
                  </m:r>
                </m:e>
                <m:sub>
                  <m:r>
                    <m:t>c</m:t>
                  </m:r>
                </m:sub>
              </m:sSub>
            </m:e>
          </m:nary>
          <m:r>
            <m:rPr>
              <m:sty m:val="p"/>
            </m:rPr>
            <m:t>.</m:t>
          </m:r>
          <m:r>
            <m:t>  </m:t>
          </m:r>
          <m:r>
            <m:rPr>
              <m:nor/>
              <m:sty m:val="p"/>
            </m:rPr>
            <m:t>(12)</m:t>
          </m:r>
        </m:oMath>
      </m:oMathPara>
    </w:p>
    <w:p>
      <w:pPr>
        <w:pStyle w:val="FirstParagraph"/>
      </w:pPr>
      <w:r>
        <w:t xml:space="preserve">当前实现的前景均值固定平均三类，分母为零的类别在该均值中贡献0，类别明细标记为空；事件级统计应说明是否沿用该规则。事件宏平均先按各事件混淆矩阵计算同口径指标，再对事件等权平均，不能与全局像素累计指标混写。另报告受损类精确率/召回率、二类建筑IoU及Intact→Damaged、Intact→Destroyed混淆。</w:t>
      </w:r>
    </w:p>
    <w:p>
      <w:pPr>
        <w:pStyle w:val="BodyText"/>
      </w:pPr>
      <w:r>
        <w:rPr>
          <w:b/>
          <w:bCs/>
        </w:rPr>
        <w:t xml:space="preserve">表1　实验协议与复现信息。</w:t>
      </w:r>
    </w:p>
    <w:tbl>
      <w:tblPr>
        <w:tblStyle w:val="Table"/>
        <w:tblW w:type="auto" w:w="0"/>
        <w:jc w:val="left"/>
        <w:tblLook w:firstRow="1" w:lastRow="0" w:firstColumn="0" w:lastColumn="0" w:noHBand="0" w:noVBand="0" w:val="0020"/>
      </w:tblPr>
      <w:tblGrid>
        <w:gridCol w:w="3960"/>
        <w:gridCol w:w="3960"/>
      </w:tblGrid>
      <w:tr>
        <w:trPr>
          <w:tblHeader w:val="on"/>
          <w:tblHeader/>
        </w:trPr>
        <w:tc>
          <w:tcPr/>
          <w:p>
            <w:pPr>
              <w:pStyle w:val="Compact"/>
              <w:spacing w:after="60"/>
              <w:jc w:val="left"/>
            </w:pPr>
            <w:r>
              <w:rPr>
                <w:sz w:val="18"/>
              </w:rPr>
              <w:t xml:space="preserve">项目</w:t>
            </w:r>
          </w:p>
        </w:tc>
        <w:tc>
          <w:tcPr/>
          <w:p>
            <w:pPr>
              <w:pStyle w:val="Compact"/>
              <w:spacing w:after="60"/>
              <w:jc w:val="left"/>
            </w:pPr>
            <w:r>
              <w:rPr>
                <w:sz w:val="18"/>
              </w:rPr>
              <w:t xml:space="preserve">记录内容</w:t>
            </w:r>
          </w:p>
        </w:tc>
      </w:tr>
      <w:tr>
        <w:tc>
          <w:tcPr/>
          <w:p>
            <w:pPr>
              <w:pStyle w:val="Compact"/>
              <w:spacing w:after="60"/>
              <w:jc w:val="left"/>
            </w:pPr>
            <w:r>
              <w:rPr>
                <w:sz w:val="18"/>
              </w:rPr>
              <w:t xml:space="preserve">主划分</w:t>
            </w:r>
          </w:p>
        </w:tc>
        <w:tc>
          <w:tcPr/>
          <w:p>
            <w:pPr>
              <w:pStyle w:val="Compact"/>
              <w:spacing w:after="60"/>
              <w:jc w:val="left"/>
            </w:pPr>
            <w:r>
              <w:rPr>
                <w:sz w:val="18"/>
              </w:rPr>
              <w:t xml:space="preserve">Train2918 / Val450 / Test878；名单及SHA256归档</w:t>
            </w:r>
          </w:p>
        </w:tc>
      </w:tr>
      <w:tr>
        <w:tc>
          <w:tcPr/>
          <w:p>
            <w:pPr>
              <w:pStyle w:val="Compact"/>
              <w:spacing w:after="60"/>
              <w:jc w:val="left"/>
            </w:pPr>
            <w:r>
              <w:rPr>
                <w:sz w:val="18"/>
              </w:rPr>
              <w:t xml:space="preserve">冻结来源</w:t>
            </w:r>
          </w:p>
        </w:tc>
        <w:tc>
          <w:tcPr/>
          <w:p>
            <w:pPr>
              <w:pStyle w:val="Compact"/>
              <w:spacing w:after="60"/>
              <w:jc w:val="left"/>
            </w:pPr>
            <w:r>
              <w:rPr>
                <w:sz w:val="18"/>
              </w:rPr>
              <w:t xml:space="preserve">A1权重、Q末步权重、父表示配置与哈希；Q为baseline来源</w:t>
            </w:r>
          </w:p>
        </w:tc>
      </w:tr>
      <w:tr>
        <w:tc>
          <w:tcPr/>
          <w:p>
            <w:pPr>
              <w:pStyle w:val="Compact"/>
              <w:spacing w:after="60"/>
              <w:jc w:val="left"/>
            </w:pPr>
            <w:r>
              <w:rPr>
                <w:sz w:val="18"/>
              </w:rPr>
              <w:t xml:space="preserve">历史库</w:t>
            </w:r>
          </w:p>
        </w:tc>
        <w:tc>
          <w:tcPr/>
          <w:p>
            <w:pPr>
              <w:pStyle w:val="Compact"/>
              <w:spacing w:after="60"/>
              <w:jc w:val="left"/>
            </w:pPr>
            <w:r>
              <w:rPr>
                <w:sz w:val="18"/>
              </w:rPr>
              <w:t xml:space="preserve">Train专属；成员选择规则、实际父案例数及图像/事件数</w:t>
            </w:r>
          </w:p>
        </w:tc>
      </w:tr>
      <w:tr>
        <w:tc>
          <w:tcPr/>
          <w:p>
            <w:pPr>
              <w:pStyle w:val="Compact"/>
              <w:spacing w:after="60"/>
              <w:jc w:val="left"/>
            </w:pPr>
            <w:r>
              <w:rPr>
                <w:sz w:val="18"/>
              </w:rPr>
              <w:t xml:space="preserve">Reader</w:t>
            </w:r>
          </w:p>
        </w:tc>
        <w:tc>
          <w:tcPr/>
          <w:p>
            <w:pPr>
              <w:pStyle w:val="Compact"/>
              <w:spacing w:after="60"/>
              <w:jc w:val="left"/>
            </w:pPr>
            <w:r>
              <w:rPr>
                <w:sz w:val="18"/>
              </w:rPr>
              <w:t xml:space="preserve">默认T128父Top64；最多128槽；四头；有效性掩膜</w:t>
            </w:r>
          </w:p>
        </w:tc>
      </w:tr>
      <w:tr>
        <w:tc>
          <w:tcPr/>
          <w:p>
            <w:pPr>
              <w:pStyle w:val="Compact"/>
              <w:spacing w:after="60"/>
              <w:jc w:val="left"/>
            </w:pPr>
            <w:r>
              <w:rPr>
                <w:sz w:val="18"/>
              </w:rPr>
              <w:t xml:space="preserve">当前训练候选</w:t>
            </w:r>
          </w:p>
        </w:tc>
        <w:tc>
          <w:tcPr/>
          <w:p>
            <w:pPr>
              <w:pStyle w:val="Compact"/>
              <w:spacing w:after="60"/>
              <w:jc w:val="left"/>
            </w:pPr>
            <w:r>
              <w:rPr>
                <w:sz w:val="18"/>
              </w:rPr>
              <w:t xml:space="preserve">D共享500步→原目标/锚定目标各到1500步；原5000步调度</w:t>
            </w:r>
          </w:p>
        </w:tc>
      </w:tr>
      <w:tr>
        <w:tc>
          <w:tcPr/>
          <w:p>
            <w:pPr>
              <w:pStyle w:val="Compact"/>
              <w:spacing w:after="60"/>
              <w:jc w:val="left"/>
            </w:pPr>
            <w:r>
              <w:rPr>
                <w:sz w:val="18"/>
              </w:rPr>
              <w:t xml:space="preserve">正式结构消融</w:t>
            </w:r>
          </w:p>
        </w:tc>
        <w:tc>
          <w:tcPr/>
          <w:p>
            <w:pPr>
              <w:pStyle w:val="Compact"/>
              <w:spacing w:after="60"/>
              <w:jc w:val="left"/>
            </w:pPr>
            <w:r>
              <w:rPr>
                <w:sz w:val="18"/>
              </w:rPr>
              <w:t xml:space="preserve">统一前端、库成员、损失、数据流、预算；至少3个配对种子</w:t>
            </w:r>
          </w:p>
        </w:tc>
      </w:tr>
      <w:tr>
        <w:tc>
          <w:tcPr/>
          <w:p>
            <w:pPr>
              <w:pStyle w:val="Compact"/>
              <w:spacing w:after="60"/>
              <w:jc w:val="left"/>
            </w:pPr>
            <w:r>
              <w:rPr>
                <w:sz w:val="18"/>
              </w:rPr>
              <w:t xml:space="preserve">推理</w:t>
            </w:r>
          </w:p>
        </w:tc>
        <w:tc>
          <w:tcPr/>
          <w:p>
            <w:pPr>
              <w:pStyle w:val="Compact"/>
              <w:spacing w:after="60"/>
              <w:jc w:val="left"/>
            </w:pPr>
            <w:r>
              <w:rPr>
                <w:sz w:val="18"/>
              </w:rPr>
              <w:t xml:space="preserve">相同分辨率、精度、插值与TTA设置；额外伪标签/集成单列</w:t>
            </w:r>
          </w:p>
        </w:tc>
      </w:tr>
      <w:tr>
        <w:tc>
          <w:tcPr/>
          <w:p>
            <w:pPr>
              <w:pStyle w:val="Compact"/>
              <w:spacing w:after="60"/>
              <w:jc w:val="left"/>
            </w:pPr>
            <w:r>
              <w:rPr>
                <w:sz w:val="18"/>
              </w:rPr>
              <w:t xml:space="preserve">主指标</w:t>
            </w:r>
          </w:p>
        </w:tc>
        <w:tc>
          <w:tcPr/>
          <w:p>
            <w:pPr>
              <w:pStyle w:val="Compact"/>
              <w:spacing w:after="60"/>
              <w:jc w:val="left"/>
            </w:pPr>
            <w:r>
              <w:rPr>
                <w:sz w:val="18"/>
              </w:rPr>
              <w:t xml:space="preserve">mIoU_fg、mIoU_4、四类IoU；事件口径与缺类规则同时报告</w:t>
            </w:r>
          </w:p>
        </w:tc>
      </w:tr>
      <w:tr>
        <w:tc>
          <w:tcPr/>
          <w:p>
            <w:pPr>
              <w:pStyle w:val="Compact"/>
              <w:spacing w:after="60"/>
              <w:jc w:val="left"/>
            </w:pPr>
            <w:r>
              <w:rPr>
                <w:sz w:val="18"/>
              </w:rPr>
              <w:t xml:space="preserve">效率</w:t>
            </w:r>
          </w:p>
        </w:tc>
        <w:tc>
          <w:tcPr/>
          <w:p>
            <w:pPr>
              <w:pStyle w:val="Compact"/>
              <w:spacing w:after="60"/>
              <w:jc w:val="left"/>
            </w:pPr>
            <w:r>
              <w:rPr>
                <w:sz w:val="18"/>
              </w:rPr>
              <w:t xml:space="preserve">实际可训练参数、父库/槽库大小、建库时间、单图时间和峰值显存</w:t>
            </w:r>
          </w:p>
        </w:tc>
      </w:tr>
    </w:tbl>
    <w:p>
      <w:pPr>
        <w:pStyle w:val="BodyText"/>
      </w:pPr>
      <w:r>
        <w:t xml:space="preserve">当前新库与旧库成员身份不同，数值运行配置也需要单独记录。因此旧库训练的中间结果仅作为研究动机，不能直接作为新库消融对照。</w:t>
      </w:r>
    </w:p>
    <w:bookmarkEnd w:id="33"/>
    <w:bookmarkStart w:id="34" w:name="b.-总体比较"/>
    <w:p>
      <w:pPr>
        <w:pStyle w:val="Heading3"/>
      </w:pPr>
      <w:r>
        <w:t xml:space="preserve">B. 总体比较</w:t>
      </w:r>
    </w:p>
    <w:p>
      <w:pPr>
        <w:pStyle w:val="FirstParagraph"/>
      </w:pPr>
      <w:r>
        <w:t xml:space="preserve">总体性能比较与组件归因分开。表2(a)比较同数据协议的完整系统；表2(b)使用同一冻结前端识别区域和历史支持的增量。外部方法应优先在相同划分重跑；引用公开成绩时标明来源、是否使用额外数据、目标域适配、集成和指标口径。论文中的DamageFormer名称应绑定实际代码版本，不把文献原始网络与项目衍生A1混为同一模型。</w:t>
      </w:r>
    </w:p>
    <w:p>
      <w:pPr>
        <w:pStyle w:val="BodyText"/>
      </w:pPr>
      <w:r>
        <w:rPr>
          <w:b/>
          <w:bCs/>
        </w:rPr>
        <w:t xml:space="preserve">表2(a)　标准Test上的完整系统比较，所有新版本数值待真实评估。</w:t>
      </w:r>
    </w:p>
    <w:tbl>
      <w:tblPr>
        <w:tblStyle w:val="Table"/>
        <w:tblW w:type="pct" w:w="5000"/>
        <w:jc w:val="left"/>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blHeader/>
        </w:trPr>
        <w:tc>
          <w:tcPr/>
          <w:p>
            <w:pPr>
              <w:pStyle w:val="Compact"/>
              <w:spacing w:after="60"/>
              <w:jc w:val="left"/>
            </w:pPr>
            <w:r>
              <w:rPr>
                <w:sz w:val="18"/>
              </w:rPr>
              <w:t xml:space="preserve">方法</w:t>
            </w:r>
          </w:p>
        </w:tc>
        <w:tc>
          <w:tcPr/>
          <w:p>
            <w:pPr>
              <w:pStyle w:val="Compact"/>
              <w:spacing w:after="60"/>
              <w:jc w:val="left"/>
            </w:pPr>
            <w:r>
              <w:rPr>
                <w:sz w:val="18"/>
              </w:rPr>
              <w:t xml:space="preserve">输入/额外数据</w:t>
            </w:r>
          </w:p>
        </w:tc>
        <w:tc>
          <w:tcPr/>
          <w:p>
            <w:pPr>
              <w:pStyle w:val="Compact"/>
              <w:spacing w:after="60"/>
              <w:jc w:val="right"/>
            </w:pPr>
            <w:r>
              <w:rPr>
                <w:sz w:val="18"/>
              </w:rPr>
              <w:t xml:space="preserve">背景IoU</w:t>
            </w:r>
          </w:p>
        </w:tc>
        <w:tc>
          <w:tcPr/>
          <w:p>
            <w:pPr>
              <w:pStyle w:val="Compact"/>
              <w:spacing w:after="60"/>
              <w:jc w:val="right"/>
            </w:pPr>
            <w:r>
              <w:rPr>
                <w:sz w:val="18"/>
              </w:rPr>
              <w:t xml:space="preserve">完好IoU</w:t>
            </w:r>
          </w:p>
        </w:tc>
        <w:tc>
          <w:tcPr/>
          <w:p>
            <w:pPr>
              <w:pStyle w:val="Compact"/>
              <w:spacing w:after="60"/>
              <w:jc w:val="right"/>
            </w:pPr>
            <w:r>
              <w:rPr>
                <w:sz w:val="18"/>
              </w:rPr>
              <w:t xml:space="preserve">受损IoU</w:t>
            </w:r>
          </w:p>
        </w:tc>
        <w:tc>
          <w:tcPr/>
          <w:p>
            <w:pPr>
              <w:pStyle w:val="Compact"/>
              <w:spacing w:after="60"/>
              <w:jc w:val="right"/>
            </w:pPr>
            <w:r>
              <w:rPr>
                <w:sz w:val="18"/>
              </w:rPr>
              <w:t xml:space="preserve">毁坏IoU</w:t>
            </w:r>
          </w:p>
        </w:tc>
        <w:tc>
          <w:tcPr/>
          <w:p>
            <w:pPr>
              <w:pStyle w:val="Compact"/>
              <w:spacing w:after="60"/>
              <w:jc w:val="right"/>
            </w:pPr>
            <w:r>
              <w:rPr>
                <w:sz w:val="18"/>
              </w:rPr>
              <w:t xml:space="preserve">mIoU_fg</w:t>
            </w:r>
          </w:p>
        </w:tc>
        <w:tc>
          <w:tcPr/>
          <w:p>
            <w:pPr>
              <w:pStyle w:val="Compact"/>
              <w:spacing w:after="60"/>
              <w:jc w:val="right"/>
            </w:pPr>
            <w:r>
              <w:rPr>
                <w:sz w:val="18"/>
              </w:rPr>
              <w:t xml:space="preserve">mIoU_4</w:t>
            </w:r>
          </w:p>
        </w:tc>
      </w:tr>
      <w:tr>
        <w:tc>
          <w:tcPr/>
          <w:p>
            <w:pPr>
              <w:pStyle w:val="Compact"/>
              <w:spacing w:after="60"/>
              <w:jc w:val="left"/>
            </w:pPr>
            <w:r>
              <w:rPr>
                <w:sz w:val="18"/>
              </w:rPr>
              <w:t xml:space="preserve">DamageFormer适配实现</w:t>
            </w:r>
          </w:p>
        </w:tc>
        <w:tc>
          <w:tcPr/>
          <w:p>
            <w:pPr>
              <w:pStyle w:val="Compact"/>
              <w:spacing w:after="60"/>
              <w:jc w:val="left"/>
            </w:pPr>
            <w:r>
              <w:rPr>
                <w:sz w:val="18"/>
              </w:rPr>
              <w:t xml:space="preserve">光学+SAR；Train</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ChangeOS适配实现</w:t>
            </w:r>
          </w:p>
        </w:tc>
        <w:tc>
          <w:tcPr/>
          <w:p>
            <w:pPr>
              <w:pStyle w:val="Compact"/>
              <w:spacing w:after="60"/>
              <w:jc w:val="left"/>
            </w:pPr>
            <w:r>
              <w:rPr>
                <w:sz w:val="18"/>
              </w:rPr>
              <w:t xml:space="preserve">同协议</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ChangeMamba适配实现</w:t>
            </w:r>
          </w:p>
        </w:tc>
        <w:tc>
          <w:tcPr/>
          <w:p>
            <w:pPr>
              <w:pStyle w:val="Compact"/>
              <w:spacing w:after="60"/>
              <w:jc w:val="left"/>
            </w:pPr>
            <w:r>
              <w:rPr>
                <w:sz w:val="18"/>
              </w:rPr>
              <w:t xml:space="preserve">同协议</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本文冻结前端像素输出</w:t>
            </w:r>
          </w:p>
        </w:tc>
        <w:tc>
          <w:tcPr/>
          <w:p>
            <w:pPr>
              <w:pStyle w:val="Compact"/>
              <w:spacing w:after="60"/>
              <w:jc w:val="left"/>
            </w:pPr>
            <w:r>
              <w:rPr>
                <w:sz w:val="18"/>
              </w:rPr>
              <w:t xml:space="preserve">同协议</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本文D联合模型</w:t>
            </w:r>
          </w:p>
        </w:tc>
        <w:tc>
          <w:tcPr/>
          <w:p>
            <w:pPr>
              <w:pStyle w:val="Compact"/>
              <w:spacing w:after="60"/>
              <w:jc w:val="left"/>
            </w:pPr>
            <w:r>
              <w:rPr>
                <w:sz w:val="18"/>
              </w:rPr>
              <w:t xml:space="preserve">同协议；固定Train案例库</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D+锚定（若Val支持保留）</w:t>
            </w:r>
          </w:p>
        </w:tc>
        <w:tc>
          <w:tcPr/>
          <w:p>
            <w:pPr>
              <w:pStyle w:val="Compact"/>
              <w:spacing w:after="60"/>
              <w:jc w:val="left"/>
            </w:pPr>
            <w:r>
              <w:rPr>
                <w:sz w:val="18"/>
              </w:rPr>
              <w:t xml:space="preserve">与D相同</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bl>
    <w:p>
      <w:pPr>
        <w:pStyle w:val="BodyText"/>
      </w:pPr>
      <w:r>
        <w:rPr>
          <w:b/>
          <w:bCs/>
        </w:rPr>
        <w:t xml:space="preserve">表2(b)　同源基础与容量对照。</w:t>
      </w:r>
    </w:p>
    <w:tbl>
      <w:tblPr>
        <w:tblStyle w:val="Table"/>
        <w:tblW w:type="pct" w:w="5000"/>
        <w:jc w:val="left"/>
        <w:tblLayout w:type="fixed"/>
        <w:tblLook w:firstRow="1" w:lastRow="0" w:firstColumn="0" w:lastColumn="0" w:noHBand="0" w:noVBand="0" w:val="0020"/>
      </w:tblPr>
      <w:tblGrid>
        <w:gridCol w:w="1188"/>
        <w:gridCol w:w="1188"/>
        <w:gridCol w:w="1188"/>
        <w:gridCol w:w="1188"/>
        <w:gridCol w:w="1584"/>
        <w:gridCol w:w="1584"/>
      </w:tblGrid>
      <w:tr>
        <w:trPr>
          <w:tblHeader w:val="on"/>
          <w:tblHeader/>
        </w:trPr>
        <w:tc>
          <w:tcPr/>
          <w:p>
            <w:pPr>
              <w:pStyle w:val="Compact"/>
              <w:spacing w:after="60"/>
              <w:jc w:val="left"/>
            </w:pPr>
            <w:r>
              <w:rPr>
                <w:sz w:val="18"/>
              </w:rPr>
              <w:t xml:space="preserve">配置</w:t>
            </w:r>
          </w:p>
        </w:tc>
        <w:tc>
          <w:tcPr/>
          <w:p>
            <w:pPr>
              <w:pStyle w:val="Compact"/>
              <w:spacing w:after="60"/>
              <w:jc w:val="left"/>
            </w:pPr>
            <w:r>
              <w:rPr>
                <w:sz w:val="18"/>
              </w:rPr>
              <w:t xml:space="preserve">可训练读出</w:t>
            </w:r>
          </w:p>
        </w:tc>
        <w:tc>
          <w:tcPr/>
          <w:p>
            <w:pPr>
              <w:pStyle w:val="Compact"/>
              <w:spacing w:after="60"/>
              <w:jc w:val="left"/>
            </w:pPr>
            <w:r>
              <w:rPr>
                <w:sz w:val="18"/>
              </w:rPr>
              <w:t xml:space="preserve">区域信息</w:t>
            </w:r>
          </w:p>
        </w:tc>
        <w:tc>
          <w:tcPr/>
          <w:p>
            <w:pPr>
              <w:pStyle w:val="Compact"/>
              <w:spacing w:after="60"/>
              <w:jc w:val="left"/>
            </w:pPr>
            <w:r>
              <w:rPr>
                <w:sz w:val="18"/>
              </w:rPr>
              <w:t xml:space="preserve">参考信息</w:t>
            </w:r>
          </w:p>
        </w:tc>
        <w:tc>
          <w:tcPr/>
          <w:p>
            <w:pPr>
              <w:pStyle w:val="Compact"/>
              <w:spacing w:after="60"/>
              <w:jc w:val="right"/>
            </w:pPr>
            <w:r>
              <w:rPr>
                <w:sz w:val="18"/>
              </w:rPr>
              <w:t xml:space="preserve">mIoU_fg均值±标准差</w:t>
            </w:r>
          </w:p>
        </w:tc>
        <w:tc>
          <w:tcPr/>
          <w:p>
            <w:pPr>
              <w:pStyle w:val="Compact"/>
              <w:spacing w:after="60"/>
              <w:jc w:val="right"/>
            </w:pPr>
            <w:r>
              <w:rPr>
                <w:sz w:val="18"/>
              </w:rPr>
              <w:t xml:space="preserve">活跃参数</w:t>
            </w:r>
          </w:p>
        </w:tc>
      </w:tr>
      <w:tr>
        <w:tc>
          <w:tcPr/>
          <w:p>
            <w:pPr>
              <w:pStyle w:val="Compact"/>
              <w:spacing w:after="60"/>
              <w:jc w:val="left"/>
            </w:pPr>
            <w:r>
              <w:rPr>
                <w:sz w:val="18"/>
              </w:rPr>
              <w:t xml:space="preserve">冻结像素输出</w:t>
            </w:r>
          </w:p>
        </w:tc>
        <w:tc>
          <w:tcPr/>
          <w:p>
            <w:pPr>
              <w:pStyle w:val="Compact"/>
              <w:spacing w:after="60"/>
              <w:jc w:val="left"/>
            </w:pPr>
            <w:r>
              <w:rPr>
                <w:sz w:val="18"/>
              </w:rPr>
              <w:t xml:space="preserve">无</w:t>
            </w:r>
          </w:p>
        </w:tc>
        <w:tc>
          <w:tcPr/>
          <w:p>
            <w:pPr>
              <w:pStyle w:val="Compact"/>
              <w:spacing w:after="60"/>
              <w:jc w:val="left"/>
            </w:pPr>
            <w:r>
              <w:rPr>
                <w:sz w:val="18"/>
              </w:rPr>
              <w:t xml:space="preserve">无新增读出</w:t>
            </w:r>
          </w:p>
        </w:tc>
        <w:tc>
          <w:tcPr/>
          <w:p>
            <w:pPr>
              <w:pStyle w:val="Compact"/>
              <w:spacing w:after="60"/>
              <w:jc w:val="left"/>
            </w:pPr>
            <w:r>
              <w:rPr>
                <w:sz w:val="18"/>
              </w:rPr>
              <w:t xml:space="preserve">无</w:t>
            </w:r>
          </w:p>
        </w:tc>
        <w:tc>
          <w:tcPr/>
          <w:p>
            <w:pPr>
              <w:pStyle w:val="Compact"/>
              <w:spacing w:after="60"/>
              <w:jc w:val="right"/>
            </w:pPr>
            <w:r>
              <w:rPr>
                <w:sz w:val="18"/>
              </w:rPr>
              <w:t xml:space="preserve">待测</w:t>
            </w:r>
          </w:p>
        </w:tc>
        <w:tc>
          <w:tcPr/>
          <w:p>
            <w:pPr>
              <w:pStyle w:val="Compact"/>
              <w:spacing w:after="60"/>
              <w:jc w:val="right"/>
            </w:pPr>
            <w:r>
              <w:rPr>
                <w:sz w:val="18"/>
              </w:rPr>
              <w:t xml:space="preserve">0</w:t>
            </w:r>
          </w:p>
        </w:tc>
      </w:tr>
      <w:tr>
        <w:tc>
          <w:tcPr/>
          <w:p>
            <w:pPr>
              <w:pStyle w:val="Compact"/>
              <w:spacing w:after="60"/>
              <w:jc w:val="left"/>
            </w:pPr>
            <w:r>
              <w:rPr>
                <w:sz w:val="18"/>
              </w:rPr>
              <w:t xml:space="preserve">grid_probq</w:t>
            </w:r>
          </w:p>
        </w:tc>
        <w:tc>
          <w:tcPr/>
          <w:p>
            <w:pPr>
              <w:pStyle w:val="Compact"/>
              <w:spacing w:after="60"/>
              <w:jc w:val="left"/>
            </w:pPr>
            <w:r>
              <w:rPr>
                <w:sz w:val="18"/>
              </w:rPr>
              <w:t xml:space="preserve">无</w:t>
            </w:r>
          </w:p>
        </w:tc>
        <w:tc>
          <w:tcPr/>
          <w:p>
            <w:pPr>
              <w:pStyle w:val="Compact"/>
              <w:spacing w:after="60"/>
              <w:jc w:val="left"/>
            </w:pPr>
            <w:r>
              <w:rPr>
                <w:sz w:val="18"/>
              </w:rPr>
              <w:t xml:space="preserve">Q概率共享</w:t>
            </w:r>
          </w:p>
        </w:tc>
        <w:tc>
          <w:tcPr/>
          <w:p>
            <w:pPr>
              <w:pStyle w:val="Compact"/>
              <w:spacing w:after="60"/>
              <w:jc w:val="left"/>
            </w:pPr>
            <w:r>
              <w:rPr>
                <w:sz w:val="18"/>
              </w:rPr>
              <w:t xml:space="preserve">无</w:t>
            </w:r>
          </w:p>
        </w:tc>
        <w:tc>
          <w:tcPr/>
          <w:p>
            <w:pPr>
              <w:pStyle w:val="Compact"/>
              <w:spacing w:after="60"/>
              <w:jc w:val="right"/>
            </w:pPr>
            <w:r>
              <w:rPr>
                <w:sz w:val="18"/>
              </w:rPr>
              <w:t xml:space="preserve">待测</w:t>
            </w:r>
          </w:p>
        </w:tc>
        <w:tc>
          <w:tcPr/>
          <w:p>
            <w:pPr>
              <w:pStyle w:val="Compact"/>
              <w:spacing w:after="60"/>
              <w:jc w:val="right"/>
            </w:pPr>
            <w:r>
              <w:rPr>
                <w:sz w:val="18"/>
              </w:rPr>
              <w:t xml:space="preserve">0</w:t>
            </w:r>
          </w:p>
        </w:tc>
      </w:tr>
      <w:tr>
        <w:tc>
          <w:tcPr/>
          <w:p>
            <w:pPr>
              <w:pStyle w:val="Compact"/>
              <w:spacing w:after="60"/>
              <w:jc w:val="left"/>
            </w:pPr>
            <w:r>
              <w:rPr>
                <w:sz w:val="18"/>
              </w:rPr>
              <w:t xml:space="preserve">像素残差头</w:t>
            </w:r>
          </w:p>
        </w:tc>
        <w:tc>
          <w:tcPr/>
          <w:p>
            <w:pPr>
              <w:pStyle w:val="Compact"/>
              <w:spacing w:after="60"/>
              <w:jc w:val="left"/>
            </w:pPr>
            <w:r>
              <w:rPr>
                <w:sz w:val="18"/>
              </w:rPr>
              <w:t xml:space="preserve">有</w:t>
            </w:r>
          </w:p>
        </w:tc>
        <w:tc>
          <w:tcPr/>
          <w:p>
            <w:pPr>
              <w:pStyle w:val="Compact"/>
              <w:spacing w:after="60"/>
              <w:jc w:val="left"/>
            </w:pPr>
            <w:r>
              <w:rPr>
                <w:sz w:val="18"/>
              </w:rPr>
              <w:t xml:space="preserve">无区域槽</w:t>
            </w:r>
          </w:p>
        </w:tc>
        <w:tc>
          <w:tcPr/>
          <w:p>
            <w:pPr>
              <w:pStyle w:val="Compact"/>
              <w:spacing w:after="60"/>
              <w:jc w:val="left"/>
            </w:pPr>
            <w:r>
              <w:rPr>
                <w:sz w:val="18"/>
              </w:rPr>
              <w:t xml:space="preserve">无</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匹配单槽联合头</w:t>
            </w:r>
          </w:p>
        </w:tc>
        <w:tc>
          <w:tcPr/>
          <w:p>
            <w:pPr>
              <w:pStyle w:val="Compact"/>
              <w:spacing w:after="60"/>
              <w:jc w:val="left"/>
            </w:pPr>
            <w:r>
              <w:rPr>
                <w:sz w:val="18"/>
              </w:rPr>
              <w:t xml:space="preserve">有</w:t>
            </w:r>
          </w:p>
        </w:tc>
        <w:tc>
          <w:tcPr/>
          <w:p>
            <w:pPr>
              <w:pStyle w:val="Compact"/>
              <w:spacing w:after="60"/>
              <w:jc w:val="left"/>
            </w:pPr>
            <w:r>
              <w:rPr>
                <w:sz w:val="18"/>
              </w:rPr>
              <w:t xml:space="preserve">父区域/单槽</w:t>
            </w:r>
          </w:p>
        </w:tc>
        <w:tc>
          <w:tcPr/>
          <w:p>
            <w:pPr>
              <w:pStyle w:val="Compact"/>
              <w:spacing w:after="60"/>
              <w:jc w:val="left"/>
            </w:pPr>
            <w:r>
              <w:rPr>
                <w:sz w:val="18"/>
              </w:rPr>
              <w:t xml:space="preserve">图内</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匹配单槽+Memory</w:t>
            </w:r>
          </w:p>
        </w:tc>
        <w:tc>
          <w:tcPr/>
          <w:p>
            <w:pPr>
              <w:pStyle w:val="Compact"/>
              <w:spacing w:after="60"/>
              <w:jc w:val="left"/>
            </w:pPr>
            <w:r>
              <w:rPr>
                <w:sz w:val="18"/>
              </w:rPr>
              <w:t xml:space="preserve">有</w:t>
            </w:r>
          </w:p>
        </w:tc>
        <w:tc>
          <w:tcPr/>
          <w:p>
            <w:pPr>
              <w:pStyle w:val="Compact"/>
              <w:spacing w:after="60"/>
              <w:jc w:val="left"/>
            </w:pPr>
            <w:r>
              <w:rPr>
                <w:sz w:val="18"/>
              </w:rPr>
              <w:t xml:space="preserve">父区域/单槽</w:t>
            </w:r>
          </w:p>
        </w:tc>
        <w:tc>
          <w:tcPr/>
          <w:p>
            <w:pPr>
              <w:pStyle w:val="Compact"/>
              <w:spacing w:after="60"/>
              <w:jc w:val="left"/>
            </w:pPr>
            <w:r>
              <w:rPr>
                <w:sz w:val="18"/>
              </w:rPr>
              <w:t xml:space="preserve">Train</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soft双槽+Memory</w:t>
            </w:r>
          </w:p>
        </w:tc>
        <w:tc>
          <w:tcPr/>
          <w:p>
            <w:pPr>
              <w:pStyle w:val="Compact"/>
              <w:spacing w:after="60"/>
              <w:jc w:val="left"/>
            </w:pPr>
            <w:r>
              <w:rPr>
                <w:sz w:val="18"/>
              </w:rPr>
              <w:t xml:space="preserve">有</w:t>
            </w:r>
          </w:p>
        </w:tc>
        <w:tc>
          <w:tcPr/>
          <w:p>
            <w:pPr>
              <w:pStyle w:val="Compact"/>
              <w:spacing w:after="60"/>
              <w:jc w:val="left"/>
            </w:pPr>
            <w:r>
              <w:rPr>
                <w:sz w:val="18"/>
              </w:rPr>
              <w:t xml:space="preserve">父区域/双槽</w:t>
            </w:r>
          </w:p>
        </w:tc>
        <w:tc>
          <w:tcPr/>
          <w:p>
            <w:pPr>
              <w:pStyle w:val="Compact"/>
              <w:spacing w:after="60"/>
              <w:jc w:val="left"/>
            </w:pPr>
            <w:r>
              <w:rPr>
                <w:sz w:val="18"/>
              </w:rPr>
              <w:t xml:space="preserve">Train</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bl>
    <w:p>
      <w:pPr>
        <w:pStyle w:val="BodyText"/>
      </w:pPr>
      <w:r>
        <w:t xml:space="preserve">结果段填数格式：在统一【划分与推理设置】下，D相对于同源grid_probq的前景mIoU变化为【Δ】个百分点，受损和毁坏IoU分别变化【ΔD】与【ΔX】。结合像素残差头与单槽对照，分析收益是否超出增加可训练参数或普通区域上下文带来的变化。若D仍低于冻结基线，应写为“组件具有相对增量，但完整系统尚未改善”，不能只报告较弱对照。</w:t>
      </w:r>
    </w:p>
    <w:bookmarkEnd w:id="34"/>
    <w:bookmarkStart w:id="35" w:name="c.-双槽与memory的二因素消融"/>
    <w:p>
      <w:pPr>
        <w:pStyle w:val="Heading3"/>
      </w:pPr>
      <w:r>
        <w:t xml:space="preserve">C. 双槽与Memory的二因素消融</w:t>
      </w:r>
    </w:p>
    <w:p>
      <w:pPr>
        <w:pStyle w:val="FirstParagraph"/>
      </w:pPr>
      <w:r>
        <w:rPr>
          <w:b/>
          <w:bCs/>
        </w:rPr>
        <w:t xml:space="preserve">表3　同容量双槽下的路由与支持来源对照。</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blHeader/>
        </w:trPr>
        <w:tc>
          <w:tcPr/>
          <w:p>
            <w:pPr>
              <w:pStyle w:val="Compact"/>
              <w:spacing w:after="60"/>
              <w:jc w:val="left"/>
            </w:pPr>
            <w:r>
              <w:rPr>
                <w:sz w:val="18"/>
              </w:rPr>
              <w:t xml:space="preserve">组别</w:t>
            </w:r>
          </w:p>
        </w:tc>
        <w:tc>
          <w:tcPr/>
          <w:p>
            <w:pPr>
              <w:pStyle w:val="Compact"/>
              <w:spacing w:after="60"/>
              <w:jc w:val="left"/>
            </w:pPr>
            <w:r>
              <w:rPr>
                <w:sz w:val="18"/>
              </w:rPr>
              <w:t xml:space="preserve">路由</w:t>
            </w:r>
          </w:p>
        </w:tc>
        <w:tc>
          <w:tcPr/>
          <w:p>
            <w:pPr>
              <w:pStyle w:val="Compact"/>
              <w:spacing w:after="60"/>
              <w:jc w:val="left"/>
            </w:pPr>
            <w:r>
              <w:rPr>
                <w:sz w:val="18"/>
              </w:rPr>
              <w:t xml:space="preserve">支持来源</w:t>
            </w:r>
          </w:p>
        </w:tc>
        <w:tc>
          <w:tcPr/>
          <w:p>
            <w:pPr>
              <w:pStyle w:val="Compact"/>
              <w:spacing w:after="60"/>
              <w:jc w:val="right"/>
            </w:pPr>
            <w:r>
              <w:rPr>
                <w:sz w:val="18"/>
              </w:rPr>
              <w:t xml:space="preserve">预定终点mIoU_fg</w:t>
            </w:r>
          </w:p>
        </w:tc>
        <w:tc>
          <w:tcPr/>
          <w:p>
            <w:pPr>
              <w:pStyle w:val="Compact"/>
              <w:spacing w:after="60"/>
              <w:jc w:val="right"/>
            </w:pPr>
            <w:r>
              <w:rPr>
                <w:sz w:val="18"/>
              </w:rPr>
              <w:t xml:space="preserve">受损IoU</w:t>
            </w:r>
          </w:p>
        </w:tc>
        <w:tc>
          <w:tcPr/>
          <w:p>
            <w:pPr>
              <w:pStyle w:val="Compact"/>
              <w:spacing w:after="60"/>
              <w:jc w:val="right"/>
            </w:pPr>
            <w:r>
              <w:rPr>
                <w:sz w:val="18"/>
              </w:rPr>
              <w:t xml:space="preserve">事件宏平均</w:t>
            </w:r>
          </w:p>
        </w:tc>
      </w:tr>
      <w:tr>
        <w:tc>
          <w:tcPr/>
          <w:p>
            <w:pPr>
              <w:pStyle w:val="Compact"/>
              <w:spacing w:after="60"/>
              <w:jc w:val="left"/>
            </w:pPr>
            <w:r>
              <w:rPr>
                <w:sz w:val="18"/>
              </w:rPr>
              <w:t xml:space="preserve">A</w:t>
            </w:r>
          </w:p>
        </w:tc>
        <w:tc>
          <w:tcPr/>
          <w:p>
            <w:pPr>
              <w:pStyle w:val="Compact"/>
              <w:spacing w:after="60"/>
              <w:jc w:val="left"/>
            </w:pPr>
            <w:r>
              <w:rPr>
                <w:sz w:val="18"/>
              </w:rPr>
              <w:t xml:space="preserve">固定空间双槽</w:t>
            </w:r>
          </w:p>
        </w:tc>
        <w:tc>
          <w:tcPr/>
          <w:p>
            <w:pPr>
              <w:pStyle w:val="Compact"/>
              <w:spacing w:after="60"/>
              <w:jc w:val="left"/>
            </w:pPr>
            <w:r>
              <w:rPr>
                <w:sz w:val="18"/>
              </w:rPr>
              <w:t xml:space="preserve">图内空间近邻</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B</w:t>
            </w:r>
          </w:p>
        </w:tc>
        <w:tc>
          <w:tcPr/>
          <w:p>
            <w:pPr>
              <w:pStyle w:val="Compact"/>
              <w:spacing w:after="60"/>
              <w:jc w:val="left"/>
            </w:pPr>
            <w:r>
              <w:rPr>
                <w:sz w:val="18"/>
              </w:rPr>
              <w:t xml:space="preserve">建筑概率soft双槽</w:t>
            </w:r>
          </w:p>
        </w:tc>
        <w:tc>
          <w:tcPr/>
          <w:p>
            <w:pPr>
              <w:pStyle w:val="Compact"/>
              <w:spacing w:after="60"/>
              <w:jc w:val="left"/>
            </w:pPr>
            <w:r>
              <w:rPr>
                <w:sz w:val="18"/>
              </w:rPr>
              <w:t xml:space="preserve">图内空间近邻</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C</w:t>
            </w:r>
          </w:p>
        </w:tc>
        <w:tc>
          <w:tcPr/>
          <w:p>
            <w:pPr>
              <w:pStyle w:val="Compact"/>
              <w:spacing w:after="60"/>
              <w:jc w:val="left"/>
            </w:pPr>
            <w:r>
              <w:rPr>
                <w:sz w:val="18"/>
              </w:rPr>
              <w:t xml:space="preserve">固定空间双槽</w:t>
            </w:r>
          </w:p>
        </w:tc>
        <w:tc>
          <w:tcPr/>
          <w:p>
            <w:pPr>
              <w:pStyle w:val="Compact"/>
              <w:spacing w:after="60"/>
              <w:jc w:val="left"/>
            </w:pPr>
            <w:r>
              <w:rPr>
                <w:sz w:val="18"/>
              </w:rPr>
              <w:t xml:space="preserve">合法Train父案例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D</w:t>
            </w:r>
          </w:p>
        </w:tc>
        <w:tc>
          <w:tcPr/>
          <w:p>
            <w:pPr>
              <w:pStyle w:val="Compact"/>
              <w:spacing w:after="60"/>
              <w:jc w:val="left"/>
            </w:pPr>
            <w:r>
              <w:rPr>
                <w:sz w:val="18"/>
              </w:rPr>
              <w:t xml:space="preserve">建筑概率soft双槽</w:t>
            </w:r>
          </w:p>
        </w:tc>
        <w:tc>
          <w:tcPr/>
          <w:p>
            <w:pPr>
              <w:pStyle w:val="Compact"/>
              <w:spacing w:after="60"/>
              <w:jc w:val="left"/>
            </w:pPr>
            <w:r>
              <w:rPr>
                <w:sz w:val="18"/>
              </w:rPr>
              <w:t xml:space="preserve">合法Train父案例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bl>
    <w:p>
      <w:pPr>
        <w:pStyle w:val="BodyText"/>
      </w:pPr>
      <w:r>
        <w:t xml:space="preserve">图内参考使用当前前向预测分布，历史支持使用Train软标签；两者的区别同时包含来源与监督质量。A/B具有相同图内父邻居，C/D具有相同历史父ID。B−A与D−C衡量两种支持条件下的建筑路由增量，C−A与D−B衡量历史支持方案的总体增量。交互项为</w:t>
      </w:r>
    </w:p>
    <w:p>
      <w:pPr>
        <w:pStyle w:val="BodyText"/>
      </w:pPr>
      <m:oMathPara>
        <m:oMathParaPr>
          <m:jc m:val="center"/>
        </m:oMathParaPr>
        <m:oMath>
          <m:sSub>
            <m:e>
              <m:r>
                <m:t>Δ</m:t>
              </m:r>
            </m:e>
            <m:sub>
              <m:r>
                <m:rPr>
                  <m:sty m:val="p"/>
                </m:rPr>
                <m:t>i</m:t>
              </m:r>
              <m:r>
                <m:rPr>
                  <m:sty m:val="p"/>
                </m:rPr>
                <m:t>n</m:t>
              </m:r>
              <m:r>
                <m:rPr>
                  <m:sty m:val="p"/>
                </m:rPr>
                <m:t>t</m:t>
              </m:r>
            </m:sub>
          </m:sSub>
          <m:r>
            <m:rPr>
              <m:sty m:val="p"/>
            </m:rPr>
            <m:t>=</m:t>
          </m:r>
          <m:d>
            <m:dPr>
              <m:begChr m:val="("/>
              <m:endChr m:val=")"/>
              <m:sepChr m:val=""/>
              <m:grow/>
            </m:dPr>
            <m:e>
              <m:r>
                <m:t>D</m:t>
              </m:r>
              <m:r>
                <m:rPr>
                  <m:sty m:val="p"/>
                </m:rPr>
                <m:t>−</m:t>
              </m:r>
              <m:r>
                <m:t>C</m:t>
              </m:r>
            </m:e>
          </m:d>
          <m:r>
            <m:rPr>
              <m:sty m:val="p"/>
            </m:rPr>
            <m:t>−</m:t>
          </m:r>
          <m:d>
            <m:dPr>
              <m:begChr m:val="("/>
              <m:endChr m:val=")"/>
              <m:sepChr m:val=""/>
              <m:grow/>
            </m:dPr>
            <m:e>
              <m:r>
                <m:t>B</m:t>
              </m:r>
              <m:r>
                <m:rPr>
                  <m:sty m:val="p"/>
                </m:rPr>
                <m:t>−</m:t>
              </m:r>
              <m:r>
                <m:t>A</m:t>
              </m:r>
            </m:e>
          </m:d>
          <m:r>
            <m:rPr>
              <m:sty m:val="p"/>
            </m:rPr>
            <m:t>.</m:t>
          </m:r>
          <m:r>
            <m:t>  </m:t>
          </m:r>
          <m:r>
            <m:rPr>
              <m:nor/>
              <m:sty m:val="p"/>
            </m:rPr>
            <m:t>(13)</m:t>
          </m:r>
        </m:oMath>
      </m:oMathPara>
    </w:p>
    <w:p>
      <w:pPr>
        <w:pStyle w:val="FirstParagraph"/>
      </w:pPr>
      <w:r>
        <w:t xml:space="preserve">只有交互项和其不确定性支持正向作用时，才讨论超出简单叠加的协同；D排名第一本身不证明协同。由于四组均含双槽，表3不能替代表2(b)的单槽容量对照。训练种子配对比较，不能将450张图像当作450次独立训练重复。</w:t>
      </w:r>
    </w:p>
    <w:bookmarkEnd w:id="35"/>
    <w:bookmarkStart w:id="36" w:name="d.-历史案例是否提供额外信息"/>
    <w:p>
      <w:pPr>
        <w:pStyle w:val="Heading3"/>
      </w:pPr>
      <w:r>
        <w:t xml:space="preserve">D. 历史案例是否提供额外信息</w:t>
      </w:r>
    </w:p>
    <w:p>
      <w:pPr>
        <w:pStyle w:val="FirstParagraph"/>
      </w:pPr>
      <w:r>
        <w:rPr>
          <w:b/>
          <w:bCs/>
        </w:rPr>
        <w:t xml:space="preserve">表4　检索与软标签的信息来源消融。</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60"/>
              <w:jc w:val="left"/>
            </w:pPr>
            <w:r>
              <w:rPr>
                <w:sz w:val="18"/>
              </w:rPr>
              <w:t xml:space="preserve">配置</w:t>
            </w:r>
          </w:p>
        </w:tc>
        <w:tc>
          <w:tcPr/>
          <w:p>
            <w:pPr>
              <w:pStyle w:val="Compact"/>
              <w:spacing w:after="60"/>
              <w:jc w:val="left"/>
            </w:pPr>
            <w:r>
              <w:rPr>
                <w:sz w:val="18"/>
              </w:rPr>
              <w:t xml:space="preserve">父案例选择</w:t>
            </w:r>
          </w:p>
        </w:tc>
        <w:tc>
          <w:tcPr/>
          <w:p>
            <w:pPr>
              <w:pStyle w:val="Compact"/>
              <w:spacing w:after="60"/>
              <w:jc w:val="left"/>
            </w:pPr>
            <w:r>
              <w:rPr>
                <w:sz w:val="18"/>
              </w:rPr>
              <w:t xml:space="preserve">支持值标签</w:t>
            </w:r>
          </w:p>
        </w:tc>
        <w:tc>
          <w:tcPr/>
          <w:p>
            <w:pPr>
              <w:pStyle w:val="Compact"/>
              <w:spacing w:after="60"/>
              <w:jc w:val="left"/>
            </w:pPr>
            <w:r>
              <w:rPr>
                <w:sz w:val="18"/>
              </w:rPr>
              <w:t xml:space="preserve">是否匹配重训</w:t>
            </w:r>
          </w:p>
        </w:tc>
        <w:tc>
          <w:tcPr/>
          <w:p>
            <w:pPr>
              <w:pStyle w:val="Compact"/>
              <w:spacing w:after="60"/>
              <w:jc w:val="left"/>
            </w:pPr>
            <w:r>
              <w:rPr>
                <w:sz w:val="18"/>
              </w:rPr>
              <w:t xml:space="preserve">目的</w:t>
            </w:r>
          </w:p>
        </w:tc>
      </w:tr>
      <w:tr>
        <w:tc>
          <w:tcPr/>
          <w:p>
            <w:pPr>
              <w:pStyle w:val="Compact"/>
              <w:spacing w:after="60"/>
              <w:jc w:val="left"/>
            </w:pPr>
            <w:r>
              <w:rPr>
                <w:sz w:val="18"/>
              </w:rPr>
              <w:t xml:space="preserve">图内参考</w:t>
            </w:r>
          </w:p>
        </w:tc>
        <w:tc>
          <w:tcPr/>
          <w:p>
            <w:pPr>
              <w:pStyle w:val="Compact"/>
              <w:spacing w:after="60"/>
              <w:jc w:val="left"/>
            </w:pPr>
            <w:r>
              <w:rPr>
                <w:sz w:val="18"/>
              </w:rPr>
              <w:t xml:space="preserve">空间邻居</w:t>
            </w:r>
          </w:p>
        </w:tc>
        <w:tc>
          <w:tcPr/>
          <w:p>
            <w:pPr>
              <w:pStyle w:val="Compact"/>
              <w:spacing w:after="60"/>
              <w:jc w:val="left"/>
            </w:pPr>
            <w:r>
              <w:rPr>
                <w:sz w:val="18"/>
              </w:rPr>
              <w:t xml:space="preserve">模型预测</w:t>
            </w:r>
          </w:p>
        </w:tc>
        <w:tc>
          <w:tcPr/>
          <w:p>
            <w:pPr>
              <w:pStyle w:val="Compact"/>
              <w:spacing w:after="60"/>
              <w:jc w:val="left"/>
            </w:pPr>
            <w:r>
              <w:rPr>
                <w:sz w:val="18"/>
              </w:rPr>
              <w:t xml:space="preserve">是</w:t>
            </w:r>
          </w:p>
        </w:tc>
        <w:tc>
          <w:tcPr/>
          <w:p>
            <w:pPr>
              <w:pStyle w:val="Compact"/>
              <w:spacing w:after="60"/>
              <w:jc w:val="left"/>
            </w:pPr>
            <w:r>
              <w:rPr>
                <w:sz w:val="18"/>
              </w:rPr>
              <w:t xml:space="preserve">当前图像上下文起点</w:t>
            </w:r>
          </w:p>
        </w:tc>
      </w:tr>
      <w:tr>
        <w:tc>
          <w:tcPr/>
          <w:p>
            <w:pPr>
              <w:pStyle w:val="Compact"/>
              <w:spacing w:after="60"/>
              <w:jc w:val="left"/>
            </w:pPr>
            <w:r>
              <w:rPr>
                <w:sz w:val="18"/>
              </w:rPr>
              <w:t xml:space="preserve">历史预测参考</w:t>
            </w:r>
          </w:p>
        </w:tc>
        <w:tc>
          <w:tcPr/>
          <w:p>
            <w:pPr>
              <w:pStyle w:val="Compact"/>
              <w:spacing w:after="60"/>
              <w:jc w:val="left"/>
            </w:pPr>
            <w:r>
              <w:rPr>
                <w:sz w:val="18"/>
              </w:rPr>
              <w:t xml:space="preserve">固定父检索</w:t>
            </w:r>
          </w:p>
        </w:tc>
        <w:tc>
          <w:tcPr/>
          <w:p>
            <w:pPr>
              <w:pStyle w:val="Compact"/>
              <w:spacing w:after="60"/>
              <w:jc w:val="left"/>
            </w:pPr>
            <w:r>
              <w:rPr>
                <w:sz w:val="18"/>
              </w:rPr>
              <w:t xml:space="preserve">支持图像模型预测</w:t>
            </w:r>
          </w:p>
        </w:tc>
        <w:tc>
          <w:tcPr/>
          <w:p>
            <w:pPr>
              <w:pStyle w:val="Compact"/>
              <w:spacing w:after="60"/>
              <w:jc w:val="left"/>
            </w:pPr>
            <w:r>
              <w:rPr>
                <w:sz w:val="18"/>
              </w:rPr>
              <w:t xml:space="preserve">是</w:t>
            </w:r>
          </w:p>
        </w:tc>
        <w:tc>
          <w:tcPr/>
          <w:p>
            <w:pPr>
              <w:pStyle w:val="Compact"/>
              <w:spacing w:after="60"/>
              <w:jc w:val="left"/>
            </w:pPr>
            <w:r>
              <w:rPr>
                <w:sz w:val="18"/>
              </w:rPr>
              <w:t xml:space="preserve">历史内容与标签质量分离</w:t>
            </w:r>
          </w:p>
        </w:tc>
      </w:tr>
      <w:tr>
        <w:tc>
          <w:tcPr/>
          <w:p>
            <w:pPr>
              <w:pStyle w:val="Compact"/>
              <w:spacing w:after="60"/>
              <w:jc w:val="left"/>
            </w:pPr>
            <w:r>
              <w:rPr>
                <w:sz w:val="18"/>
              </w:rPr>
              <w:t xml:space="preserve">历史监督参考</w:t>
            </w:r>
          </w:p>
        </w:tc>
        <w:tc>
          <w:tcPr/>
          <w:p>
            <w:pPr>
              <w:pStyle w:val="Compact"/>
              <w:spacing w:after="60"/>
              <w:jc w:val="left"/>
            </w:pPr>
            <w:r>
              <w:rPr>
                <w:sz w:val="18"/>
              </w:rPr>
              <w:t xml:space="preserve">固定父检索</w:t>
            </w:r>
          </w:p>
        </w:tc>
        <w:tc>
          <w:tcPr/>
          <w:p>
            <w:pPr>
              <w:pStyle w:val="Compact"/>
              <w:spacing w:after="60"/>
              <w:jc w:val="left"/>
            </w:pPr>
            <w:r>
              <w:rPr>
                <w:sz w:val="18"/>
              </w:rPr>
              <w:t xml:space="preserve">Train槽软标签</w:t>
            </w:r>
          </w:p>
        </w:tc>
        <w:tc>
          <w:tcPr/>
          <w:p>
            <w:pPr>
              <w:pStyle w:val="Compact"/>
              <w:spacing w:after="60"/>
              <w:jc w:val="left"/>
            </w:pPr>
            <w:r>
              <w:rPr>
                <w:sz w:val="18"/>
              </w:rPr>
              <w:t xml:space="preserve">是</w:t>
            </w:r>
          </w:p>
        </w:tc>
        <w:tc>
          <w:tcPr/>
          <w:p>
            <w:pPr>
              <w:pStyle w:val="Compact"/>
              <w:spacing w:after="60"/>
              <w:jc w:val="left"/>
            </w:pPr>
            <w:r>
              <w:rPr>
                <w:sz w:val="18"/>
              </w:rPr>
              <w:t xml:space="preserve">完整Memory</w:t>
            </w:r>
          </w:p>
        </w:tc>
      </w:tr>
      <w:tr>
        <w:tc>
          <w:tcPr/>
          <w:p>
            <w:pPr>
              <w:pStyle w:val="Compact"/>
              <w:spacing w:after="60"/>
              <w:jc w:val="left"/>
            </w:pPr>
            <w:r>
              <w:rPr>
                <w:sz w:val="18"/>
              </w:rPr>
              <w:t xml:space="preserve">历史无标签</w:t>
            </w:r>
          </w:p>
        </w:tc>
        <w:tc>
          <w:tcPr/>
          <w:p>
            <w:pPr>
              <w:pStyle w:val="Compact"/>
              <w:spacing w:after="60"/>
              <w:jc w:val="left"/>
            </w:pPr>
            <w:r>
              <w:rPr>
                <w:sz w:val="18"/>
              </w:rPr>
              <w:t xml:space="preserve">同一检索父ID</w:t>
            </w:r>
          </w:p>
        </w:tc>
        <w:tc>
          <w:tcPr/>
          <w:p>
            <w:pPr>
              <w:pStyle w:val="Compact"/>
              <w:spacing w:after="60"/>
              <w:jc w:val="left"/>
            </w:pPr>
            <w:r>
              <w:rPr>
                <w:sz w:val="18"/>
              </w:rPr>
              <w:t xml:space="preserve">固定零值，保持维度</w:t>
            </w:r>
          </w:p>
        </w:tc>
        <w:tc>
          <w:tcPr/>
          <w:p>
            <w:pPr>
              <w:pStyle w:val="Compact"/>
              <w:spacing w:after="60"/>
              <w:jc w:val="left"/>
            </w:pPr>
            <w:r>
              <w:rPr>
                <w:sz w:val="18"/>
              </w:rPr>
              <w:t xml:space="preserve">是</w:t>
            </w:r>
          </w:p>
        </w:tc>
        <w:tc>
          <w:tcPr/>
          <w:p>
            <w:pPr>
              <w:pStyle w:val="Compact"/>
              <w:spacing w:after="60"/>
              <w:jc w:val="left"/>
            </w:pPr>
            <w:r>
              <w:rPr>
                <w:sz w:val="18"/>
              </w:rPr>
              <w:t xml:space="preserve">标签是否提供增量</w:t>
            </w:r>
          </w:p>
        </w:tc>
      </w:tr>
      <w:tr>
        <w:tc>
          <w:tcPr/>
          <w:p>
            <w:pPr>
              <w:pStyle w:val="Compact"/>
              <w:spacing w:after="60"/>
              <w:jc w:val="left"/>
            </w:pPr>
            <w:r>
              <w:rPr>
                <w:sz w:val="18"/>
              </w:rPr>
              <w:t xml:space="preserve">合法随机支持</w:t>
            </w:r>
          </w:p>
        </w:tc>
        <w:tc>
          <w:tcPr/>
          <w:p>
            <w:pPr>
              <w:pStyle w:val="Compact"/>
              <w:spacing w:after="60"/>
              <w:jc w:val="left"/>
            </w:pPr>
            <w:r>
              <w:rPr>
                <w:sz w:val="18"/>
              </w:rPr>
              <w:t xml:space="preserve">同样64父预算及来源约束</w:t>
            </w:r>
          </w:p>
        </w:tc>
        <w:tc>
          <w:tcPr/>
          <w:p>
            <w:pPr>
              <w:pStyle w:val="Compact"/>
              <w:spacing w:after="60"/>
              <w:jc w:val="left"/>
            </w:pPr>
            <w:r>
              <w:rPr>
                <w:sz w:val="18"/>
              </w:rPr>
              <w:t xml:space="preserve">Train槽软标签</w:t>
            </w:r>
          </w:p>
        </w:tc>
        <w:tc>
          <w:tcPr/>
          <w:p>
            <w:pPr>
              <w:pStyle w:val="Compact"/>
              <w:spacing w:after="60"/>
              <w:jc w:val="left"/>
            </w:pPr>
            <w:r>
              <w:rPr>
                <w:sz w:val="18"/>
              </w:rPr>
              <w:t xml:space="preserve">是</w:t>
            </w:r>
          </w:p>
        </w:tc>
        <w:tc>
          <w:tcPr/>
          <w:p>
            <w:pPr>
              <w:pStyle w:val="Compact"/>
              <w:spacing w:after="60"/>
              <w:jc w:val="left"/>
            </w:pPr>
            <w:r>
              <w:rPr>
                <w:sz w:val="18"/>
              </w:rPr>
              <w:t xml:space="preserve">相似性选择是否优于普通支持</w:t>
            </w:r>
          </w:p>
        </w:tc>
      </w:tr>
      <w:tr>
        <w:tc>
          <w:tcPr/>
          <w:p>
            <w:pPr>
              <w:pStyle w:val="Compact"/>
              <w:spacing w:after="60"/>
              <w:jc w:val="left"/>
            </w:pPr>
            <w:r>
              <w:rPr>
                <w:sz w:val="18"/>
              </w:rPr>
              <w:t xml:space="preserve">固定头邻居/标签扰动</w:t>
            </w:r>
          </w:p>
        </w:tc>
        <w:tc>
          <w:tcPr/>
          <w:p>
            <w:pPr>
              <w:pStyle w:val="Compact"/>
              <w:spacing w:after="60"/>
              <w:jc w:val="left"/>
            </w:pPr>
            <w:r>
              <w:rPr>
                <w:sz w:val="18"/>
              </w:rPr>
              <w:t xml:space="preserve">替换ID或打乱标签</w:t>
            </w:r>
          </w:p>
        </w:tc>
        <w:tc>
          <w:tcPr/>
          <w:p>
            <w:pPr>
              <w:pStyle w:val="Compact"/>
              <w:spacing w:after="60"/>
              <w:jc w:val="left"/>
            </w:pPr>
            <w:r>
              <w:rPr>
                <w:sz w:val="18"/>
              </w:rPr>
              <w:t xml:space="preserve">扰动</w:t>
            </w:r>
          </w:p>
        </w:tc>
        <w:tc>
          <w:tcPr/>
          <w:p>
            <w:pPr>
              <w:pStyle w:val="Compact"/>
              <w:spacing w:after="60"/>
              <w:jc w:val="left"/>
            </w:pPr>
            <w:r>
              <w:rPr>
                <w:sz w:val="18"/>
              </w:rPr>
              <w:t xml:space="preserve">否，仅诊断</w:t>
            </w:r>
          </w:p>
        </w:tc>
        <w:tc>
          <w:tcPr/>
          <w:p>
            <w:pPr>
              <w:pStyle w:val="Compact"/>
              <w:spacing w:after="60"/>
              <w:jc w:val="left"/>
            </w:pPr>
            <w:r>
              <w:rPr>
                <w:sz w:val="18"/>
              </w:rPr>
              <w:t xml:space="preserve">已训练模型依赖哪些信息</w:t>
            </w:r>
          </w:p>
        </w:tc>
      </w:tr>
    </w:tbl>
    <w:p>
      <w:pPr>
        <w:pStyle w:val="BodyText"/>
      </w:pPr>
      <w:r>
        <w:t xml:space="preserve">所有正式对照保持Reader容量、槽内容和父案例预算一致。随机案例由可记录的随机种子生成，不能利用验证真值选择；推理时扰动产生的分布偏移只能说明依赖，不能直接代替重新训练后的机制效应。</w:t>
      </w:r>
    </w:p>
    <w:p>
      <w:pPr>
        <w:pStyle w:val="BodyText"/>
      </w:pPr>
      <w:r>
        <w:t xml:space="preserve">对真实受损查询（真值仅用于离线诊断），统计候选支持的受损软标签质量、支持主导类别分布、来自独立图像和事件的数量，以及重复父案例比例。单独分析外观接近但标签为完好的困难负例，区分“候选不足”和“Reader未利用已有正确候选”。若库内存在有用案例但Top64未找到，才有依据测试重排序；若候选足够而输出仍混淆，应优先检查读取和联合分类。</w:t>
      </w:r>
    </w:p>
    <w:bookmarkEnd w:id="36"/>
    <w:bookmarkStart w:id="37" w:name="e.-双槽内容与融合方式诊断"/>
    <w:p>
      <w:pPr>
        <w:pStyle w:val="Heading3"/>
      </w:pPr>
      <w:r>
        <w:t xml:space="preserve">E. 双槽内容与融合方式诊断</w:t>
      </w:r>
    </w:p>
    <w:p>
      <w:pPr>
        <w:pStyle w:val="FirstParagraph"/>
      </w:pPr>
      <w:r>
        <w:t xml:space="preserve">两槽是否提供互补证据需要以真实数据检验。对同一父区域，计算原始槽F特征的余弦相似度、槽软标签的Jensen–Shannon差异、两槽质量比例及有效样本量</w:t>
      </w:r>
    </w:p>
    <w:p>
      <w:pPr>
        <w:pStyle w:val="BodyText"/>
      </w:pPr>
      <m:oMathPara>
        <m:oMathParaPr>
          <m:jc m:val="center"/>
        </m:oMathParaPr>
        <m:oMath>
          <m:sSub>
            <m:e>
              <m:r>
                <m:rPr>
                  <m:sty m:val="p"/>
                </m:rPr>
                <m:t>ESS</m:t>
              </m:r>
            </m:e>
            <m:sub>
              <m:r>
                <m:t>r</m:t>
              </m:r>
              <m:r>
                <m:t>s</m:t>
              </m:r>
            </m:sub>
          </m:sSub>
          <m:r>
            <m:rPr>
              <m:sty m:val="p"/>
            </m:rPr>
            <m:t>=</m:t>
          </m:r>
          <m:f>
            <m:fPr>
              <m:type m:val="bar"/>
            </m:fPr>
            <m:num>
              <m:sSup>
                <m:e>
                  <m:d>
                    <m:dPr>
                      <m:begChr m:val="("/>
                      <m:endChr m:val=")"/>
                      <m:sepChr m:val=""/>
                      <m:grow/>
                    </m:dPr>
                    <m:e>
                      <m:nary>
                        <m:naryPr>
                          <m:chr m:val="∑"/>
                          <m:limLoc m:val="undOvr"/>
                          <m:subHide m:val="off"/>
                          <m:supHide m:val="on"/>
                        </m:naryPr>
                        <m:sub>
                          <m:r>
                            <m:t>i</m:t>
                          </m:r>
                        </m:sub>
                        <m:sup>
                          <m:r>
                            <m:t>​</m:t>
                          </m:r>
                        </m:sup>
                        <m:e>
                          <m:sSub>
                            <m:e>
                              <m:r>
                                <m:t>w</m:t>
                              </m:r>
                            </m:e>
                            <m:sub>
                              <m:r>
                                <m:t>i</m:t>
                              </m:r>
                              <m:r>
                                <m:t>r</m:t>
                              </m:r>
                              <m:r>
                                <m:t>s</m:t>
                              </m:r>
                            </m:sub>
                          </m:sSub>
                        </m:e>
                      </m:nary>
                    </m:e>
                  </m:d>
                </m:e>
                <m:sup>
                  <m:r>
                    <m:t>2</m:t>
                  </m:r>
                </m:sup>
              </m:sSup>
            </m:num>
            <m:den>
              <m:nary>
                <m:naryPr>
                  <m:chr m:val="∑"/>
                  <m:limLoc m:val="undOvr"/>
                  <m:subHide m:val="off"/>
                  <m:supHide m:val="on"/>
                </m:naryPr>
                <m:sub>
                  <m:r>
                    <m:t>i</m:t>
                  </m:r>
                </m:sub>
                <m:sup>
                  <m:r>
                    <m:t>​</m:t>
                  </m:r>
                </m:sup>
                <m:e>
                  <m:sSubSup>
                    <m:e>
                      <m:r>
                        <m:t>w</m:t>
                      </m:r>
                    </m:e>
                    <m:sub>
                      <m:r>
                        <m:t>i</m:t>
                      </m:r>
                      <m:r>
                        <m:t>r</m:t>
                      </m:r>
                      <m:r>
                        <m:t>s</m:t>
                      </m:r>
                    </m:sub>
                    <m:sup>
                      <m:r>
                        <m:t>2</m:t>
                      </m:r>
                    </m:sup>
                  </m:sSubSup>
                </m:e>
              </m:nary>
            </m:den>
          </m:f>
          <m:r>
            <m:rPr>
              <m:sty m:val="p"/>
            </m:rPr>
            <m:t>.</m:t>
          </m:r>
          <m:r>
            <m:t>  </m:t>
          </m:r>
          <m:r>
            <m:rPr>
              <m:nor/>
              <m:sty m:val="p"/>
            </m:rPr>
            <m:t>(14)</m:t>
          </m:r>
        </m:oMath>
      </m:oMathPara>
    </w:p>
    <w:p>
      <w:pPr>
        <w:pStyle w:val="FirstParagraph"/>
      </w:pPr>
      <w:r>
        <w:t xml:space="preserve">ESS描述权重集中程度，不等于独立样本数。分别在建筑—背景混合区域、固定GT边缘带、低预测B的真实建筑位置和区域内部统计；阈值与分层规则在分析前固定。标签仅用于诊断划分，不能输入查询前向。报告原始槽、编码槽与回投后的变化，避免把编码器形成的距离当作原始信息互补性。</w:t>
      </w:r>
    </w:p>
    <w:p>
      <w:pPr>
        <w:pStyle w:val="BodyText"/>
      </w:pPr>
      <w:r>
        <w:rPr>
          <w:b/>
          <w:bCs/>
        </w:rPr>
        <w:t xml:space="preserve">表5　双槽内容诊断及必要时的结构扩展。</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60"/>
              <w:jc w:val="left"/>
            </w:pPr>
            <w:r>
              <w:rPr>
                <w:sz w:val="18"/>
              </w:rPr>
              <w:t xml:space="preserve">分层/对照</w:t>
            </w:r>
          </w:p>
        </w:tc>
        <w:tc>
          <w:tcPr/>
          <w:p>
            <w:pPr>
              <w:pStyle w:val="Compact"/>
              <w:spacing w:after="60"/>
              <w:jc w:val="right"/>
            </w:pPr>
            <w:r>
              <w:rPr>
                <w:sz w:val="18"/>
              </w:rPr>
              <w:t xml:space="preserve">槽余弦相似度</w:t>
            </w:r>
          </w:p>
        </w:tc>
        <w:tc>
          <w:tcPr/>
          <w:p>
            <w:pPr>
              <w:pStyle w:val="Compact"/>
              <w:spacing w:after="60"/>
              <w:jc w:val="right"/>
            </w:pPr>
            <w:r>
              <w:rPr>
                <w:sz w:val="18"/>
              </w:rPr>
              <w:t xml:space="preserve">标签JS</w:t>
            </w:r>
          </w:p>
        </w:tc>
        <w:tc>
          <w:tcPr/>
          <w:p>
            <w:pPr>
              <w:pStyle w:val="Compact"/>
              <w:spacing w:after="60"/>
              <w:jc w:val="right"/>
            </w:pPr>
            <w:r>
              <w:rPr>
                <w:sz w:val="18"/>
              </w:rPr>
              <w:t xml:space="preserve">小槽质量/ESS</w:t>
            </w:r>
          </w:p>
        </w:tc>
        <w:tc>
          <w:tcPr/>
          <w:p>
            <w:pPr>
              <w:pStyle w:val="Compact"/>
              <w:spacing w:after="60"/>
              <w:jc w:val="right"/>
            </w:pPr>
            <w:r>
              <w:rPr>
                <w:sz w:val="18"/>
              </w:rPr>
              <w:t xml:space="preserve">mIoU_fg或误差变化</w:t>
            </w:r>
          </w:p>
        </w:tc>
      </w:tr>
      <w:tr>
        <w:tc>
          <w:tcPr/>
          <w:p>
            <w:pPr>
              <w:pStyle w:val="Compact"/>
              <w:spacing w:after="60"/>
              <w:jc w:val="left"/>
            </w:pPr>
            <w:r>
              <w:rPr>
                <w:sz w:val="18"/>
              </w:rPr>
              <w:t xml:space="preserve">建筑—背景混合区域</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建筑边缘</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低B真实建筑位置</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区域内部/纯区域</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当前回投汇加</w:t>
            </w:r>
          </w:p>
        </w:tc>
        <w:tc>
          <w:tcPr/>
          <w:p>
            <w:pPr>
              <w:pStyle w:val="Compact"/>
              <w:spacing w:after="60"/>
              <w:jc w:val="right"/>
            </w:pPr>
            <w:r>
              <w:rPr>
                <w:sz w:val="18"/>
              </w:rPr>
              <w:t xml:space="preserve">—</w:t>
            </w:r>
          </w:p>
        </w:tc>
        <w:tc>
          <w:tcPr/>
          <w:p>
            <w:pPr>
              <w:pStyle w:val="Compact"/>
              <w:spacing w:after="60"/>
              <w:jc w:val="right"/>
            </w:pPr>
            <w:r>
              <w:rPr>
                <w:sz w:val="18"/>
              </w:rPr>
              <w:t xml:space="preserve">—</w:t>
            </w:r>
          </w:p>
        </w:tc>
        <w:tc>
          <w:tcPr/>
          <w:p>
            <w:pPr>
              <w:pStyle w:val="Compact"/>
              <w:spacing w:after="60"/>
              <w:jc w:val="right"/>
            </w:pPr>
            <w:r>
              <w:rPr>
                <w:sz w:val="18"/>
              </w:rPr>
              <w:t xml:space="preserve">—</w:t>
            </w:r>
          </w:p>
        </w:tc>
        <w:tc>
          <w:tcPr/>
          <w:p>
            <w:pPr>
              <w:pStyle w:val="Compact"/>
              <w:spacing w:after="60"/>
              <w:jc w:val="right"/>
            </w:pPr>
            <w:r>
              <w:rPr>
                <w:sz w:val="18"/>
              </w:rPr>
              <w:t xml:space="preserve">待测</w:t>
            </w:r>
          </w:p>
        </w:tc>
      </w:tr>
      <w:tr>
        <w:tc>
          <w:tcPr/>
          <w:p>
            <w:pPr>
              <w:pStyle w:val="Compact"/>
              <w:spacing w:after="60"/>
              <w:jc w:val="left"/>
            </w:pPr>
            <w:r>
              <w:rPr>
                <w:sz w:val="18"/>
              </w:rPr>
              <w:t xml:space="preserve">独立槽通道回投（拟补）</w:t>
            </w:r>
          </w:p>
        </w:tc>
        <w:tc>
          <w:tcPr/>
          <w:p>
            <w:pPr>
              <w:pStyle w:val="Compact"/>
              <w:spacing w:after="60"/>
              <w:jc w:val="right"/>
            </w:pPr>
            <w:r>
              <w:rPr>
                <w:sz w:val="18"/>
              </w:rPr>
              <w:t xml:space="preserve">—</w:t>
            </w:r>
          </w:p>
        </w:tc>
        <w:tc>
          <w:tcPr/>
          <w:p>
            <w:pPr>
              <w:pStyle w:val="Compact"/>
              <w:spacing w:after="60"/>
              <w:jc w:val="right"/>
            </w:pPr>
            <w:r>
              <w:rPr>
                <w:sz w:val="18"/>
              </w:rPr>
              <w:t xml:space="preserve">—</w:t>
            </w:r>
          </w:p>
        </w:tc>
        <w:tc>
          <w:tcPr/>
          <w:p>
            <w:pPr>
              <w:pStyle w:val="Compact"/>
              <w:spacing w:after="60"/>
              <w:jc w:val="right"/>
            </w:pPr>
            <w:r>
              <w:rPr>
                <w:sz w:val="18"/>
              </w:rPr>
              <w:t xml:space="preserve">—</w:t>
            </w:r>
          </w:p>
        </w:tc>
        <w:tc>
          <w:tcPr/>
          <w:p>
            <w:pPr>
              <w:pStyle w:val="Compact"/>
              <w:spacing w:after="60"/>
              <w:jc w:val="right"/>
            </w:pPr>
            <w:r>
              <w:rPr>
                <w:sz w:val="18"/>
              </w:rPr>
              <w:t xml:space="preserve">待测</w:t>
            </w:r>
          </w:p>
        </w:tc>
      </w:tr>
    </w:tbl>
    <w:p>
      <w:pPr>
        <w:pStyle w:val="BodyText"/>
      </w:pPr>
      <w:r>
        <w:t xml:space="preserve">独立回投对照需保持总通道和活跃参数尽量匹配，并同时报告实际参数差异。只有当混合区域已含互补内容、而当前融合可能限制利用时，才优先测试这一改动。若问题出在低B位置的前端特征衰减，应另设调制前/后特征对照，同时更新查询与支持内容，不能只换查询特征。</w:t>
      </w:r>
    </w:p>
    <w:bookmarkEnd w:id="37"/>
    <w:bookmarkStart w:id="38" w:name="f.-训练稳定性与误改"/>
    <w:p>
      <w:pPr>
        <w:pStyle w:val="Heading3"/>
      </w:pPr>
      <w:r>
        <w:t xml:space="preserve">F. 训练稳定性与误改</w:t>
      </w:r>
    </w:p>
    <w:p>
      <w:pPr>
        <w:pStyle w:val="FirstParagraph"/>
      </w:pPr>
      <w:r>
        <w:rPr>
          <w:b/>
          <w:bCs/>
        </w:rPr>
        <w:t xml:space="preserve">表6　概率锚定的匹配继续训练。</w:t>
      </w:r>
    </w:p>
    <w:tbl>
      <w:tblPr>
        <w:tblStyle w:val="Table"/>
        <w:tblW w:type="pct" w:w="5000"/>
        <w:jc w:val="left"/>
        <w:tblLayout w:type="fixed"/>
        <w:tblLook w:firstRow="1" w:lastRow="0" w:firstColumn="0" w:lastColumn="0" w:noHBand="0" w:noVBand="0" w:val="0020"/>
      </w:tblPr>
      <w:tblGrid>
        <w:gridCol w:w="848"/>
        <w:gridCol w:w="848"/>
        <w:gridCol w:w="848"/>
        <w:gridCol w:w="848"/>
        <w:gridCol w:w="1131"/>
        <w:gridCol w:w="1131"/>
        <w:gridCol w:w="1131"/>
        <w:gridCol w:w="1131"/>
      </w:tblGrid>
      <w:tr>
        <w:trPr>
          <w:tblHeader w:val="on"/>
          <w:tblHeader/>
        </w:trPr>
        <w:tc>
          <w:tcPr/>
          <w:p>
            <w:pPr>
              <w:pStyle w:val="Compact"/>
              <w:spacing w:after="60"/>
              <w:jc w:val="left"/>
            </w:pPr>
            <w:r>
              <w:rPr>
                <w:sz w:val="18"/>
              </w:rPr>
              <w:t xml:space="preserve">分支</w:t>
            </w:r>
          </w:p>
        </w:tc>
        <w:tc>
          <w:tcPr/>
          <w:p>
            <w:pPr>
              <w:pStyle w:val="Compact"/>
              <w:spacing w:after="60"/>
              <w:jc w:val="left"/>
            </w:pPr>
            <w:r>
              <w:rPr>
                <w:sz w:val="18"/>
              </w:rPr>
              <w:t xml:space="preserve">起点与终点</w:t>
            </w:r>
          </w:p>
        </w:tc>
        <w:tc>
          <w:tcPr/>
          <w:p>
            <w:pPr>
              <w:pStyle w:val="Compact"/>
              <w:spacing w:after="60"/>
              <w:jc w:val="left"/>
            </w:pPr>
            <w:r>
              <w:rPr>
                <w:sz w:val="18"/>
              </w:rPr>
              <w:t xml:space="preserve">后续学习率</w:t>
            </w:r>
          </w:p>
        </w:tc>
        <w:tc>
          <w:tcPr/>
          <w:p>
            <w:pPr>
              <w:pStyle w:val="Compact"/>
              <w:spacing w:after="60"/>
              <w:jc w:val="left"/>
            </w:pPr>
            <w:r>
              <w:rPr>
                <w:sz w:val="18"/>
              </w:rPr>
              <w:t xml:space="preserve">目标</w:t>
            </w:r>
          </w:p>
        </w:tc>
        <w:tc>
          <w:tcPr/>
          <w:p>
            <w:pPr>
              <w:pStyle w:val="Compact"/>
              <w:spacing w:after="60"/>
              <w:jc w:val="right"/>
            </w:pPr>
            <w:r>
              <w:rPr>
                <w:sz w:val="18"/>
              </w:rPr>
              <w:t xml:space="preserve">原目标loss</w:t>
            </w:r>
          </w:p>
        </w:tc>
        <w:tc>
          <w:tcPr/>
          <w:p>
            <w:pPr>
              <w:pStyle w:val="Compact"/>
              <w:spacing w:after="60"/>
              <w:jc w:val="right"/>
            </w:pPr>
            <w:r>
              <w:rPr>
                <w:sz w:val="18"/>
              </w:rPr>
              <w:t xml:space="preserve">mIoU_fg</w:t>
            </w:r>
          </w:p>
        </w:tc>
        <w:tc>
          <w:tcPr/>
          <w:p>
            <w:pPr>
              <w:pStyle w:val="Compact"/>
              <w:spacing w:after="60"/>
              <w:jc w:val="right"/>
            </w:pPr>
            <w:r>
              <w:rPr>
                <w:sz w:val="18"/>
              </w:rPr>
              <w:t xml:space="preserve">受损P/R</w:t>
            </w:r>
          </w:p>
        </w:tc>
        <w:tc>
          <w:tcPr/>
          <w:p>
            <w:pPr>
              <w:pStyle w:val="Compact"/>
              <w:spacing w:after="60"/>
              <w:jc w:val="right"/>
            </w:pPr>
            <w:r>
              <w:rPr>
                <w:sz w:val="18"/>
              </w:rPr>
              <w:t xml:space="preserve">正确完好→受损</w:t>
            </w:r>
          </w:p>
        </w:tc>
      </w:tr>
      <w:tr>
        <w:tc>
          <w:tcPr/>
          <w:p>
            <w:pPr>
              <w:pStyle w:val="Compact"/>
              <w:spacing w:after="60"/>
              <w:jc w:val="left"/>
            </w:pPr>
            <w:r>
              <w:rPr>
                <w:sz w:val="18"/>
              </w:rPr>
              <w:t xml:space="preserve">共同D500</w:t>
            </w:r>
          </w:p>
        </w:tc>
        <w:tc>
          <w:tcPr/>
          <w:p>
            <w:pPr>
              <w:pStyle w:val="Compact"/>
              <w:spacing w:after="60"/>
              <w:jc w:val="left"/>
            </w:pPr>
            <w:r>
              <w:rPr>
                <w:sz w:val="18"/>
              </w:rPr>
              <w:t xml:space="preserve">500</w:t>
            </w:r>
          </w:p>
        </w:tc>
        <w:tc>
          <w:tcPr/>
          <w:p>
            <w:pPr>
              <w:pStyle w:val="Compact"/>
              <w:spacing w:after="60"/>
              <w:jc w:val="left"/>
            </w:pPr>
            <w:r>
              <w:rPr>
                <w:sz w:val="18"/>
              </w:rPr>
              <w:t xml:space="preserve">公共前缀</w:t>
            </w:r>
          </w:p>
        </w:tc>
        <w:tc>
          <w:tcPr/>
          <w:p>
            <w:pPr>
              <w:pStyle w:val="Compact"/>
              <w:spacing w:after="60"/>
              <w:jc w:val="left"/>
            </w:pPr>
            <w:r>
              <w:rPr>
                <w:sz w:val="18"/>
              </w:rPr>
              <w:t xml:space="preserve">原目标</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Control</w:t>
            </w:r>
          </w:p>
        </w:tc>
        <w:tc>
          <w:tcPr/>
          <w:p>
            <w:pPr>
              <w:pStyle w:val="Compact"/>
              <w:spacing w:after="60"/>
              <w:jc w:val="left"/>
            </w:pPr>
            <w:r>
              <w:rPr>
                <w:sz w:val="18"/>
              </w:rPr>
              <w:t xml:space="preserve">500→1500</w:t>
            </w:r>
          </w:p>
        </w:tc>
        <w:tc>
          <w:tcPr/>
          <w:p>
            <w:pPr>
              <w:pStyle w:val="Compact"/>
              <w:spacing w:after="60"/>
              <w:jc w:val="left"/>
            </w:pPr>
            <w:r>
              <w:rPr>
                <w:sz w:val="18"/>
              </w:rPr>
              <w:t xml:space="preserve">0.2×原调度</w:t>
            </w:r>
          </w:p>
        </w:tc>
        <w:tc>
          <w:tcPr/>
          <w:p>
            <w:pPr>
              <w:pStyle w:val="Compact"/>
              <w:spacing w:after="60"/>
              <w:jc w:val="left"/>
            </w:pPr>
            <w:r>
              <w:rPr>
                <w:sz w:val="18"/>
              </w:rPr>
              <w:t xml:space="preserve">原目标</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Anchor</w:t>
            </w:r>
          </w:p>
        </w:tc>
        <w:tc>
          <w:tcPr/>
          <w:p>
            <w:pPr>
              <w:pStyle w:val="Compact"/>
              <w:spacing w:after="60"/>
              <w:jc w:val="left"/>
            </w:pPr>
            <w:r>
              <w:rPr>
                <w:sz w:val="18"/>
              </w:rPr>
              <w:t xml:space="preserve">同起点→1500</w:t>
            </w:r>
          </w:p>
        </w:tc>
        <w:tc>
          <w:tcPr/>
          <w:p>
            <w:pPr>
              <w:pStyle w:val="Compact"/>
              <w:spacing w:after="60"/>
              <w:jc w:val="left"/>
            </w:pPr>
            <w:r>
              <w:rPr>
                <w:sz w:val="18"/>
              </w:rPr>
              <w:t xml:space="preserve">相同</w:t>
            </w:r>
          </w:p>
        </w:tc>
        <w:tc>
          <w:tcPr/>
          <w:p>
            <w:pPr>
              <w:pStyle w:val="Compact"/>
              <w:spacing w:after="60"/>
              <w:jc w:val="left"/>
            </w:pPr>
            <w:r>
              <w:rPr>
                <w:sz w:val="18"/>
              </w:rPr>
              <w:t xml:space="preserve">原目标+0.1 KL</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bl>
    <w:p>
      <w:pPr>
        <w:pStyle w:val="BodyText"/>
      </w:pPr>
      <w:r>
        <w:t xml:space="preserve">两分支同时以共同原目标、KL、各类IoU和混淆统计评价，不比较量纲不同的总loss大小来证明收益。固定Train子集和完整Val使用同一推理设置；Train改善而Val退化支持泛化差距扩大，Train与Val代理loss均下降而mIoU下降则提示概率拟合、类别取舍与指标聚合之间的不一致。二者可同时存在，不能仅凭一条曲线确定唯一根因。</w:t>
      </w:r>
    </w:p>
    <w:p>
      <w:pPr>
        <w:pStyle w:val="BodyText"/>
      </w:pPr>
      <w:r>
        <w:t xml:space="preserve">以同像素位置定义纠错数与误改数：基础预测错误而联合预测正确为纠错，基础预测正确而联合预测错误为误改。对每个真实类别分别统计，并关注Intact→Damaged/Destroyed与Damaged→背景/Intact/Destroyed的转移。混淆矩阵净变化不能还原这些配对转移，须保存同一位置的联合计数。</w:t>
      </w:r>
    </w:p>
    <w:p>
      <w:pPr>
        <w:pStyle w:val="BodyText"/>
      </w:pPr>
      <w:r>
        <w:t xml:space="preserve">若Anchor仅把输出压回基线而未超过基线，它可以解释为抑制变化，但尚不足以证明历史信息被更好利用。候选有效后需在B上使用相同目标，重新计算D−B；否则不能声称锚定后的收益来自Memory。</w:t>
      </w:r>
    </w:p>
    <w:bookmarkEnd w:id="38"/>
    <w:bookmarkStart w:id="39" w:name="g.-事件表现案例和效率"/>
    <w:p>
      <w:pPr>
        <w:pStyle w:val="Heading3"/>
      </w:pPr>
      <w:r>
        <w:t xml:space="preserve">G. 事件表现、案例和效率</w:t>
      </w:r>
    </w:p>
    <w:p>
      <w:pPr>
        <w:pStyle w:val="FirstParagraph"/>
      </w:pPr>
      <w:r>
        <w:rPr>
          <w:b/>
          <w:bCs/>
        </w:rPr>
        <w:t xml:space="preserve">表7　逐事件与计算开销。</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blHeader/>
        </w:trPr>
        <w:tc>
          <w:tcPr/>
          <w:p>
            <w:pPr>
              <w:pStyle w:val="Compact"/>
              <w:spacing w:after="60"/>
              <w:jc w:val="left"/>
            </w:pPr>
            <w:r>
              <w:rPr>
                <w:sz w:val="18"/>
              </w:rPr>
              <w:t xml:space="preserve">统计项</w:t>
            </w:r>
          </w:p>
        </w:tc>
        <w:tc>
          <w:tcPr/>
          <w:p>
            <w:pPr>
              <w:pStyle w:val="Compact"/>
              <w:spacing w:after="60"/>
              <w:jc w:val="right"/>
            </w:pPr>
            <w:r>
              <w:rPr>
                <w:sz w:val="18"/>
              </w:rPr>
              <w:t xml:space="preserve">grid_probq</w:t>
            </w:r>
          </w:p>
        </w:tc>
        <w:tc>
          <w:tcPr/>
          <w:p>
            <w:pPr>
              <w:pStyle w:val="Compact"/>
              <w:spacing w:after="60"/>
              <w:jc w:val="right"/>
            </w:pPr>
            <w:r>
              <w:rPr>
                <w:sz w:val="18"/>
              </w:rPr>
              <w:t xml:space="preserve">B</w:t>
            </w:r>
          </w:p>
        </w:tc>
        <w:tc>
          <w:tcPr/>
          <w:p>
            <w:pPr>
              <w:pStyle w:val="Compact"/>
              <w:spacing w:after="60"/>
              <w:jc w:val="right"/>
            </w:pPr>
            <w:r>
              <w:rPr>
                <w:sz w:val="18"/>
              </w:rPr>
              <w:t xml:space="preserve">D</w:t>
            </w:r>
          </w:p>
        </w:tc>
        <w:tc>
          <w:tcPr/>
          <w:p>
            <w:pPr>
              <w:pStyle w:val="Compact"/>
              <w:spacing w:after="60"/>
              <w:jc w:val="right"/>
            </w:pPr>
            <w:r>
              <w:rPr>
                <w:sz w:val="18"/>
              </w:rPr>
              <w:t xml:space="preserve">D+Anchor（候选）</w:t>
            </w:r>
          </w:p>
        </w:tc>
      </w:tr>
      <w:tr>
        <w:tc>
          <w:tcPr/>
          <w:p>
            <w:pPr>
              <w:pStyle w:val="Compact"/>
              <w:spacing w:after="60"/>
              <w:jc w:val="left"/>
            </w:pPr>
            <w:r>
              <w:rPr>
                <w:sz w:val="18"/>
              </w:rPr>
              <w:t xml:space="preserve">事件等权mIoU_fg</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最差事件/事件改善数量</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完好、受损、毁坏逐事件IoU</w:t>
            </w:r>
          </w:p>
        </w:tc>
        <w:tc>
          <w:tcPr/>
          <w:p>
            <w:pPr>
              <w:pStyle w:val="Compact"/>
              <w:spacing w:after="60"/>
              <w:jc w:val="right"/>
            </w:pPr>
            <w:r>
              <w:rPr>
                <w:sz w:val="18"/>
              </w:rPr>
              <w:t xml:space="preserve">附表</w:t>
            </w:r>
          </w:p>
        </w:tc>
        <w:tc>
          <w:tcPr/>
          <w:p>
            <w:pPr>
              <w:pStyle w:val="Compact"/>
              <w:spacing w:after="60"/>
              <w:jc w:val="right"/>
            </w:pPr>
            <w:r>
              <w:rPr>
                <w:sz w:val="18"/>
              </w:rPr>
              <w:t xml:space="preserve">附表</w:t>
            </w:r>
          </w:p>
        </w:tc>
        <w:tc>
          <w:tcPr/>
          <w:p>
            <w:pPr>
              <w:pStyle w:val="Compact"/>
              <w:spacing w:after="60"/>
              <w:jc w:val="right"/>
            </w:pPr>
            <w:r>
              <w:rPr>
                <w:sz w:val="18"/>
              </w:rPr>
              <w:t xml:space="preserve">附表</w:t>
            </w:r>
          </w:p>
        </w:tc>
        <w:tc>
          <w:tcPr/>
          <w:p>
            <w:pPr>
              <w:pStyle w:val="Compact"/>
              <w:spacing w:after="60"/>
              <w:jc w:val="right"/>
            </w:pPr>
            <w:r>
              <w:rPr>
                <w:sz w:val="18"/>
              </w:rPr>
              <w:t xml:space="preserve">附表</w:t>
            </w:r>
          </w:p>
        </w:tc>
      </w:tr>
      <w:tr>
        <w:tc>
          <w:tcPr/>
          <w:p>
            <w:pPr>
              <w:pStyle w:val="Compact"/>
              <w:spacing w:after="60"/>
              <w:jc w:val="left"/>
            </w:pPr>
            <w:r>
              <w:rPr>
                <w:sz w:val="18"/>
              </w:rPr>
              <w:t xml:space="preserve">单图推理时间/峰值显存</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可训练参数/案例库大小</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c>
          <w:tcPr/>
          <w:p>
            <w:pPr>
              <w:pStyle w:val="Compact"/>
              <w:spacing w:after="60"/>
              <w:jc w:val="right"/>
            </w:pPr>
            <w:r>
              <w:rPr>
                <w:sz w:val="18"/>
              </w:rPr>
              <w:t xml:space="preserve">待测</w:t>
            </w:r>
          </w:p>
        </w:tc>
      </w:tr>
      <w:tr>
        <w:tc>
          <w:tcPr/>
          <w:p>
            <w:pPr>
              <w:pStyle w:val="Compact"/>
              <w:spacing w:after="60"/>
              <w:jc w:val="left"/>
            </w:pPr>
            <w:r>
              <w:rPr>
                <w:sz w:val="18"/>
              </w:rPr>
              <w:t xml:space="preserve">一次性建库时间</w:t>
            </w:r>
          </w:p>
        </w:tc>
        <w:tc>
          <w:tcPr/>
          <w:p>
            <w:pPr>
              <w:pStyle w:val="Compact"/>
              <w:spacing w:after="60"/>
              <w:jc w:val="right"/>
            </w:pPr>
            <w:r>
              <w:rPr>
                <w:sz w:val="18"/>
              </w:rPr>
              <w:t xml:space="preserve">无</w:t>
            </w:r>
          </w:p>
        </w:tc>
        <w:tc>
          <w:tcPr/>
          <w:p>
            <w:pPr>
              <w:pStyle w:val="Compact"/>
              <w:spacing w:after="60"/>
              <w:jc w:val="right"/>
            </w:pPr>
            <w:r>
              <w:rPr>
                <w:sz w:val="18"/>
              </w:rPr>
              <w:t xml:space="preserve">无历史库</w:t>
            </w:r>
          </w:p>
        </w:tc>
        <w:tc>
          <w:tcPr/>
          <w:p>
            <w:pPr>
              <w:pStyle w:val="Compact"/>
              <w:spacing w:after="60"/>
              <w:jc w:val="right"/>
            </w:pPr>
            <w:r>
              <w:rPr>
                <w:sz w:val="18"/>
              </w:rPr>
              <w:t xml:space="preserve">待测</w:t>
            </w:r>
          </w:p>
        </w:tc>
        <w:tc>
          <w:tcPr/>
          <w:p>
            <w:pPr>
              <w:pStyle w:val="Compact"/>
              <w:spacing w:after="60"/>
              <w:jc w:val="right"/>
            </w:pPr>
            <w:r>
              <w:rPr>
                <w:sz w:val="18"/>
              </w:rPr>
              <w:t xml:space="preserve">复用同库</w:t>
            </w:r>
          </w:p>
        </w:tc>
      </w:tr>
    </w:tbl>
    <w:p>
      <w:pPr>
        <w:pStyle w:val="BodyText"/>
      </w:pPr>
      <w:r>
        <w:t xml:space="preserve">固定检查点可采用按事件聚类的配对重采样，重新累计混淆矩阵后计算指标；该区间反映评价事件采样的不确定性，不包含训练随机性，也不替代多训练种子。多种子差异另行报告；若前端共同冻结，其结果不能代表重训整个前端的变异。效率测试须固定硬件与推理设置，并将一次性建库和在线查询分开。</w:t>
      </w:r>
    </w:p>
    <w:p>
      <w:pPr>
        <w:pStyle w:val="BodyText"/>
      </w:pPr>
      <w:r>
        <w:t xml:space="preserve">案例展示至少包含：混合区域双槽差异；受损查询及其真实Top64中的代表支持与完好困难负例；基线错误被救回；基线正确被误改；低B建筑漏检；完整失败事件。支持展示标明事件、图像、父区域ID和槽软标签。对注意力图只描述相关响应，不能将大权重直接解释为因果贡献。</w:t>
      </w:r>
    </w:p>
    <w:p>
      <w:pPr>
        <w:pStyle w:val="BodyText"/>
      </w:pPr>
      <w:r>
        <w:rPr>
          <w:b/>
          <w:bCs/>
        </w:rPr>
        <w:t xml:space="preserve">图5置于此处。</w:t>
      </w:r>
      <w:r>
        <w:t xml:space="preserve"> </w:t>
      </w:r>
      <w:r>
        <w:t xml:space="preserve">相同裁窗的光学、SAR、GT、grid_probq、B、D与候选Anchor预测；固定checkpoint与推理规则，包含成功与失败。</w:t>
      </w:r>
    </w:p>
    <w:p>
      <w:pPr>
        <w:pStyle w:val="BodyText"/>
      </w:pPr>
      <w:r>
        <w:rPr>
          <w:b/>
          <w:bCs/>
        </w:rPr>
        <w:t xml:space="preserve">图6置于此处。</w:t>
      </w:r>
      <w:r>
        <w:t xml:space="preserve"> </w:t>
      </w:r>
      <w:r>
        <w:t xml:space="preserve">混合区域的B、Q、双槽权重及同域标签组成，说明分流内容与质量。</w:t>
      </w:r>
    </w:p>
    <w:p>
      <w:pPr>
        <w:pStyle w:val="BodyText"/>
      </w:pPr>
      <w:r>
        <w:rPr>
          <w:b/>
          <w:bCs/>
        </w:rPr>
        <w:t xml:space="preserve">图7置于此处。</w:t>
      </w:r>
      <w:r>
        <w:t xml:space="preserve"> </w:t>
      </w:r>
      <w:r>
        <w:t xml:space="preserve">受损查询、历史支持、困难完好负例及读取响应；同一父预算下比较检索与随机支持。</w:t>
      </w:r>
    </w:p>
    <w:p>
      <w:pPr>
        <w:pStyle w:val="BodyText"/>
      </w:pPr>
      <w:r>
        <w:rPr>
          <w:b/>
          <w:bCs/>
        </w:rPr>
        <w:t xml:space="preserve">图8置于此处。</w:t>
      </w:r>
      <w:r>
        <w:t xml:space="preserve"> </w:t>
      </w:r>
      <w:r>
        <w:t xml:space="preserve">同像素基线→联合模型的纠错与误改，区分建筑定位和等级混淆。</w:t>
      </w:r>
    </w:p>
    <w:p>
      <w:pPr>
        <w:pStyle w:val="BodyText"/>
      </w:pPr>
      <w:r>
        <w:rPr>
          <w:b/>
          <w:bCs/>
        </w:rPr>
        <w:t xml:space="preserve">图9置于此处。</w:t>
      </w:r>
      <w:r>
        <w:t xml:space="preserve"> </w:t>
      </w:r>
      <w:r>
        <w:t xml:space="preserve">配对种子的各类IoU及差值，标明主终点和区间；不复用旧69.64%的派生柱状图。</w:t>
      </w:r>
    </w:p>
    <w:p>
      <w:pPr>
        <w:pStyle w:val="BodyText"/>
      </w:pPr>
      <w:r>
        <w:rPr>
          <w:b/>
          <w:bCs/>
        </w:rPr>
        <w:t xml:space="preserve">图10置于此处。</w:t>
      </w:r>
      <w:r>
        <w:t xml:space="preserve"> </w:t>
      </w:r>
      <w:r>
        <w:t xml:space="preserve">逐事件性能差值与训练轨迹，注明统计口径；若版面有限，训练轨迹单独放补充材料。</w:t>
      </w:r>
    </w:p>
    <w:bookmarkEnd w:id="39"/>
    <w:bookmarkEnd w:id="40"/>
    <w:bookmarkStart w:id="44" w:name="v.-讨论"/>
    <w:p>
      <w:pPr>
        <w:pStyle w:val="Heading2"/>
      </w:pPr>
      <w:r>
        <w:t xml:space="preserve">V. 讨论</w:t>
      </w:r>
    </w:p>
    <w:bookmarkStart w:id="41" w:name="a.-可以主张的创新边界"/>
    <w:p>
      <w:pPr>
        <w:pStyle w:val="Heading3"/>
      </w:pPr>
      <w:r>
        <w:t xml:space="preserve">A. 可以主张的创新边界</w:t>
      </w:r>
    </w:p>
    <w:p>
      <w:pPr>
        <w:pStyle w:val="FirstParagraph"/>
      </w:pPr>
      <w:r>
        <w:t xml:space="preserve">本文方法位于任务驱动的区域证据组织与案例推理层。固定Q上构建建筑概率互补槽，并以同一空间权重生成支持内容和软标签，是需要验证的核心设计。父级选择与槽级读取、像素路径与概率基线联合，构成可审计的历史监督利用方式。软加权池化、注意力、残差和KL均有成熟先例；其在本任务中的具体组织是否有价值，应由同容量、同源、同预算对照决定，而不是依靠模块重命名。</w:t>
      </w:r>
    </w:p>
    <w:p>
      <w:pPr>
        <w:pStyle w:val="BodyText"/>
      </w:pPr>
      <w:r>
        <w:t xml:space="preserve">当前方法也没有解决所有区域问题。双槽不区分相邻两栋建筑，也不自动区分完好与受损；父级key可能遗漏只在子槽中明显的等级差异；前端低B抑制可能限制背景槽的可用SAR证据；回投汇加也可能压缩不同槽的作用。上述因素应按槽内容、候选覆盖和配对误差的证据逐项检验，而不同时增加全部模块。</w:t>
      </w:r>
    </w:p>
    <w:bookmarkEnd w:id="41"/>
    <w:bookmarkStart w:id="42" w:name="b.-对定位知识跨模态一致性与伪标签的取舍"/>
    <w:p>
      <w:pPr>
        <w:pStyle w:val="Heading3"/>
      </w:pPr>
      <w:r>
        <w:t xml:space="preserve">B. 对定位知识、跨模态一致性与伪标签的取舍</w:t>
      </w:r>
    </w:p>
    <w:p>
      <w:pPr>
        <w:pStyle w:val="FirstParagraph"/>
      </w:pPr>
      <w:r>
        <w:t xml:space="preserve">冠军方案的建筑先验和亚军方案的完好区域特征一致性提供了两条不同方向。前者主要改善“哪里可能有建筑”，后者试图减少未损毁区域的模态差异。本文已使用建筑概率组织和调制信息，继续加入外部定位模型需要证明它改善了当前漏检，同时不增加背景误报；它未必能解决Intact→Damaged等级混淆。</w:t>
      </w:r>
    </w:p>
    <w:p>
      <w:pPr>
        <w:pStyle w:val="BodyText"/>
      </w:pPr>
      <w:r>
        <w:t xml:space="preserve">完好区域跨模态一致性若作用于全部冻结特征，不能更新前端，也不会自动训练到Reader。可行扩展是在可训练的模态投影或受控解冻层上添加一致性，并保持独立消融，检查配准残差和过强对齐是否损伤有用模态差异。对象投票应作为后处理单列，既可能减少碎片，也可能传播整栋误判。目标域伪标签涉及额外图像访问，应单设适配协议，不能混入Train-only主表。</w:t>
      </w:r>
    </w:p>
    <w:bookmarkEnd w:id="42"/>
    <w:bookmarkStart w:id="43" w:name="c.-证据限制与研究顺序"/>
    <w:p>
      <w:pPr>
        <w:pStyle w:val="Heading3"/>
      </w:pPr>
      <w:r>
        <w:t xml:space="preserve">C. 证据限制与研究顺序</w:t>
      </w:r>
    </w:p>
    <w:p>
      <w:pPr>
        <w:pStyle w:val="FirstParagraph"/>
      </w:pPr>
      <w:r>
        <w:t xml:space="preserve">历史结果显示，组件相对贡献与最终系统收益可以方向不同：soft或Memory可能优于各自对照，但完整联合模型仍低于冻结基础预测。因此，研究顺序应先完成同源的原目标/锚定对照与双槽内容诊断，再根据证据选择融合方式、内容来源或候选排序中的一项改动。重复种子和同设置单槽对照是确认方法价值的必要证据。</w:t>
      </w:r>
    </w:p>
    <w:p>
      <w:pPr>
        <w:pStyle w:val="BodyText"/>
      </w:pPr>
      <w:r>
        <w:t xml:space="preserve">本稿不设定必然达到的分数目标。应在实验前确定主要终点、最小实际意义阈值和统计报告方式，并依据测得结果保留或放弃候选。若双槽增量小于运行波动，论文应缩小相应主张；若历史标签只在少数事件有效，应报告适用范围与失败案例。新库和新数值配置的结果属于新的实验版本，不能冒充丢失权重的历史轨迹。</w:t>
      </w:r>
    </w:p>
    <w:bookmarkEnd w:id="43"/>
    <w:bookmarkEnd w:id="44"/>
    <w:bookmarkStart w:id="45" w:name="vi.-结论"/>
    <w:p>
      <w:pPr>
        <w:pStyle w:val="Heading2"/>
      </w:pPr>
      <w:r>
        <w:t xml:space="preserve">VI. 结论</w:t>
      </w:r>
    </w:p>
    <w:p>
      <w:pPr>
        <w:pStyle w:val="FirstParagraph"/>
      </w:pPr>
      <w:r>
        <w:t xml:space="preserve">本文围绕光学—SAR建筑损毁中的区域混合与历史证据使用，构建了固定Q上的建筑概率双槽、父区域选择与槽级读取，以及保留像素和概率基线的残差联合分类框架。方法以对应权重生成槽特征与Train软标签，使案例读取具有明确的内容范围；实验设计通过图内、历史、标签与容量对照，分别检验不同信息来源的作用，其结论须由匹配结果确认。进一步设置概率锚定训练，研究新增上下文如何在纠正基础错误的同时避免无益误改。【正式填入：完整实验所支持的增量、重复性、适用事件与主要局限。】后续研究将依据内容和检索诊断，有针对性地改进槽融合或支持选择，而不将尚未完成的候选设计写成已验证的结论。</w:t>
      </w:r>
    </w:p>
    <w:bookmarkEnd w:id="45"/>
    <w:bookmarkStart w:id="96" w:name="参考文献"/>
    <w:p>
      <w:pPr>
        <w:pStyle w:val="Heading2"/>
      </w:pPr>
      <w:r>
        <w:t xml:space="preserve">参考文献</w:t>
      </w:r>
    </w:p>
    <w:p>
      <w:pPr>
        <w:pStyle w:val="FirstParagraph"/>
      </w:pPr>
      <w:r>
        <w:t xml:space="preserve">[1] Ritwik Gupta, et al. Creating xBD: A Dataset for Assessing Building Damage from Satellite Imagery. CVPR Workshops 2019, 2019.</w:t>
      </w:r>
      <w:r>
        <w:t xml:space="preserve"> </w:t>
      </w:r>
      <w:hyperlink r:id="rId46">
        <w:r>
          <w:rPr>
            <w:rStyle w:val="Hyperlink"/>
          </w:rPr>
          <w:t xml:space="preserve">论文链接</w:t>
        </w:r>
      </w:hyperlink>
      <w:r>
        <w:t xml:space="preserve">.</w:t>
      </w:r>
    </w:p>
    <w:p>
      <w:pPr>
        <w:pStyle w:val="BodyText"/>
      </w:pPr>
      <w:r>
        <w:t xml:space="preserve">[2] Hongruixuan Chen, Jian Song, Olivier Dietrich, et al. BRIGHT: a globally distributed multimodal building damage assessment dataset with very-high-resolution for all-weather disaster response. Earth System Science Data 17(11):6217–6253, 2025. DOI:</w:t>
      </w:r>
      <w:r>
        <w:t xml:space="preserve"> </w:t>
      </w:r>
      <w:hyperlink r:id="rId47">
        <w:r>
          <w:rPr>
            <w:rStyle w:val="Hyperlink"/>
          </w:rPr>
          <w:t xml:space="preserve">10.5194/essd-17-6217-2025</w:t>
        </w:r>
      </w:hyperlink>
      <w:r>
        <w:t xml:space="preserve">.</w:t>
      </w:r>
    </w:p>
    <w:p>
      <w:pPr>
        <w:pStyle w:val="BodyText"/>
      </w:pPr>
      <w:r>
        <w:t xml:space="preserve">[3] Zhuo Zheng, Yanfei Zhong, Junjue Wang, et al. Building damage assessment for rapid disaster response with a deep object-based semantic change detection framework: From natural disasters to man-made disasters. Remote Sensing of Environment 265:112636, 2021.</w:t>
      </w:r>
      <w:r>
        <w:t xml:space="preserve"> </w:t>
      </w:r>
      <w:hyperlink r:id="rId48">
        <w:r>
          <w:rPr>
            <w:rStyle w:val="Hyperlink"/>
          </w:rPr>
          <w:t xml:space="preserve">论文链接</w:t>
        </w:r>
      </w:hyperlink>
      <w:r>
        <w:t xml:space="preserve">.</w:t>
      </w:r>
    </w:p>
    <w:p>
      <w:pPr>
        <w:pStyle w:val="BodyText"/>
      </w:pPr>
      <w:r>
        <w:t xml:space="preserve">[4] Hongruixuan Chen, Edoardo Nemni, Sofia Vallecorsa, et al. Dual-Tasks Siamese Transformer Framework for Building Damage Assessment. IGARSS 2022:1600–1603, 2022.</w:t>
      </w:r>
      <w:r>
        <w:t xml:space="preserve"> </w:t>
      </w:r>
      <w:hyperlink r:id="rId49">
        <w:r>
          <w:rPr>
            <w:rStyle w:val="Hyperlink"/>
          </w:rPr>
          <w:t xml:space="preserve">公开代码/资料</w:t>
        </w:r>
      </w:hyperlink>
      <w:r>
        <w:t xml:space="preserve">.</w:t>
      </w:r>
    </w:p>
    <w:p>
      <w:pPr>
        <w:pStyle w:val="BodyText"/>
      </w:pPr>
      <w:r>
        <w:t xml:space="preserve">[5] Hongruixuan Chen, Jian Song, Chengxi Han, et al. ChangeMamba: Remote Sensing Change Detection with Spatiotemporal State Space Model. IEEE Transactions on Geoscience and Remote Sensing 62:1–20, 2024. DOI:</w:t>
      </w:r>
      <w:r>
        <w:t xml:space="preserve"> </w:t>
      </w:r>
      <w:hyperlink r:id="rId50">
        <w:r>
          <w:rPr>
            <w:rStyle w:val="Hyperlink"/>
          </w:rPr>
          <w:t xml:space="preserve">10.1109/TGRS.2024.3417253</w:t>
        </w:r>
      </w:hyperlink>
      <w:r>
        <w:t xml:space="preserve">.</w:t>
      </w:r>
    </w:p>
    <w:p>
      <w:pPr>
        <w:pStyle w:val="BodyText"/>
      </w:pPr>
      <w:r>
        <w:t xml:space="preserve">[6] Varun Jampani, Deqing Sun, Ming-Yu Liu, et al. Superpixel Sampling Networks. ECCV, 2018.</w:t>
      </w:r>
      <w:r>
        <w:t xml:space="preserve"> </w:t>
      </w:r>
      <w:hyperlink r:id="rId51">
        <w:r>
          <w:rPr>
            <w:rStyle w:val="Hyperlink"/>
          </w:rPr>
          <w:t xml:space="preserve">论文链接</w:t>
        </w:r>
      </w:hyperlink>
      <w:r>
        <w:t xml:space="preserve">.</w:t>
      </w:r>
    </w:p>
    <w:p>
      <w:pPr>
        <w:pStyle w:val="BodyText"/>
      </w:pPr>
      <w:r>
        <w:t xml:space="preserve">[7] Fengting Yang, Qian Sun, Hailin Jin, et al. Superpixel Segmentation with Fully Convolutional Networks. CVPR, 2020.</w:t>
      </w:r>
      <w:r>
        <w:t xml:space="preserve"> </w:t>
      </w:r>
      <w:hyperlink r:id="rId52">
        <w:r>
          <w:rPr>
            <w:rStyle w:val="Hyperlink"/>
          </w:rPr>
          <w:t xml:space="preserve">论文链接</w:t>
        </w:r>
      </w:hyperlink>
      <w:r>
        <w:t xml:space="preserve">.</w:t>
      </w:r>
    </w:p>
    <w:p>
      <w:pPr>
        <w:pStyle w:val="BodyText"/>
      </w:pPr>
      <w:r>
        <w:t xml:space="preserve">[8] Huaibo Huang, Xiaoqiang Zhou, Jie Cao, et al. Vision Transformer with Super Token Sampling. CVPR, 2023.</w:t>
      </w:r>
      <w:r>
        <w:t xml:space="preserve"> </w:t>
      </w:r>
      <w:hyperlink r:id="rId53">
        <w:r>
          <w:rPr>
            <w:rStyle w:val="Hyperlink"/>
          </w:rPr>
          <w:t xml:space="preserve">论文链接</w:t>
        </w:r>
      </w:hyperlink>
      <w:r>
        <w:t xml:space="preserve">.</w:t>
      </w:r>
    </w:p>
    <w:p>
      <w:pPr>
        <w:pStyle w:val="BodyText"/>
      </w:pPr>
      <w:r>
        <w:t xml:space="preserve">[9] Yuhui Yuan, Xilin Chen, Jingdong Wang. Object-Contextual Representations for Semantic Segmentation. ECCV, 2020.</w:t>
      </w:r>
      <w:r>
        <w:t xml:space="preserve"> </w:t>
      </w:r>
      <w:hyperlink r:id="rId54">
        <w:r>
          <w:rPr>
            <w:rStyle w:val="Hyperlink"/>
          </w:rPr>
          <w:t xml:space="preserve">论文链接</w:t>
        </w:r>
      </w:hyperlink>
      <w:r>
        <w:t xml:space="preserve">.</w:t>
      </w:r>
    </w:p>
    <w:p>
      <w:pPr>
        <w:pStyle w:val="BodyText"/>
      </w:pPr>
      <w:r>
        <w:t xml:space="preserve">[10] Zhenchao Jin, Tao Gong, Dongdong Yu, et al. Mining Contextual Information Beyond Image for Semantic Segmentation. ICCV, pp. 7231–7241, 2021.</w:t>
      </w:r>
      <w:r>
        <w:t xml:space="preserve"> </w:t>
      </w:r>
      <w:hyperlink r:id="rId55">
        <w:r>
          <w:rPr>
            <w:rStyle w:val="Hyperlink"/>
          </w:rPr>
          <w:t xml:space="preserve">论文链接</w:t>
        </w:r>
      </w:hyperlink>
      <w:r>
        <w:t xml:space="preserve">.</w:t>
      </w:r>
    </w:p>
    <w:p>
      <w:pPr>
        <w:pStyle w:val="BodyText"/>
      </w:pPr>
      <w:r>
        <w:t xml:space="preserve">[11] Renrui Zhang, Wei Zhang, Rongyao Fang, et al. Tip-Adapter: Training-free Adaption of CLIP for Few-shot Classification. ECCV, 2022.</w:t>
      </w:r>
      <w:r>
        <w:t xml:space="preserve"> </w:t>
      </w:r>
      <w:hyperlink r:id="rId56">
        <w:r>
          <w:rPr>
            <w:rStyle w:val="Hyperlink"/>
          </w:rPr>
          <w:t xml:space="preserve">论文链接</w:t>
        </w:r>
      </w:hyperlink>
      <w:r>
        <w:t xml:space="preserve">.</w:t>
      </w:r>
    </w:p>
    <w:p>
      <w:pPr>
        <w:pStyle w:val="BodyText"/>
      </w:pPr>
      <w:r>
        <w:t xml:space="preserve">[12] Hao Chen, Zipeng Qi, Zhenwei Shi. Remote Sensing Image Change Detection with Transformers. IEEE Transactions on Geoscience and Remote Sensing (online publication), 2021. DOI:</w:t>
      </w:r>
      <w:r>
        <w:t xml:space="preserve"> </w:t>
      </w:r>
      <w:hyperlink r:id="rId57">
        <w:r>
          <w:rPr>
            <w:rStyle w:val="Hyperlink"/>
          </w:rPr>
          <w:t xml:space="preserve">10.1109/TGRS.2021.3095166</w:t>
        </w:r>
      </w:hyperlink>
      <w:r>
        <w:t xml:space="preserve">.</w:t>
      </w:r>
    </w:p>
    <w:p>
      <w:pPr>
        <w:pStyle w:val="BodyText"/>
      </w:pPr>
      <w:r>
        <w:t xml:space="preserve">[13] Zhuo Zheng, Ailong Ma, Liangpei Zhang, et al. Change is Everywhere: Single-Temporal Supervised Object Change Detection in Remote Sensing Imagery. ICCV 2021, 2021.</w:t>
      </w:r>
      <w:r>
        <w:t xml:space="preserve"> </w:t>
      </w:r>
      <w:hyperlink r:id="rId58">
        <w:r>
          <w:rPr>
            <w:rStyle w:val="Hyperlink"/>
          </w:rPr>
          <w:t xml:space="preserve">论文链接</w:t>
        </w:r>
      </w:hyperlink>
      <w:r>
        <w:t xml:space="preserve">.</w:t>
      </w:r>
    </w:p>
    <w:p>
      <w:pPr>
        <w:pStyle w:val="BodyText"/>
      </w:pPr>
      <w:r>
        <w:t xml:space="preserve">[14] Lei Ding, Jing Zhang, Haitao Guo, et al. Joint Spatio-Temporal Modeling for Semantic Change Detection in Remote Sensing Images. IEEE Transactions on Geoscience and Remote Sensing 62:1–14, 2024. DOI:</w:t>
      </w:r>
      <w:r>
        <w:t xml:space="preserve"> </w:t>
      </w:r>
      <w:hyperlink r:id="rId59">
        <w:r>
          <w:rPr>
            <w:rStyle w:val="Hyperlink"/>
          </w:rPr>
          <w:t xml:space="preserve">10.1109/TGRS.2024.3362795</w:t>
        </w:r>
      </w:hyperlink>
      <w:r>
        <w:t xml:space="preserve">.</w:t>
      </w:r>
    </w:p>
    <w:p>
      <w:pPr>
        <w:pStyle w:val="BodyText"/>
      </w:pPr>
      <w:r>
        <w:t xml:space="preserve">[15] Xin Guo, Xudong Kang, Zihao Wang, et al. FlowMamba: Building Damage Assessment via Optics Flow-based State Space Model. IEEE Transactions on Circuits and Systems for Video Technology (early access), 2025. DOI:</w:t>
      </w:r>
      <w:r>
        <w:t xml:space="preserve"> </w:t>
      </w:r>
      <w:hyperlink r:id="rId60">
        <w:r>
          <w:rPr>
            <w:rStyle w:val="Hyperlink"/>
          </w:rPr>
          <w:t xml:space="preserve">10.1109/TCSVT.2025.3643612</w:t>
        </w:r>
      </w:hyperlink>
      <w:r>
        <w:t xml:space="preserve">.</w:t>
      </w:r>
    </w:p>
    <w:p>
      <w:pPr>
        <w:pStyle w:val="BodyText"/>
      </w:pPr>
      <w:r>
        <w:t xml:space="preserve">[16] Ishaan Gulrajani, David Lopez-Paz. In Search of Lost Domain Generalization. ICLR, 2021.</w:t>
      </w:r>
      <w:r>
        <w:t xml:space="preserve"> </w:t>
      </w:r>
      <w:hyperlink r:id="rId61">
        <w:r>
          <w:rPr>
            <w:rStyle w:val="Hyperlink"/>
          </w:rPr>
          <w:t xml:space="preserve">论文链接</w:t>
        </w:r>
      </w:hyperlink>
      <w:r>
        <w:t xml:space="preserve">.</w:t>
      </w:r>
    </w:p>
    <w:p>
      <w:pPr>
        <w:pStyle w:val="BodyText"/>
      </w:pPr>
      <w:r>
        <w:t xml:space="preserve">[17] Pang Wei Koh, Shiori Sagawa, Henrik Marklund, et al. WILDS: A Benchmark of in-the-Wild Distribution Shifts. ICML, PMLR 139:5637–5664, 2021.</w:t>
      </w:r>
      <w:r>
        <w:t xml:space="preserve"> </w:t>
      </w:r>
      <w:hyperlink r:id="rId62">
        <w:r>
          <w:rPr>
            <w:rStyle w:val="Hyperlink"/>
          </w:rPr>
          <w:t xml:space="preserve">论文链接</w:t>
        </w:r>
      </w:hyperlink>
      <w:r>
        <w:t xml:space="preserve">.</w:t>
      </w:r>
    </w:p>
    <w:p>
      <w:pPr>
        <w:pStyle w:val="BodyText"/>
      </w:pPr>
      <w:r>
        <w:t xml:space="preserve">[18] Michael Schmitt, Lloyd Haydn Hughes, Chunping Qiu, et al. SEN12MS – A Curated Dataset of Georeferenced Multi-Spectral Sentinel-1/2 Imagery for Deep Learning and Data Fusion. ISPRS Annals of the Photogrammetry, Remote Sensing and Spatial Information Sciences IV-2/W7:153–160, 2019. DOI:</w:t>
      </w:r>
      <w:r>
        <w:t xml:space="preserve"> </w:t>
      </w:r>
      <w:hyperlink r:id="rId63">
        <w:r>
          <w:rPr>
            <w:rStyle w:val="Hyperlink"/>
          </w:rPr>
          <w:t xml:space="preserve">10.5194/isprs-annals-IV-2-W7-153-2019</w:t>
        </w:r>
      </w:hyperlink>
      <w:r>
        <w:t xml:space="preserve">.</w:t>
      </w:r>
    </w:p>
    <w:p>
      <w:pPr>
        <w:pStyle w:val="BodyText"/>
      </w:pPr>
      <w:r>
        <w:t xml:space="preserve">[19] Jiepan Li, Wei He, Weinan Cao, et al. UANet: An Uncertainty-Aware Network for Building Extraction From Remote Sensing Images. IEEE Transactions on Geoscience and Remote Sensing 62:1–13, 2024. DOI:</w:t>
      </w:r>
      <w:r>
        <w:t xml:space="preserve"> </w:t>
      </w:r>
      <w:hyperlink r:id="rId64">
        <w:r>
          <w:rPr>
            <w:rStyle w:val="Hyperlink"/>
          </w:rPr>
          <w:t xml:space="preserve">10.1109/TGRS.2024.3361211</w:t>
        </w:r>
      </w:hyperlink>
      <w:r>
        <w:t xml:space="preserve">.</w:t>
      </w:r>
    </w:p>
    <w:p>
      <w:pPr>
        <w:pStyle w:val="BodyText"/>
      </w:pPr>
      <w:r>
        <w:t xml:space="preserve">[20] Jiepan Li, Wei He, Zhuohong Li, et al. Overcoming the uncertainty challenges in detecting building changes from remote sensing images. ISPRS Journal of Photogrammetry and Remote Sensing 220:1–17, 2025.</w:t>
      </w:r>
      <w:r>
        <w:t xml:space="preserve"> </w:t>
      </w:r>
      <w:hyperlink r:id="rId65">
        <w:r>
          <w:rPr>
            <w:rStyle w:val="Hyperlink"/>
          </w:rPr>
          <w:t xml:space="preserve">公开代码/资料</w:t>
        </w:r>
      </w:hyperlink>
      <w:r>
        <w:t xml:space="preserve">.</w:t>
      </w:r>
    </w:p>
    <w:p>
      <w:pPr>
        <w:pStyle w:val="BodyText"/>
      </w:pPr>
      <w:r>
        <w:t xml:space="preserve">[21] Jiepan Li, He Huang, Yu Sheng, et al. Building-Guided Pseudo-Label Learning for Cross-Modal Building Damage Mapping. IGARSS 2025:228–232, 2025. DOI:</w:t>
      </w:r>
      <w:r>
        <w:t xml:space="preserve"> </w:t>
      </w:r>
      <w:hyperlink r:id="rId66">
        <w:r>
          <w:rPr>
            <w:rStyle w:val="Hyperlink"/>
          </w:rPr>
          <w:t xml:space="preserve">10.1109/IGARSS55030.2025.11243835</w:t>
        </w:r>
      </w:hyperlink>
      <w:r>
        <w:t xml:space="preserve">.</w:t>
      </w:r>
    </w:p>
    <w:p>
      <w:pPr>
        <w:pStyle w:val="BodyText"/>
      </w:pPr>
      <w:r>
        <w:t xml:space="preserve">[22] zxqyiyang. DF2025: public implementation associated with the DFC2025 Track II second-ranked solution [软件资料]. GitHub software repository, 2025.</w:t>
      </w:r>
      <w:r>
        <w:t xml:space="preserve"> </w:t>
      </w:r>
      <w:hyperlink r:id="rId67">
        <w:r>
          <w:rPr>
            <w:rStyle w:val="Hyperlink"/>
          </w:rPr>
          <w:t xml:space="preserve">公开代码/资料</w:t>
        </w:r>
      </w:hyperlink>
      <w:r>
        <w:t xml:space="preserve">.</w:t>
      </w:r>
    </w:p>
    <w:p>
      <w:pPr>
        <w:pStyle w:val="BodyText"/>
      </w:pPr>
      <w:r>
        <w:t xml:space="preserve">[23] Radhakrishna Achanta, Appu Shaji, Kevin Smith, et al. SLIC Superpixels Compared to State-of-the-Art Superpixel Methods. IEEE Transactions on Pattern Analysis and Machine Intelligence, 34(11):2274–2282, 2012.</w:t>
      </w:r>
      <w:r>
        <w:t xml:space="preserve"> </w:t>
      </w:r>
      <w:hyperlink r:id="rId68">
        <w:r>
          <w:rPr>
            <w:rStyle w:val="Hyperlink"/>
          </w:rPr>
          <w:t xml:space="preserve">公开代码/资料</w:t>
        </w:r>
      </w:hyperlink>
      <w:r>
        <w:t xml:space="preserve">.</w:t>
      </w:r>
    </w:p>
    <w:p>
      <w:pPr>
        <w:pStyle w:val="BodyText"/>
      </w:pPr>
      <w:r>
        <w:t xml:space="preserve">[24] Hengshuang Zhao, Jianping Shi, Xiaojuan Qi, et al. Pyramid Scene Parsing Network. CVPR, 2017.</w:t>
      </w:r>
      <w:r>
        <w:t xml:space="preserve"> </w:t>
      </w:r>
      <w:hyperlink r:id="rId69">
        <w:r>
          <w:rPr>
            <w:rStyle w:val="Hyperlink"/>
          </w:rPr>
          <w:t xml:space="preserve">论文链接</w:t>
        </w:r>
      </w:hyperlink>
      <w:r>
        <w:t xml:space="preserve">.</w:t>
      </w:r>
    </w:p>
    <w:p>
      <w:pPr>
        <w:pStyle w:val="BodyText"/>
      </w:pPr>
      <w:r>
        <w:t xml:space="preserve">[25] Xiaolong Wang, Ross Girshick, Abhinav Gupta, et al. Non-local Neural Networks. CVPR, 2018.</w:t>
      </w:r>
      <w:r>
        <w:t xml:space="preserve"> </w:t>
      </w:r>
      <w:hyperlink r:id="rId70">
        <w:r>
          <w:rPr>
            <w:rStyle w:val="Hyperlink"/>
          </w:rPr>
          <w:t xml:space="preserve">论文链接</w:t>
        </w:r>
      </w:hyperlink>
      <w:r>
        <w:t xml:space="preserve">.</w:t>
      </w:r>
    </w:p>
    <w:p>
      <w:pPr>
        <w:pStyle w:val="BodyText"/>
      </w:pPr>
      <w:r>
        <w:t xml:space="preserve">[26] Zhenchao Jin, Bin Liu, Qi Chu, et al. ISNet: Integrate Image-Level and Semantic-Level Context for Semantic Segmentation. ICCV, pp. 7189–7198, 2021.</w:t>
      </w:r>
      <w:r>
        <w:t xml:space="preserve"> </w:t>
      </w:r>
      <w:hyperlink r:id="rId71">
        <w:r>
          <w:rPr>
            <w:rStyle w:val="Hyperlink"/>
          </w:rPr>
          <w:t xml:space="preserve">论文链接</w:t>
        </w:r>
      </w:hyperlink>
      <w:r>
        <w:t xml:space="preserve">.</w:t>
      </w:r>
    </w:p>
    <w:p>
      <w:pPr>
        <w:pStyle w:val="BodyText"/>
      </w:pPr>
      <w:r>
        <w:t xml:space="preserve">[27] Francesco Locatello, Dirk Weissenborn, Thomas Unterthiner, et al. Object-Centric Learning with Slot Attention. NeurIPS, 2020.</w:t>
      </w:r>
      <w:r>
        <w:t xml:space="preserve"> </w:t>
      </w:r>
      <w:hyperlink r:id="rId72">
        <w:r>
          <w:rPr>
            <w:rStyle w:val="Hyperlink"/>
          </w:rPr>
          <w:t xml:space="preserve">论文链接</w:t>
        </w:r>
      </w:hyperlink>
      <w:r>
        <w:t xml:space="preserve">.</w:t>
      </w:r>
    </w:p>
    <w:p>
      <w:pPr>
        <w:pStyle w:val="BodyText"/>
      </w:pPr>
      <w:r>
        <w:t xml:space="preserve">[28] Zhuo Zheng, Yanfei Zhong, Junjue Wang, et al. Foreground-Aware Relation Network for Geospatial Object Segmentation in High Spatial Resolution Remote Sensing Imagery. CVPR 2020, 2020.</w:t>
      </w:r>
      <w:r>
        <w:t xml:space="preserve"> </w:t>
      </w:r>
      <w:hyperlink r:id="rId73">
        <w:r>
          <w:rPr>
            <w:rStyle w:val="Hyperlink"/>
          </w:rPr>
          <w:t xml:space="preserve">论文链接</w:t>
        </w:r>
      </w:hyperlink>
      <w:r>
        <w:t xml:space="preserve">.</w:t>
      </w:r>
    </w:p>
    <w:p>
      <w:pPr>
        <w:pStyle w:val="BodyText"/>
      </w:pPr>
      <w:r>
        <w:t xml:space="preserve">[29] Jake Snell, Kevin Swersky, Richard Zemel. Prototypical Networks for Few-shot Learning. NeurIPS, 2017.</w:t>
      </w:r>
      <w:r>
        <w:t xml:space="preserve"> </w:t>
      </w:r>
      <w:hyperlink r:id="rId74">
        <w:r>
          <w:rPr>
            <w:rStyle w:val="Hyperlink"/>
          </w:rPr>
          <w:t xml:space="preserve">论文链接</w:t>
        </w:r>
      </w:hyperlink>
      <w:r>
        <w:t xml:space="preserve">.</w:t>
      </w:r>
    </w:p>
    <w:p>
      <w:pPr>
        <w:pStyle w:val="BodyText"/>
      </w:pPr>
      <w:r>
        <w:t xml:space="preserve">[30] Han-Jia Ye, Hexiang Hu, De-Chuan Zhan, et al. Few-Shot Learning via Embedding Adaptation with Set-to-Set Functions. CVPR, pp. 8808–8817, 2020.</w:t>
      </w:r>
      <w:r>
        <w:t xml:space="preserve"> </w:t>
      </w:r>
      <w:hyperlink r:id="rId75">
        <w:r>
          <w:rPr>
            <w:rStyle w:val="Hyperlink"/>
          </w:rPr>
          <w:t xml:space="preserve">论文链接</w:t>
        </w:r>
      </w:hyperlink>
      <w:r>
        <w:t xml:space="preserve">.</w:t>
      </w:r>
    </w:p>
    <w:p>
      <w:pPr>
        <w:pStyle w:val="BodyText"/>
      </w:pPr>
      <w:r>
        <w:t xml:space="preserve">[31] Zhenchao Jin, Dongdong Yu, Zehuan Yuan, et al. MCIBI++: Soft Mining Contextual Information Beyond Image for Semantic Segmentation. IEEE Transactions on Pattern Analysis and Machine Intelligence (early-access citation), 2022.</w:t>
      </w:r>
      <w:r>
        <w:t xml:space="preserve"> </w:t>
      </w:r>
      <w:hyperlink r:id="rId76">
        <w:r>
          <w:rPr>
            <w:rStyle w:val="Hyperlink"/>
          </w:rPr>
          <w:t xml:space="preserve">论文链接</w:t>
        </w:r>
      </w:hyperlink>
      <w:r>
        <w:t xml:space="preserve">.</w:t>
      </w:r>
    </w:p>
    <w:p>
      <w:pPr>
        <w:pStyle w:val="BodyText"/>
      </w:pPr>
      <w:r>
        <w:t xml:space="preserve">[32] Kaixin Wang, Jun Hao Liew, Yingtian Zou, et al. PANet: Few-Shot Image Semantic Segmentation With Prototype Alignment. ICCV, 2019.</w:t>
      </w:r>
      <w:r>
        <w:t xml:space="preserve"> </w:t>
      </w:r>
      <w:hyperlink r:id="rId77">
        <w:r>
          <w:rPr>
            <w:rStyle w:val="Hyperlink"/>
          </w:rPr>
          <w:t xml:space="preserve">论文链接</w:t>
        </w:r>
      </w:hyperlink>
      <w:r>
        <w:t xml:space="preserve">.</w:t>
      </w:r>
    </w:p>
    <w:p>
      <w:pPr>
        <w:pStyle w:val="BodyText"/>
      </w:pPr>
      <w:r>
        <w:t xml:space="preserve">[33] Zhuotao Tian, Hengshuang Zhao, Michelle Shu, et al. Prior Guided Feature Enrichment Network for Few-Shot Segmentation. IEEE Transactions on Pattern Analysis and Machine Intelligence (early-access citation), 2020.</w:t>
      </w:r>
      <w:r>
        <w:t xml:space="preserve"> </w:t>
      </w:r>
      <w:hyperlink r:id="rId78">
        <w:r>
          <w:rPr>
            <w:rStyle w:val="Hyperlink"/>
          </w:rPr>
          <w:t xml:space="preserve">论文链接</w:t>
        </w:r>
      </w:hyperlink>
      <w:r>
        <w:t xml:space="preserve">.</w:t>
      </w:r>
    </w:p>
    <w:p>
      <w:pPr>
        <w:pStyle w:val="BodyText"/>
      </w:pPr>
      <w:r>
        <w:t xml:space="preserve">[34] Juhong Min, Dahyun Kang, Minsu Cho. Hypercorrelation Squeeze for Few-Shot Segmentation. ICCV, 2021.</w:t>
      </w:r>
      <w:r>
        <w:t xml:space="preserve"> </w:t>
      </w:r>
      <w:hyperlink r:id="rId79">
        <w:r>
          <w:rPr>
            <w:rStyle w:val="Hyperlink"/>
          </w:rPr>
          <w:t xml:space="preserve">论文链接</w:t>
        </w:r>
      </w:hyperlink>
      <w:r>
        <w:t xml:space="preserve">.</w:t>
      </w:r>
    </w:p>
    <w:p>
      <w:pPr>
        <w:pStyle w:val="BodyText"/>
      </w:pPr>
      <w:r>
        <w:t xml:space="preserve">[35] Xun Wang, Haozhi Zhang, Weilin Huang, et al. Cross-Batch Memory for Embedding Learning. CVPR, 2020.</w:t>
      </w:r>
      <w:r>
        <w:t xml:space="preserve"> </w:t>
      </w:r>
      <w:hyperlink r:id="rId80">
        <w:r>
          <w:rPr>
            <w:rStyle w:val="Hyperlink"/>
          </w:rPr>
          <w:t xml:space="preserve">论文链接</w:t>
        </w:r>
      </w:hyperlink>
      <w:r>
        <w:t xml:space="preserve">.</w:t>
      </w:r>
    </w:p>
    <w:p>
      <w:pPr>
        <w:pStyle w:val="BodyText"/>
      </w:pPr>
      <w:r>
        <w:t xml:space="preserve">[36] Prannay Khosla, Piotr Teterwak, Chen Wang, et al. Supervised Contrastive Learning. NeurIPS, 2020.</w:t>
      </w:r>
      <w:r>
        <w:t xml:space="preserve"> </w:t>
      </w:r>
      <w:hyperlink r:id="rId81">
        <w:r>
          <w:rPr>
            <w:rStyle w:val="Hyperlink"/>
          </w:rPr>
          <w:t xml:space="preserve">论文链接</w:t>
        </w:r>
      </w:hyperlink>
      <w:r>
        <w:t xml:space="preserve">.</w:t>
      </w:r>
    </w:p>
    <w:p>
      <w:pPr>
        <w:pStyle w:val="BodyText"/>
      </w:pPr>
      <w:r>
        <w:t xml:space="preserve">[37] Ashish Vaswani, Noam Shazeer, Niki Parmar, et al. Attention Is All You Need. Advances in Neural Information Processing Systems 30, 2017.</w:t>
      </w:r>
      <w:r>
        <w:t xml:space="preserve"> </w:t>
      </w:r>
      <w:hyperlink r:id="rId82">
        <w:r>
          <w:rPr>
            <w:rStyle w:val="Hyperlink"/>
          </w:rPr>
          <w:t xml:space="preserve">论文链接</w:t>
        </w:r>
      </w:hyperlink>
      <w:r>
        <w:t xml:space="preserve">.</w:t>
      </w:r>
    </w:p>
    <w:p>
      <w:pPr>
        <w:pStyle w:val="BodyText"/>
      </w:pPr>
      <w:r>
        <w:t xml:space="preserve">[38] Maxim Berman, Amal Rannen Triki, Matthew B. Blaschko. The Lovász-Softmax Loss: A Tractable Surrogate for the Optimization of the Intersection-Over-Union Measure in Neural Networks. CVPR:4413–4421, 2018.</w:t>
      </w:r>
      <w:r>
        <w:t xml:space="preserve"> </w:t>
      </w:r>
      <w:hyperlink r:id="rId83">
        <w:r>
          <w:rPr>
            <w:rStyle w:val="Hyperlink"/>
          </w:rPr>
          <w:t xml:space="preserve">论文链接</w:t>
        </w:r>
      </w:hyperlink>
      <w:r>
        <w:t xml:space="preserve">.</w:t>
      </w:r>
    </w:p>
    <w:p>
      <w:pPr>
        <w:pStyle w:val="BodyText"/>
      </w:pPr>
      <w:r>
        <w:t xml:space="preserve">[39] Tsung-Yi Lin, Priya Goyal, Ross Girshick, et al. Focal Loss for Dense Object Detection. ICCV, 2017.</w:t>
      </w:r>
      <w:r>
        <w:t xml:space="preserve"> </w:t>
      </w:r>
      <w:hyperlink r:id="rId84">
        <w:r>
          <w:rPr>
            <w:rStyle w:val="Hyperlink"/>
          </w:rPr>
          <w:t xml:space="preserve">论文链接</w:t>
        </w:r>
      </w:hyperlink>
      <w:r>
        <w:t xml:space="preserve">.</w:t>
      </w:r>
    </w:p>
    <w:p>
      <w:pPr>
        <w:pStyle w:val="BodyText"/>
      </w:pPr>
      <w:r>
        <w:t xml:space="preserve">[40] Geoffrey Hinton, Oriol Vinyals, Jeff Dean. Distilling the Knowledge in a Neural Network. arXiv:1503.02531, 2015.</w:t>
      </w:r>
      <w:r>
        <w:t xml:space="preserve"> </w:t>
      </w:r>
      <w:hyperlink r:id="rId85">
        <w:r>
          <w:rPr>
            <w:rStyle w:val="Hyperlink"/>
          </w:rPr>
          <w:t xml:space="preserve">论文链接</w:t>
        </w:r>
      </w:hyperlink>
      <w:r>
        <w:t xml:space="preserve">.</w:t>
      </w:r>
    </w:p>
    <w:p>
      <w:pPr>
        <w:pStyle w:val="BodyText"/>
      </w:pPr>
      <w:r>
        <w:t xml:space="preserve">[41] Zhizhong Li, Derek Hoiem. Learning Without Forgetting. ECCV, 2016.</w:t>
      </w:r>
      <w:r>
        <w:t xml:space="preserve"> </w:t>
      </w:r>
      <w:hyperlink r:id="rId86">
        <w:r>
          <w:rPr>
            <w:rStyle w:val="Hyperlink"/>
          </w:rPr>
          <w:t xml:space="preserve">论文链接</w:t>
        </w:r>
      </w:hyperlink>
      <w:r>
        <w:t xml:space="preserve">.</w:t>
      </w:r>
    </w:p>
    <w:p>
      <w:pPr>
        <w:pStyle w:val="BodyText"/>
      </w:pPr>
      <w:r>
        <w:t xml:space="preserve">[42] Xuhong Li, Yves Grandvalet, Franck Davoine. Explicit Inductive Bias for Transfer Learning with Convolutional Networks. ICML, PMLR 80:2825–2834, 2018.</w:t>
      </w:r>
      <w:r>
        <w:t xml:space="preserve"> </w:t>
      </w:r>
      <w:hyperlink r:id="rId87">
        <w:r>
          <w:rPr>
            <w:rStyle w:val="Hyperlink"/>
          </w:rPr>
          <w:t xml:space="preserve">论文链接</w:t>
        </w:r>
      </w:hyperlink>
      <w:r>
        <w:t xml:space="preserve">.</w:t>
      </w:r>
    </w:p>
    <w:p>
      <w:pPr>
        <w:pStyle w:val="BodyText"/>
      </w:pPr>
      <w:r>
        <w:t xml:space="preserve">[43] Xingjian Li, Haoyi Xiong, Hanchao Wang, et al. DELTA: DEep Learning Transfer using Feature Map with Attention for Convolutional Networks. ICLR, 2019.</w:t>
      </w:r>
      <w:r>
        <w:t xml:space="preserve"> </w:t>
      </w:r>
      <w:hyperlink r:id="rId88">
        <w:r>
          <w:rPr>
            <w:rStyle w:val="Hyperlink"/>
          </w:rPr>
          <w:t xml:space="preserve">论文链接</w:t>
        </w:r>
      </w:hyperlink>
      <w:r>
        <w:t xml:space="preserve">.</w:t>
      </w:r>
    </w:p>
    <w:p>
      <w:pPr>
        <w:pStyle w:val="BodyText"/>
      </w:pPr>
      <w:r>
        <w:t xml:space="preserve">[44] Antti Tarvainen, Harri Valpola. Mean teachers are better role models: Weight-averaged consistency targets improve semi-supervised deep learning results. NeurIPS, 2017.</w:t>
      </w:r>
      <w:r>
        <w:t xml:space="preserve"> </w:t>
      </w:r>
      <w:hyperlink r:id="rId89">
        <w:r>
          <w:rPr>
            <w:rStyle w:val="Hyperlink"/>
          </w:rPr>
          <w:t xml:space="preserve">论文链接</w:t>
        </w:r>
      </w:hyperlink>
      <w:r>
        <w:t xml:space="preserve">.</w:t>
      </w:r>
    </w:p>
    <w:p>
      <w:pPr>
        <w:pStyle w:val="BodyText"/>
      </w:pPr>
      <w:r>
        <w:t xml:space="preserve">[45] Chuan Guo, Geoff Pleiss, Yu Sun, et al. On Calibration of Modern Neural Networks. ICML, PMLR 70:1321–1330, 2017.</w:t>
      </w:r>
      <w:r>
        <w:t xml:space="preserve"> </w:t>
      </w:r>
      <w:hyperlink r:id="rId90">
        <w:r>
          <w:rPr>
            <w:rStyle w:val="Hyperlink"/>
          </w:rPr>
          <w:t xml:space="preserve">论文链接</w:t>
        </w:r>
      </w:hyperlink>
      <w:r>
        <w:t xml:space="preserve">.</w:t>
      </w:r>
    </w:p>
    <w:p>
      <w:pPr>
        <w:pStyle w:val="BodyText"/>
      </w:pPr>
      <w:r>
        <w:t xml:space="preserve">[46] Yaniv Ovadia, Emily Fertig, Jie Ren, et al. Can You Trust Your Model’s Uncertainty? Evaluating Predictive Uncertainty Under Dataset Shift. NeurIPS, 2019.</w:t>
      </w:r>
      <w:r>
        <w:t xml:space="preserve"> </w:t>
      </w:r>
      <w:hyperlink r:id="rId91">
        <w:r>
          <w:rPr>
            <w:rStyle w:val="Hyperlink"/>
          </w:rPr>
          <w:t xml:space="preserve">论文链接</w:t>
        </w:r>
      </w:hyperlink>
      <w:r>
        <w:t xml:space="preserve">.</w:t>
      </w:r>
    </w:p>
    <w:p>
      <w:pPr>
        <w:pStyle w:val="BodyText"/>
      </w:pPr>
      <w:r>
        <w:t xml:space="preserve">[47] Ze Liu, Yutong Lin, Yue Cao, et al. Swin Transformer: Hierarchical Vision Transformer using Shifted Windows. ICCV, 2021.</w:t>
      </w:r>
      <w:r>
        <w:t xml:space="preserve"> </w:t>
      </w:r>
      <w:hyperlink r:id="rId92">
        <w:r>
          <w:rPr>
            <w:rStyle w:val="Hyperlink"/>
          </w:rPr>
          <w:t xml:space="preserve">论文链接</w:t>
        </w:r>
      </w:hyperlink>
      <w:r>
        <w:t xml:space="preserve">.</w:t>
      </w:r>
    </w:p>
    <w:p>
      <w:pPr>
        <w:pStyle w:val="BodyText"/>
      </w:pPr>
      <w:r>
        <w:t xml:space="preserve">[48] Enze Xie, Wenhai Wang, Zhiding Yu, et al. SegFormer: Simple and Efficient Design for Semantic Segmentation with Transformers. NeurIPS, 2021.</w:t>
      </w:r>
      <w:r>
        <w:t xml:space="preserve"> </w:t>
      </w:r>
      <w:hyperlink r:id="rId93">
        <w:r>
          <w:rPr>
            <w:rStyle w:val="Hyperlink"/>
          </w:rPr>
          <w:t xml:space="preserve">论文链接</w:t>
        </w:r>
      </w:hyperlink>
      <w:r>
        <w:t xml:space="preserve">.</w:t>
      </w:r>
    </w:p>
    <w:p>
      <w:pPr>
        <w:pStyle w:val="BodyText"/>
      </w:pPr>
      <w:r>
        <w:t xml:space="preserve">[49] Ilya Loshchilov, Frank Hutter. Decoupled Weight Decay Regularization. ICLR, 2019.</w:t>
      </w:r>
      <w:r>
        <w:t xml:space="preserve"> </w:t>
      </w:r>
      <w:hyperlink r:id="rId94">
        <w:r>
          <w:rPr>
            <w:rStyle w:val="Hyperlink"/>
          </w:rPr>
          <w:t xml:space="preserve">论文链接</w:t>
        </w:r>
      </w:hyperlink>
      <w:r>
        <w:t xml:space="preserve">.</w:t>
      </w:r>
    </w:p>
    <w:p>
      <w:pPr>
        <w:pStyle w:val="BodyText"/>
      </w:pPr>
      <w:r>
        <w:t xml:space="preserve">[50] Tianhe Yu, Saurabh Kumar, Abhishek Gupta, et al. Gradient Surgery for Multi-Task Learning. NeurIPS, 2020.</w:t>
      </w:r>
      <w:r>
        <w:t xml:space="preserve"> </w:t>
      </w:r>
      <w:hyperlink r:id="rId95">
        <w:r>
          <w:rPr>
            <w:rStyle w:val="Hyperlink"/>
          </w:rPr>
          <w:t xml:space="preserve">论文链接</w:t>
        </w:r>
      </w:hyperlink>
      <w:r>
        <w:t xml:space="preserve">.</w:t>
      </w:r>
    </w:p>
    <w:bookmarkEnd w:id="96"/>
    <w:bookmarkEnd w:id="97"/>
    <w:sectPr>
      <w:footerReference r:id="rId9" w:type="default"/>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Times New Roman" w:eastAsia="宋体" w:hAnsi="Times New Roman"/>
      <w:sz w:val="21"/>
    </w:rPr>
  </w:style>
  <w:style w:styleId="BodyText" w:type="paragraph">
    <w:name w:val="Body Text"/>
    <w:basedOn w:val="Normal"/>
    <w:link w:val="BodyTextChar"/>
    <w:qFormat/>
    <w:pPr>
      <w:spacing w:after="100" w:before="180" w:line="276" w:lineRule="auto"/>
    </w:pPr>
    <w:rPr>
      <w:rFonts w:ascii="Times New Roman" w:eastAsia="宋体" w:hAnsi="Times New Roman"/>
      <w:sz w:val="21"/>
    </w:rPr>
  </w:style>
  <w:style w:customStyle="1" w:styleId="FirstParagraph" w:type="paragraph">
    <w:name w:val="First Paragraph"/>
    <w:basedOn w:val="BodyText"/>
    <w:next w:val="BodyText"/>
    <w:qFormat/>
    <w:pPr>
      <w:spacing w:after="100" w:line="276" w:lineRule="auto"/>
    </w:pPr>
    <w:rPr>
      <w:rFonts w:ascii="Times New Roman" w:eastAsia="宋体" w:hAnsi="Times New Roman"/>
      <w:sz w:val="21"/>
    </w:rPr>
  </w:style>
  <w:style w:customStyle="1" w:styleId="Compact" w:type="paragraph">
    <w:name w:val="Compact"/>
    <w:basedOn w:val="BodyText"/>
    <w:qFormat/>
    <w:pPr>
      <w:spacing w:after="100" w:before="36" w:line="276" w:lineRule="auto"/>
    </w:pPr>
    <w:rPr>
      <w:rFonts w:ascii="Times New Roman" w:eastAsia="宋体" w:hAnsi="Times New Roman"/>
      <w:sz w:val="21"/>
    </w:rPr>
  </w:style>
  <w:style w:styleId="Title" w:type="paragraph">
    <w:name w:val="Title"/>
    <w:basedOn w:val="Normal"/>
    <w:next w:val="BodyText"/>
    <w:qFormat/>
    <w:pPr>
      <w:keepNext/>
      <w:keepLines/>
      <w:spacing w:after="120" w:before="240"/>
      <w:jc w:val="center"/>
    </w:pPr>
    <w:rPr>
      <w:rFonts w:ascii="Arial" w:asciiTheme="majorHAnsi" w:cstheme="majorBidi" w:eastAsia="黑体" w:eastAsiaTheme="majorEastAsia" w:hAnsi="Arial" w:hAnsiTheme="majorHAnsi"/>
      <w:b/>
      <w:bCs/>
      <w:color w:val="1C3557"/>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76" w:lineRule="auto"/>
    </w:pPr>
    <w:rPr>
      <w:rFonts w:ascii="Times New Roman" w:eastAsia="宋体" w:hAnsi="Times New Roman"/>
      <w:sz w:val="21"/>
    </w:rPr>
  </w:style>
  <w:style w:styleId="Heading1" w:type="paragraph">
    <w:name w:val="Heading 1"/>
    <w:basedOn w:val="Normal"/>
    <w:next w:val="BodyText"/>
    <w:uiPriority w:val="9"/>
    <w:qFormat/>
    <w:pPr>
      <w:keepNext/>
      <w:keepLines/>
      <w:spacing w:after="120" w:before="240"/>
      <w:outlineLvl w:val="0"/>
    </w:pPr>
    <w:rPr>
      <w:rFonts w:ascii="Arial" w:asciiTheme="majorHAnsi" w:cstheme="majorBidi" w:eastAsia="黑体" w:eastAsiaTheme="majorEastAsia" w:hAnsi="Arial" w:hAnsiTheme="majorHAnsi"/>
      <w:b/>
      <w:bCs/>
      <w:color w:val="1C3557"/>
      <w:sz w:val="28"/>
      <w:szCs w:val="32"/>
    </w:rPr>
  </w:style>
  <w:style w:styleId="Heading2" w:type="paragraph">
    <w:name w:val="Heading 2"/>
    <w:basedOn w:val="Normal"/>
    <w:next w:val="BodyText"/>
    <w:uiPriority w:val="9"/>
    <w:unhideWhenUsed/>
    <w:qFormat/>
    <w:pPr>
      <w:keepNext/>
      <w:keepLines/>
      <w:spacing w:after="120" w:before="240"/>
      <w:outlineLvl w:val="1"/>
    </w:pPr>
    <w:rPr>
      <w:rFonts w:ascii="Arial" w:asciiTheme="majorHAnsi" w:cstheme="majorBidi" w:eastAsia="黑体" w:eastAsiaTheme="majorEastAsia" w:hAnsi="Arial" w:hAnsiTheme="majorHAnsi"/>
      <w:b/>
      <w:bCs/>
      <w:color w:val="1C3557"/>
      <w:sz w:val="24"/>
      <w:szCs w:val="28"/>
    </w:rPr>
  </w:style>
  <w:style w:styleId="Heading3" w:type="paragraph">
    <w:name w:val="Heading 3"/>
    <w:basedOn w:val="Normal"/>
    <w:next w:val="BodyText"/>
    <w:uiPriority w:val="9"/>
    <w:unhideWhenUsed/>
    <w:qFormat/>
    <w:pPr>
      <w:keepNext/>
      <w:keepLines/>
      <w:spacing w:after="120" w:before="240"/>
      <w:outlineLvl w:val="2"/>
    </w:pPr>
    <w:rPr>
      <w:rFonts w:ascii="Arial" w:asciiTheme="majorHAnsi" w:cstheme="majorBidi" w:eastAsia="黑体" w:eastAsiaTheme="majorEastAsia" w:hAnsi="Arial" w:hAnsiTheme="majorHAnsi"/>
      <w:b/>
      <w:bCs/>
      <w:color w:val="1C3557"/>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00" w:before="0" w:line="276" w:lineRule="auto"/>
    </w:pPr>
    <w:rPr>
      <w:rFonts w:ascii="Times New Roman" w:eastAsia="宋体" w:hAnsi="Times New Roman"/>
      <w:i/>
      <w:sz w:val="21"/>
    </w:rPr>
  </w:style>
  <w:style w:customStyle="1" w:styleId="TableCaption" w:type="paragraph">
    <w:name w:val="Table Caption"/>
    <w:basedOn w:val="Caption"/>
    <w:pPr>
      <w:keepNext/>
      <w:spacing w:after="100" w:line="276" w:lineRule="auto"/>
    </w:pPr>
    <w:rPr>
      <w:rFonts w:ascii="Times New Roman" w:eastAsia="宋体" w:hAnsi="Times New Roman"/>
      <w:sz w:val="21"/>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85" Type="http://schemas.openxmlformats.org/officeDocument/2006/relationships/hyperlink" Target="https://arxiv.org/abs/1503.02531" TargetMode="External"/><Relationship Id="rId86" Type="http://schemas.openxmlformats.org/officeDocument/2006/relationships/hyperlink" Target="https://arxiv.org/abs/1606.09282" TargetMode="External"/><Relationship Id="rId69" Type="http://schemas.openxmlformats.org/officeDocument/2006/relationships/hyperlink" Target="https://arxiv.org/abs/1612.01105" TargetMode="External"/><Relationship Id="rId89" Type="http://schemas.openxmlformats.org/officeDocument/2006/relationships/hyperlink" Target="https://arxiv.org/abs/1703.01780" TargetMode="External"/><Relationship Id="rId83" Type="http://schemas.openxmlformats.org/officeDocument/2006/relationships/hyperlink" Target="https://arxiv.org/abs/1705.08790" TargetMode="External"/><Relationship Id="rId84" Type="http://schemas.openxmlformats.org/officeDocument/2006/relationships/hyperlink" Target="https://arxiv.org/abs/1708.02002" TargetMode="External"/><Relationship Id="rId94" Type="http://schemas.openxmlformats.org/officeDocument/2006/relationships/hyperlink" Target="https://arxiv.org/abs/1711.05101" TargetMode="External"/><Relationship Id="rId70" Type="http://schemas.openxmlformats.org/officeDocument/2006/relationships/hyperlink" Target="https://arxiv.org/abs/1711.07971" TargetMode="External"/><Relationship Id="rId75" Type="http://schemas.openxmlformats.org/officeDocument/2006/relationships/hyperlink" Target="https://arxiv.org/abs/1812.03664" TargetMode="External"/><Relationship Id="rId91" Type="http://schemas.openxmlformats.org/officeDocument/2006/relationships/hyperlink" Target="https://arxiv.org/abs/1906.02530" TargetMode="External"/><Relationship Id="rId77" Type="http://schemas.openxmlformats.org/officeDocument/2006/relationships/hyperlink" Target="https://arxiv.org/abs/1908.06391" TargetMode="External"/><Relationship Id="rId54" Type="http://schemas.openxmlformats.org/officeDocument/2006/relationships/hyperlink" Target="https://arxiv.org/abs/1909.11065" TargetMode="External"/><Relationship Id="rId80" Type="http://schemas.openxmlformats.org/officeDocument/2006/relationships/hyperlink" Target="https://arxiv.org/abs/1912.06798" TargetMode="External"/><Relationship Id="rId95" Type="http://schemas.openxmlformats.org/officeDocument/2006/relationships/hyperlink" Target="https://arxiv.org/abs/2001.06782" TargetMode="External"/><Relationship Id="rId52" Type="http://schemas.openxmlformats.org/officeDocument/2006/relationships/hyperlink" Target="https://arxiv.org/abs/2003.12929" TargetMode="External"/><Relationship Id="rId81" Type="http://schemas.openxmlformats.org/officeDocument/2006/relationships/hyperlink" Target="https://arxiv.org/abs/2004.11362" TargetMode="External"/><Relationship Id="rId72" Type="http://schemas.openxmlformats.org/officeDocument/2006/relationships/hyperlink" Target="https://arxiv.org/abs/2006.15055" TargetMode="External"/><Relationship Id="rId61" Type="http://schemas.openxmlformats.org/officeDocument/2006/relationships/hyperlink" Target="https://arxiv.org/abs/2007.01434" TargetMode="External"/><Relationship Id="rId78" Type="http://schemas.openxmlformats.org/officeDocument/2006/relationships/hyperlink" Target="https://arxiv.org/abs/2008.01449" TargetMode="External"/><Relationship Id="rId92" Type="http://schemas.openxmlformats.org/officeDocument/2006/relationships/hyperlink" Target="https://arxiv.org/abs/2103.14030" TargetMode="External"/><Relationship Id="rId79" Type="http://schemas.openxmlformats.org/officeDocument/2006/relationships/hyperlink" Target="https://arxiv.org/abs/2104.01538" TargetMode="External"/><Relationship Id="rId93" Type="http://schemas.openxmlformats.org/officeDocument/2006/relationships/hyperlink" Target="https://arxiv.org/abs/2105.15203" TargetMode="External"/><Relationship Id="rId58" Type="http://schemas.openxmlformats.org/officeDocument/2006/relationships/hyperlink" Target="https://arxiv.org/abs/2108.07002" TargetMode="External"/><Relationship Id="rId55" Type="http://schemas.openxmlformats.org/officeDocument/2006/relationships/hyperlink" Target="https://arxiv.org/abs/2108.11819" TargetMode="External"/><Relationship Id="rId71" Type="http://schemas.openxmlformats.org/officeDocument/2006/relationships/hyperlink" Target="https://arxiv.org/abs/2108.12382" TargetMode="External"/><Relationship Id="rId56" Type="http://schemas.openxmlformats.org/officeDocument/2006/relationships/hyperlink" Target="https://arxiv.org/abs/2207.09519" TargetMode="External"/><Relationship Id="rId76" Type="http://schemas.openxmlformats.org/officeDocument/2006/relationships/hyperlink" Target="https://arxiv.org/abs/2209.04471" TargetMode="External"/><Relationship Id="rId53" Type="http://schemas.openxmlformats.org/officeDocument/2006/relationships/hyperlink" Target="https://arxiv.org/abs/2211.11167" TargetMode="External"/><Relationship Id="rId66" Type="http://schemas.openxmlformats.org/officeDocument/2006/relationships/hyperlink" Target="https://doi.org/10.1109/IGARSS55030.2025.11243835" TargetMode="External"/><Relationship Id="rId60" Type="http://schemas.openxmlformats.org/officeDocument/2006/relationships/hyperlink" Target="https://doi.org/10.1109/TCSVT.2025.3643612" TargetMode="External"/><Relationship Id="rId57" Type="http://schemas.openxmlformats.org/officeDocument/2006/relationships/hyperlink" Target="https://doi.org/10.1109/TGRS.2021.3095166" TargetMode="External"/><Relationship Id="rId64" Type="http://schemas.openxmlformats.org/officeDocument/2006/relationships/hyperlink" Target="https://doi.org/10.1109/TGRS.2024.3361211" TargetMode="External"/><Relationship Id="rId59" Type="http://schemas.openxmlformats.org/officeDocument/2006/relationships/hyperlink" Target="https://doi.org/10.1109/TGRS.2024.3362795" TargetMode="External"/><Relationship Id="rId50" Type="http://schemas.openxmlformats.org/officeDocument/2006/relationships/hyperlink" Target="https://doi.org/10.1109/TGRS.2024.3417253" TargetMode="External"/><Relationship Id="rId47" Type="http://schemas.openxmlformats.org/officeDocument/2006/relationships/hyperlink" Target="https://doi.org/10.5194/essd-17-6217-2025" TargetMode="External"/><Relationship Id="rId63" Type="http://schemas.openxmlformats.org/officeDocument/2006/relationships/hyperlink" Target="https://doi.org/10.5194/isprs-annals-IV-2-W7-153-2019" TargetMode="External"/><Relationship Id="rId49" Type="http://schemas.openxmlformats.org/officeDocument/2006/relationships/hyperlink" Target="https://github.com/ChenHongruixuan/BRIGHT/blob/master/bda_benchmark/model/DamageFormer.py" TargetMode="External"/><Relationship Id="rId65" Type="http://schemas.openxmlformats.org/officeDocument/2006/relationships/hyperlink" Target="https://github.com/Henryjiepanli/Building-Guided-Pseudo-Label-Learning-for-Cross-Modal-Building-Damage-Mapping/blob/main/README.md" TargetMode="External"/><Relationship Id="rId68" Type="http://schemas.openxmlformats.org/officeDocument/2006/relationships/hyperlink" Target="https://github.com/achanta/SLIC" TargetMode="External"/><Relationship Id="rId67" Type="http://schemas.openxmlformats.org/officeDocument/2006/relationships/hyperlink" Target="https://github.com/zxqyiyang/DF2025" TargetMode="External"/><Relationship Id="rId46" Type="http://schemas.openxmlformats.org/officeDocument/2006/relationships/hyperlink" Target="https://openaccess.thecvf.com/content_CVPRW_2019/papers/cv4gc/Gupta_Creating_xBD_A_Dataset_for_Assessing_Building_Damage_from_Satellite_CVPRW_2019_paper.pdf" TargetMode="External"/><Relationship Id="rId73" Type="http://schemas.openxmlformats.org/officeDocument/2006/relationships/hyperlink" Target="https://openaccess.thecvf.com/content_CVPR_2020/html/Zheng_Foreground-Aware_Relation_Network_for_Geospatial_Object_Segmentation_in_High_Spatial_CVPR_2020_paper.html" TargetMode="External"/><Relationship Id="rId88" Type="http://schemas.openxmlformats.org/officeDocument/2006/relationships/hyperlink" Target="https://openreview.net/forum?id=rkgbwsAcYm" TargetMode="External"/><Relationship Id="rId74" Type="http://schemas.openxmlformats.org/officeDocument/2006/relationships/hyperlink" Target="https://papers.nips.cc/paper/6996-prototypical-networks-for-few-shot-learning" TargetMode="External"/><Relationship Id="rId82" Type="http://schemas.openxmlformats.org/officeDocument/2006/relationships/hyperlink" Target="https://papers.nips.cc/paper/7181-attention-is-all-you-need" TargetMode="External"/><Relationship Id="rId62" Type="http://schemas.openxmlformats.org/officeDocument/2006/relationships/hyperlink" Target="https://proceedings.mlr.press/v139/koh21a.html" TargetMode="External"/><Relationship Id="rId90" Type="http://schemas.openxmlformats.org/officeDocument/2006/relationships/hyperlink" Target="https://proceedings.mlr.press/v70/guo17a.html" TargetMode="External"/><Relationship Id="rId87" Type="http://schemas.openxmlformats.org/officeDocument/2006/relationships/hyperlink" Target="https://proceedings.mlr.press/v80/li18a.html" TargetMode="External"/><Relationship Id="rId51" Type="http://schemas.openxmlformats.org/officeDocument/2006/relationships/hyperlink" Target="https://varunjampani.github.io/ssn/" TargetMode="External"/><Relationship Id="rId48" Type="http://schemas.openxmlformats.org/officeDocument/2006/relationships/hyperlink" Target="https://www.sciencedirect.com/science/article/pii/S0034425721003564" TargetMode="External"/></Relationships>
</file>

<file path=word/_rels/footnotes.xml.rels><?xml version='1.0' encoding='UTF-8' standalone='yes'?>
<Relationships xmlns="http://schemas.openxmlformats.org/package/2006/relationships"><Relationship Id="rId85" Type="http://schemas.openxmlformats.org/officeDocument/2006/relationships/hyperlink" Target="https://arxiv.org/abs/1503.02531" TargetMode="External"/><Relationship Id="rId86" Type="http://schemas.openxmlformats.org/officeDocument/2006/relationships/hyperlink" Target="https://arxiv.org/abs/1606.09282" TargetMode="External"/><Relationship Id="rId69" Type="http://schemas.openxmlformats.org/officeDocument/2006/relationships/hyperlink" Target="https://arxiv.org/abs/1612.01105" TargetMode="External"/><Relationship Id="rId89" Type="http://schemas.openxmlformats.org/officeDocument/2006/relationships/hyperlink" Target="https://arxiv.org/abs/1703.01780" TargetMode="External"/><Relationship Id="rId83" Type="http://schemas.openxmlformats.org/officeDocument/2006/relationships/hyperlink" Target="https://arxiv.org/abs/1705.08790" TargetMode="External"/><Relationship Id="rId84" Type="http://schemas.openxmlformats.org/officeDocument/2006/relationships/hyperlink" Target="https://arxiv.org/abs/1708.02002" TargetMode="External"/><Relationship Id="rId94" Type="http://schemas.openxmlformats.org/officeDocument/2006/relationships/hyperlink" Target="https://arxiv.org/abs/1711.05101" TargetMode="External"/><Relationship Id="rId70" Type="http://schemas.openxmlformats.org/officeDocument/2006/relationships/hyperlink" Target="https://arxiv.org/abs/1711.07971" TargetMode="External"/><Relationship Id="rId75" Type="http://schemas.openxmlformats.org/officeDocument/2006/relationships/hyperlink" Target="https://arxiv.org/abs/1812.03664" TargetMode="External"/><Relationship Id="rId91" Type="http://schemas.openxmlformats.org/officeDocument/2006/relationships/hyperlink" Target="https://arxiv.org/abs/1906.02530" TargetMode="External"/><Relationship Id="rId77" Type="http://schemas.openxmlformats.org/officeDocument/2006/relationships/hyperlink" Target="https://arxiv.org/abs/1908.06391" TargetMode="External"/><Relationship Id="rId54" Type="http://schemas.openxmlformats.org/officeDocument/2006/relationships/hyperlink" Target="https://arxiv.org/abs/1909.11065" TargetMode="External"/><Relationship Id="rId80" Type="http://schemas.openxmlformats.org/officeDocument/2006/relationships/hyperlink" Target="https://arxiv.org/abs/1912.06798" TargetMode="External"/><Relationship Id="rId95" Type="http://schemas.openxmlformats.org/officeDocument/2006/relationships/hyperlink" Target="https://arxiv.org/abs/2001.06782" TargetMode="External"/><Relationship Id="rId52" Type="http://schemas.openxmlformats.org/officeDocument/2006/relationships/hyperlink" Target="https://arxiv.org/abs/2003.12929" TargetMode="External"/><Relationship Id="rId81" Type="http://schemas.openxmlformats.org/officeDocument/2006/relationships/hyperlink" Target="https://arxiv.org/abs/2004.11362" TargetMode="External"/><Relationship Id="rId72" Type="http://schemas.openxmlformats.org/officeDocument/2006/relationships/hyperlink" Target="https://arxiv.org/abs/2006.15055" TargetMode="External"/><Relationship Id="rId61" Type="http://schemas.openxmlformats.org/officeDocument/2006/relationships/hyperlink" Target="https://arxiv.org/abs/2007.01434" TargetMode="External"/><Relationship Id="rId78" Type="http://schemas.openxmlformats.org/officeDocument/2006/relationships/hyperlink" Target="https://arxiv.org/abs/2008.01449" TargetMode="External"/><Relationship Id="rId92" Type="http://schemas.openxmlformats.org/officeDocument/2006/relationships/hyperlink" Target="https://arxiv.org/abs/2103.14030" TargetMode="External"/><Relationship Id="rId79" Type="http://schemas.openxmlformats.org/officeDocument/2006/relationships/hyperlink" Target="https://arxiv.org/abs/2104.01538" TargetMode="External"/><Relationship Id="rId93" Type="http://schemas.openxmlformats.org/officeDocument/2006/relationships/hyperlink" Target="https://arxiv.org/abs/2105.15203" TargetMode="External"/><Relationship Id="rId58" Type="http://schemas.openxmlformats.org/officeDocument/2006/relationships/hyperlink" Target="https://arxiv.org/abs/2108.07002" TargetMode="External"/><Relationship Id="rId55" Type="http://schemas.openxmlformats.org/officeDocument/2006/relationships/hyperlink" Target="https://arxiv.org/abs/2108.11819" TargetMode="External"/><Relationship Id="rId71" Type="http://schemas.openxmlformats.org/officeDocument/2006/relationships/hyperlink" Target="https://arxiv.org/abs/2108.12382" TargetMode="External"/><Relationship Id="rId56" Type="http://schemas.openxmlformats.org/officeDocument/2006/relationships/hyperlink" Target="https://arxiv.org/abs/2207.09519" TargetMode="External"/><Relationship Id="rId76" Type="http://schemas.openxmlformats.org/officeDocument/2006/relationships/hyperlink" Target="https://arxiv.org/abs/2209.04471" TargetMode="External"/><Relationship Id="rId53" Type="http://schemas.openxmlformats.org/officeDocument/2006/relationships/hyperlink" Target="https://arxiv.org/abs/2211.11167" TargetMode="External"/><Relationship Id="rId66" Type="http://schemas.openxmlformats.org/officeDocument/2006/relationships/hyperlink" Target="https://doi.org/10.1109/IGARSS55030.2025.11243835" TargetMode="External"/><Relationship Id="rId60" Type="http://schemas.openxmlformats.org/officeDocument/2006/relationships/hyperlink" Target="https://doi.org/10.1109/TCSVT.2025.3643612" TargetMode="External"/><Relationship Id="rId57" Type="http://schemas.openxmlformats.org/officeDocument/2006/relationships/hyperlink" Target="https://doi.org/10.1109/TGRS.2021.3095166" TargetMode="External"/><Relationship Id="rId64" Type="http://schemas.openxmlformats.org/officeDocument/2006/relationships/hyperlink" Target="https://doi.org/10.1109/TGRS.2024.3361211" TargetMode="External"/><Relationship Id="rId59" Type="http://schemas.openxmlformats.org/officeDocument/2006/relationships/hyperlink" Target="https://doi.org/10.1109/TGRS.2024.3362795" TargetMode="External"/><Relationship Id="rId50" Type="http://schemas.openxmlformats.org/officeDocument/2006/relationships/hyperlink" Target="https://doi.org/10.1109/TGRS.2024.3417253" TargetMode="External"/><Relationship Id="rId47" Type="http://schemas.openxmlformats.org/officeDocument/2006/relationships/hyperlink" Target="https://doi.org/10.5194/essd-17-6217-2025" TargetMode="External"/><Relationship Id="rId63" Type="http://schemas.openxmlformats.org/officeDocument/2006/relationships/hyperlink" Target="https://doi.org/10.5194/isprs-annals-IV-2-W7-153-2019" TargetMode="External"/><Relationship Id="rId49" Type="http://schemas.openxmlformats.org/officeDocument/2006/relationships/hyperlink" Target="https://github.com/ChenHongruixuan/BRIGHT/blob/master/bda_benchmark/model/DamageFormer.py" TargetMode="External"/><Relationship Id="rId65" Type="http://schemas.openxmlformats.org/officeDocument/2006/relationships/hyperlink" Target="https://github.com/Henryjiepanli/Building-Guided-Pseudo-Label-Learning-for-Cross-Modal-Building-Damage-Mapping/blob/main/README.md" TargetMode="External"/><Relationship Id="rId68" Type="http://schemas.openxmlformats.org/officeDocument/2006/relationships/hyperlink" Target="https://github.com/achanta/SLIC" TargetMode="External"/><Relationship Id="rId67" Type="http://schemas.openxmlformats.org/officeDocument/2006/relationships/hyperlink" Target="https://github.com/zxqyiyang/DF2025" TargetMode="External"/><Relationship Id="rId46" Type="http://schemas.openxmlformats.org/officeDocument/2006/relationships/hyperlink" Target="https://openaccess.thecvf.com/content_CVPRW_2019/papers/cv4gc/Gupta_Creating_xBD_A_Dataset_for_Assessing_Building_Damage_from_Satellite_CVPRW_2019_paper.pdf" TargetMode="External"/><Relationship Id="rId73" Type="http://schemas.openxmlformats.org/officeDocument/2006/relationships/hyperlink" Target="https://openaccess.thecvf.com/content_CVPR_2020/html/Zheng_Foreground-Aware_Relation_Network_for_Geospatial_Object_Segmentation_in_High_Spatial_CVPR_2020_paper.html" TargetMode="External"/><Relationship Id="rId88" Type="http://schemas.openxmlformats.org/officeDocument/2006/relationships/hyperlink" Target="https://openreview.net/forum?id=rkgbwsAcYm" TargetMode="External"/><Relationship Id="rId74" Type="http://schemas.openxmlformats.org/officeDocument/2006/relationships/hyperlink" Target="https://papers.nips.cc/paper/6996-prototypical-networks-for-few-shot-learning" TargetMode="External"/><Relationship Id="rId82" Type="http://schemas.openxmlformats.org/officeDocument/2006/relationships/hyperlink" Target="https://papers.nips.cc/paper/7181-attention-is-all-you-need" TargetMode="External"/><Relationship Id="rId62" Type="http://schemas.openxmlformats.org/officeDocument/2006/relationships/hyperlink" Target="https://proceedings.mlr.press/v139/koh21a.html" TargetMode="External"/><Relationship Id="rId90" Type="http://schemas.openxmlformats.org/officeDocument/2006/relationships/hyperlink" Target="https://proceedings.mlr.press/v70/guo17a.html" TargetMode="External"/><Relationship Id="rId87" Type="http://schemas.openxmlformats.org/officeDocument/2006/relationships/hyperlink" Target="https://proceedings.mlr.press/v80/li18a.html" TargetMode="External"/><Relationship Id="rId51" Type="http://schemas.openxmlformats.org/officeDocument/2006/relationships/hyperlink" Target="https://varunjampani.github.io/ssn/" TargetMode="External"/><Relationship Id="rId48" Type="http://schemas.openxmlformats.org/officeDocument/2006/relationships/hyperlink" Target="https://www.sciencedirect.com/science/article/pii/S00344257210035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2026-10-18T15:30:43Z</dcterms:created>
  <dcterms:modified xsi:type="dcterms:W3CDTF">2026-10-18T15:30:43Z</dcterms:modified>
</cp:coreProperties>
</file>

<file path=docProps/custom.xml><?xml version="1.0" encoding="utf-8"?>
<Properties xmlns="http://schemas.openxmlformats.org/officeDocument/2006/custom-properties" xmlns:vt="http://schemas.openxmlformats.org/officeDocument/2006/docPropsVTypes"/>
</file>