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sz w:val="20"/>
        </w:rPr>
        <w:t>旧局部图件归档与使用边界</w:t>
      </w:r>
    </w:p>
    <w:p>
      <w:r>
        <w:rPr>
          <w:rFonts w:ascii="Times New Roman" w:hAnsi="Times New Roman" w:eastAsia="宋体"/>
          <w:sz w:val="20"/>
        </w:rPr>
        <w:t>本文件保存原稿图8–10。图片未改动，内嵌数字是历史选定样例的局部分数，不是本次重新核验的总体成绩；不作为主稿完整方法结果。</w:t>
      </w:r>
    </w:p>
    <w:p>
      <w:r>
        <w:rPr>
          <w:rFonts w:ascii="Times New Roman" w:hAnsi="Times New Roman" w:eastAsia="宋体"/>
          <w:sz w:val="20"/>
        </w:rPr>
        <w:t>原图Ours (A1)按原稿对应MPF。正式使用前，绑定原始预测、GT、裁窗和检查点；重算相同范围的指标，并为“最大收益”选样补充持平与下降样例。蓝框是人工选取的诊断窗口，不是学习得到的区域。</w:t>
      </w:r>
    </w:p>
    <w:p>
      <w:pPr>
        <w:pageBreakBefore/>
        <w:jc w:val="center"/>
      </w:pPr>
      <w:r>
        <w:rPr>
          <w:rFonts w:ascii="Times New Roman" w:hAnsi="Times New Roman" w:eastAsia="宋体"/>
          <w:sz w:val="20"/>
        </w:rPr>
        <w:drawing>
          <wp:inline xmlns:a="http://schemas.openxmlformats.org/drawingml/2006/main" xmlns:pic="http://schemas.openxmlformats.org/drawingml/2006/picture">
            <wp:extent cx="8640000" cy="452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52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0"/>
        </w:rPr>
        <w:t>归档图1　能登地震前景类别局部对照。原图全部像素和文字保留；印刷分数仍待同窗口原始数据核对。</w:t>
      </w:r>
    </w:p>
    <w:p>
      <w:pPr>
        <w:pageBreakBefore/>
        <w:jc w:val="center"/>
      </w:pPr>
      <w:r>
        <w:rPr>
          <w:rFonts w:ascii="Times New Roman" w:hAnsi="Times New Roman" w:eastAsia="宋体"/>
          <w:sz w:val="20"/>
        </w:rPr>
        <w:drawing>
          <wp:inline xmlns:a="http://schemas.openxmlformats.org/drawingml/2006/main" xmlns:pic="http://schemas.openxmlformats.org/drawingml/2006/picture">
            <wp:extent cx="8640000" cy="4527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52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0"/>
        </w:rPr>
        <w:t>归档图2　土耳其地震受损类别局部对照。原图全部像素和文字保留；印刷分数仍待同窗口原始数据核对。</w:t>
      </w:r>
    </w:p>
    <w:p>
      <w:pPr>
        <w:pageBreakBefore/>
        <w:jc w:val="center"/>
      </w:pPr>
      <w:r>
        <w:rPr>
          <w:rFonts w:ascii="Times New Roman" w:hAnsi="Times New Roman" w:eastAsia="宋体"/>
          <w:sz w:val="20"/>
        </w:rPr>
        <w:drawing>
          <wp:inline xmlns:a="http://schemas.openxmlformats.org/drawingml/2006/main" xmlns:pic="http://schemas.openxmlformats.org/drawingml/2006/picture">
            <wp:extent cx="8640000" cy="4527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52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0"/>
        </w:rPr>
        <w:t>归档图3　缅甸气旋窗口局部对照。原图全部像素和文字保留；印刷分数仍待同窗口原始数据核对。</w:t>
      </w:r>
    </w:p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