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A58F27">
      <w:pPr>
        <w:pStyle w:val="31"/>
        <w:jc w:val="center"/>
        <w:rPr>
          <w:rFonts w:hint="eastAsia" w:ascii="宋体" w:hAnsi="宋体" w:eastAsia="宋体" w:cs="宋体"/>
        </w:rPr>
      </w:pPr>
      <w:r>
        <w:rPr>
          <w:rFonts w:hint="eastAsia" w:ascii="宋体" w:hAnsi="宋体" w:eastAsia="宋体" w:cs="宋体"/>
        </w:rPr>
        <w:t>面向光学–SAR建筑损毁评估的</w:t>
      </w:r>
      <w:r>
        <w:rPr>
          <w:rFonts w:hint="eastAsia" w:ascii="宋体" w:hAnsi="宋体" w:eastAsia="宋体" w:cs="宋体"/>
        </w:rPr>
        <w:br w:type="textWrapping"/>
      </w:r>
      <w:r>
        <w:rPr>
          <w:rFonts w:hint="eastAsia" w:ascii="宋体" w:hAnsi="宋体" w:eastAsia="宋体" w:cs="宋体"/>
        </w:rPr>
        <w:t>结构条件区域编码与跨事件检索</w:t>
      </w:r>
    </w:p>
    <w:p w14:paraId="7D31518B">
      <w:pPr>
        <w:pStyle w:val="164"/>
        <w:rPr>
          <w:rFonts w:hint="eastAsia" w:ascii="宋体" w:hAnsi="宋体" w:eastAsia="宋体" w:cs="宋体"/>
        </w:rPr>
      </w:pPr>
      <w:r>
        <w:rPr>
          <w:rFonts w:ascii="Times New Roman" w:hAnsi="Times New Roman" w:eastAsia="宋体"/>
        </w:rPr>
        <w:t>摘要—灾前光学影像与灾后合成孔径雷达（SAR）影像为建筑损毁评估提供互补观测，但区域组织和支持选择仍面临任务相关性不足的问题。本文构建建筑结构约束与跨事件监督检索相结合的光学–SAR建筑损毁评估框架。首先，在局部软归属中引入预测建筑概率的连续相容项，约束建筑与背景的区域组织；其次，利用建筑概率、软归属相容变化和归属熵对融合内容进行残差适配，并结合适配前统计与软几何形成区域表示；最后，在固定区域表示上利用跨事件类别关系学习检索投影。投影仅调整支持记录的选择，读取器仍使用原始支持特征、训练标签组成及元数据。增强区域特征经同一软归属回投，与像素特征联合输出四类预测。实验在BRIGHT上分别评价总体分类、区域组织、支持相关性及事件差异，并以条件消融、参数化支持对照和固定读取器的邻居替换检验各环节作用。完整方法的四类mIoU为    ，前景mIoU为    ；最终数值由统一结果记录回填。</w:t>
      </w:r>
    </w:p>
    <w:p w14:paraId="7618B83C">
      <w:pPr>
        <w:pStyle w:val="164"/>
        <w:rPr>
          <w:rFonts w:hint="eastAsia" w:ascii="宋体" w:hAnsi="宋体" w:eastAsia="宋体" w:cs="宋体"/>
        </w:rPr>
      </w:pPr>
      <w:r>
        <w:rPr>
          <w:rFonts w:hint="eastAsia" w:ascii="宋体" w:hAnsi="宋体" w:eastAsia="宋体" w:cs="宋体"/>
          <w:b/>
        </w:rPr>
        <w:t>关键词：</w:t>
      </w:r>
      <w:r>
        <w:rPr>
          <w:rFonts w:hint="eastAsia" w:ascii="宋体" w:hAnsi="宋体" w:eastAsia="宋体" w:cs="宋体"/>
        </w:rPr>
        <w:t>建筑损毁评估；光学–SAR遥感；建筑软分区；结构条件特征适配；跨事件区域检索</w:t>
      </w:r>
    </w:p>
    <w:p w14:paraId="79E28A03">
      <w:pPr>
        <w:pStyle w:val="3"/>
        <w:keepNext/>
        <w:rPr>
          <w:rFonts w:hint="eastAsia" w:ascii="宋体" w:hAnsi="宋体" w:eastAsia="宋体" w:cs="宋体"/>
        </w:rPr>
      </w:pPr>
      <w:r>
        <w:rPr>
          <w:rFonts w:hint="eastAsia" w:ascii="宋体" w:hAnsi="宋体" w:eastAsia="宋体" w:cs="宋体"/>
        </w:rPr>
        <w:t>I. 引言</w:t>
      </w:r>
    </w:p>
    <w:p w14:paraId="3B44B6DE">
      <w:pPr>
        <w:widowControl/>
        <w:rPr>
          <w:rFonts w:hint="eastAsia" w:ascii="宋体" w:hAnsi="宋体" w:eastAsia="宋体" w:cs="宋体"/>
        </w:rPr>
      </w:pPr>
      <w:r>
        <w:rPr>
          <w:rFonts w:hint="eastAsia" w:ascii="宋体" w:hAnsi="宋体" w:eastAsia="宋体" w:cs="宋体"/>
        </w:rPr>
        <w:t>建筑损毁的位置和程度是灾后应急响应所需的空间信息。xBD推动了灾前、灾后光学影像中的建筑定位和损毁分级研究[1]。灾后光学影像受云雾、光照和获取时机限制，灾前光学与灾后SAR的组合为连续观测提供了另一条路径。BRIGHT基于这种观测组合提供多灾害事件的建筑损毁评测数据[2]。在该任务中，模型需要从灾前影像判断建筑结构，并结合灾后SAR响应输出背景、完好、受损和毁坏四类像素结果。BRIGHT在本文中只用于评测，不是新的数据集贡献。</w:t>
      </w:r>
    </w:p>
    <w:p w14:paraId="2C997B24">
      <w:pPr>
        <w:widowControl/>
        <w:rPr>
          <w:rFonts w:hint="eastAsia" w:ascii="宋体" w:hAnsi="宋体" w:eastAsia="宋体" w:cs="宋体"/>
        </w:rPr>
      </w:pPr>
      <w:r>
        <w:rPr>
          <w:rFonts w:hint="eastAsia" w:ascii="宋体" w:hAnsi="宋体" w:eastAsia="宋体" w:cs="宋体"/>
        </w:rPr>
        <w:t>已有方法分别从对象、像素和区域层组织损毁证据。ChangeOS把建筑对象信息与等级判断联系起来[3]；可微超像素方法使像素与区域之间的关联可以随任务学习[4]；对象上下文表示把区域特征再用于像素预测[5]。这些研究说明区域汇总和回投可以作为技术基础，但并未直接回答本文的三个设计问题：建筑预测应如何影响当前区域的成员，已形成区域的状态应如何改变融合内容，以及训练事件中的历史区域应按什么关系被检索。</w:t>
      </w:r>
    </w:p>
    <w:p w14:paraId="67FD1E1B">
      <w:pPr>
        <w:widowControl/>
        <w:rPr>
          <w:rFonts w:hint="eastAsia" w:ascii="宋体" w:hAnsi="宋体" w:eastAsia="宋体" w:cs="宋体"/>
        </w:rPr>
      </w:pPr>
      <w:r>
        <w:rPr>
          <w:rFonts w:hint="eastAsia" w:ascii="宋体" w:hAnsi="宋体" w:eastAsia="宋体" w:cs="宋体"/>
        </w:rPr>
        <w:t>第一个问题出现在区域归属阶段。灾前光学特征能够描述局部形态，空间距离能够限制区域范围，但仅凭二者组织的区域可能跨越建筑与背景。预测建筑概率包含更直接的结构线索，同时也可能出现误检或漏检。因而本文让建筑概率以连续相容项进入局部归属计算，而不将其阈值化为不可调整的硬边界。第二个问题出现在区域内容阶段。即使成员由软归属确定，同一区域内的边缘位置和归属分散位置仍可能具有不同的判别价值；仅改变Q而不改变融合特征，不能检验分区状态是否有助于区域表示。第三个问题出现在历史支持阶段：区域特征的外观近邻未必是损毁等级相关的邻居，特别是在不同事件之间。</w:t>
      </w:r>
    </w:p>
    <w:p w14:paraId="033C02C6">
      <w:pPr>
        <w:widowControl/>
        <w:rPr>
          <w:rFonts w:hint="eastAsia" w:ascii="宋体" w:hAnsi="宋体" w:eastAsia="宋体" w:cs="宋体"/>
        </w:rPr>
      </w:pPr>
      <w:r>
        <w:rPr>
          <w:rFonts w:hint="eastAsia" w:ascii="宋体" w:hAnsi="宋体" w:eastAsia="宋体" w:cs="宋体"/>
        </w:rPr>
        <w:t>围绕这三个问题，本文按“区域成员—区域内容—历史支持”的顺序构建模型。灾前光学描述子和预测建筑概率共同生成局部软归属Q；建筑概率、相邻位置的软归属差异及归属熵再作为条件，对光学–SAR融合特征作残差适配。区域嵌入汇集适配内容、适配前的特征统计和软几何。在固定区域表示上，利用训练区域的跨事件同类与异类关系学习检索投影；投影只改变邻居ID，支持读取仍使用原始区域特征、训练标签组成及元数据。最后，增强区域特征经同一Q回投，与保留的像素特征共同分类。区域回投及像素联合头承担读出功能，不单列为方法创新。</w:t>
      </w:r>
    </w:p>
    <w:p w14:paraId="086994A4">
      <w:pPr>
        <w:widowControl/>
        <w:rPr>
          <w:rFonts w:hint="eastAsia" w:ascii="宋体" w:hAnsi="宋体" w:eastAsia="宋体" w:cs="宋体"/>
        </w:rPr>
      </w:pPr>
      <w:r>
        <w:t>围绕三个设计环节，本文构建由总体比较、区域组织与内容适配消融、历史支持与排序对照、检索质量、事件表现和配对案例组成的验证链。区域组织指标与最终分割指标分别报告，检索相关度与分类收益分别分析。所有结果表保留原始计数的可追溯来源，避免将递进配置的差值直接解释为单个模块的独立作用。</w:t>
      </w:r>
    </w:p>
    <w:p w14:paraId="42566789">
      <w:pPr>
        <w:widowControl/>
        <w:rPr>
          <w:rFonts w:hint="eastAsia" w:ascii="宋体" w:hAnsi="宋体" w:eastAsia="宋体" w:cs="宋体"/>
        </w:rPr>
      </w:pPr>
      <w:r>
        <w:t>本文研究三项相衔接的方法设计：（1）建筑概率约束的局部软分区，在外观亲和与空间约束之外调节像素—区域归属；（2）分区状态条件的内容适配，以建筑概率、软归属相容变化和归属熵调整融合内容，同时保留适配前统计路径；（3）跨事件类别监督的支持排序，在固定区域内容上学习检索投影，并保持原始支持读取路径。上述环节的独立作用与交互由控制实验评价，不预设每一环节均具有正向增益。第II节介绍相关工作，第III节给出方法，第IV节按统一协议组织验证，第V节总结方法及适用边界。</w:t>
      </w:r>
    </w:p>
    <w:p w14:paraId="2C581EAA">
      <w:pPr>
        <w:pStyle w:val="3"/>
        <w:keepNext/>
        <w:rPr>
          <w:rFonts w:hint="eastAsia" w:ascii="宋体" w:hAnsi="宋体" w:eastAsia="宋体" w:cs="宋体"/>
        </w:rPr>
      </w:pPr>
      <w:r>
        <w:rPr>
          <w:rFonts w:hint="eastAsia" w:ascii="宋体" w:hAnsi="宋体" w:eastAsia="宋体" w:cs="宋体"/>
        </w:rPr>
        <w:t>II. 相关工作</w:t>
      </w:r>
    </w:p>
    <w:p w14:paraId="4A80AA40">
      <w:pPr>
        <w:pStyle w:val="4"/>
        <w:keepNext/>
        <w:rPr>
          <w:rFonts w:hint="eastAsia" w:ascii="宋体" w:hAnsi="宋体" w:eastAsia="宋体" w:cs="宋体"/>
        </w:rPr>
      </w:pPr>
      <w:r>
        <w:rPr>
          <w:rFonts w:hint="eastAsia" w:ascii="宋体" w:hAnsi="宋体" w:eastAsia="宋体" w:cs="宋体"/>
        </w:rPr>
        <w:t>A. 建筑损毁评估与光学–SAR融合</w:t>
      </w:r>
    </w:p>
    <w:p w14:paraId="60E7A3D8">
      <w:pPr>
        <w:widowControl/>
        <w:rPr>
          <w:rFonts w:hint="eastAsia" w:ascii="宋体" w:hAnsi="宋体" w:eastAsia="宋体" w:cs="宋体"/>
        </w:rPr>
      </w:pPr>
      <w:r>
        <w:rPr>
          <w:rFonts w:hint="eastAsia" w:ascii="宋体" w:hAnsi="宋体" w:eastAsia="宋体" w:cs="宋体"/>
        </w:rPr>
        <w:t>建筑损毁评估通常同时涉及建筑位置和损毁状态。xBD提供灾前与灾后光学影像及损毁标注[1]；ChangeOS利用对象语义变化信息辅助建筑损毁判断[3]。双任务孪生Transformer联合研究建筑定位与损毁分级[6]，ChangeMamba的MambaBDA设置探索状态空间表征用于建筑损毁评估[7]。这些方法构成本文像素前端及任务设置的背景，但输入模态和区域机制并不完全相同，不能仅凭模型名称判断优劣。</w:t>
      </w:r>
    </w:p>
    <w:p w14:paraId="6B3F7D1E">
      <w:pPr>
        <w:widowControl/>
        <w:rPr>
          <w:rFonts w:hint="eastAsia" w:ascii="宋体" w:hAnsi="宋体" w:eastAsia="宋体" w:cs="宋体"/>
        </w:rPr>
      </w:pPr>
      <w:r>
        <w:rPr>
          <w:rFonts w:hint="eastAsia" w:ascii="宋体" w:hAnsi="宋体" w:eastAsia="宋体" w:cs="宋体"/>
        </w:rPr>
        <w:t>BRIGHT以灾前光学和灾后SAR观测建立多事件建筑损毁评测任务[2]。在相近模态设置下，ADSFNet将灾前定位特征用于损毁分支，并研究自适应融合[8]。因此，建筑先验本身不是本文的新概念。本文要比较的是其具体作用位置：预测建筑概率进入软区域归属，分区状态进入已融合特征的内容适配；两种操作须分别验证。</w:t>
      </w:r>
    </w:p>
    <w:p w14:paraId="51E13AB3">
      <w:pPr>
        <w:pStyle w:val="4"/>
        <w:keepNext/>
        <w:rPr>
          <w:rFonts w:hint="eastAsia" w:ascii="宋体" w:hAnsi="宋体" w:eastAsia="宋体" w:cs="宋体"/>
        </w:rPr>
      </w:pPr>
      <w:r>
        <w:rPr>
          <w:rFonts w:hint="eastAsia" w:ascii="宋体" w:hAnsi="宋体" w:eastAsia="宋体" w:cs="宋体"/>
        </w:rPr>
        <w:t>B. 建筑先验与可学习软分区</w:t>
      </w:r>
    </w:p>
    <w:p w14:paraId="5DF5FECD">
      <w:pPr>
        <w:widowControl/>
        <w:rPr>
          <w:rFonts w:hint="eastAsia" w:ascii="宋体" w:hAnsi="宋体" w:eastAsia="宋体" w:cs="宋体"/>
        </w:rPr>
      </w:pPr>
      <w:r>
        <w:rPr>
          <w:rFonts w:hint="eastAsia" w:ascii="宋体" w:hAnsi="宋体" w:eastAsia="宋体" w:cs="宋体"/>
        </w:rPr>
        <w:t>SLIC在颜色与空间位置的联合空间内构造超像素[9]。SSN将超像素关联更新改为可微过程，使区域组织能够由下游任务学习[4]；全卷积超像素方法直接预测局部关联[10]。Superpixel Transformers进一步研究区域和像素特征的交换[11]。这些工作已经建立局部软关联、区域汇总与回投的基本技术路径，本文不把“使用超像素”本身列为贡献。</w:t>
      </w:r>
    </w:p>
    <w:p w14:paraId="089EB2A4">
      <w:pPr>
        <w:widowControl/>
      </w:pPr>
      <w:r>
        <w:t>对象先验指导超像素已有相关研究，例如Superpixel Anything将对象掩膜与可学习超像素结合[20]。因此本文不将对象先验本身作为首创，而检验预测建筑概率进入局部相容项的具体作用，并以区域预算、有效区域数和最终分类共同约束解释。</w:t>
      </w:r>
    </w:p>
    <w:p w14:paraId="2375619C">
      <w:pPr>
        <w:widowControl/>
        <w:rPr>
          <w:rFonts w:hint="eastAsia" w:ascii="宋体" w:hAnsi="宋体" w:eastAsia="宋体" w:cs="宋体"/>
        </w:rPr>
      </w:pPr>
      <w:r>
        <w:rPr>
          <w:rFonts w:hint="eastAsia" w:ascii="宋体" w:hAnsi="宋体" w:eastAsia="宋体" w:cs="宋体"/>
        </w:rPr>
        <w:t>本文在这一路径中加入预测建筑概率的软相容项，研究结构线索能否改善损毁任务中的区域归属。相容性来自模型预测，而非测试标签或建筑实例轮廓；它影响归属权重Q，但不能保证每个区域都对应单栋建筑。因此分区质量需结合混合区域和最终损毁分类评价，不能只展示更整齐的边界。</w:t>
      </w:r>
    </w:p>
    <w:p w14:paraId="16581E9B">
      <w:pPr>
        <w:pStyle w:val="4"/>
        <w:keepNext/>
        <w:rPr>
          <w:rFonts w:hint="eastAsia" w:ascii="宋体" w:hAnsi="宋体" w:eastAsia="宋体" w:cs="宋体"/>
        </w:rPr>
      </w:pPr>
      <w:r>
        <w:rPr>
          <w:rFonts w:hint="eastAsia" w:ascii="宋体" w:hAnsi="宋体" w:eastAsia="宋体" w:cs="宋体"/>
        </w:rPr>
        <w:t>C. 区域内容表征与像素上下文</w:t>
      </w:r>
    </w:p>
    <w:p w14:paraId="5896BA1B">
      <w:pPr>
        <w:widowControl/>
        <w:rPr>
          <w:rFonts w:hint="eastAsia" w:ascii="宋体" w:hAnsi="宋体" w:eastAsia="宋体" w:cs="宋体"/>
        </w:rPr>
      </w:pPr>
      <w:r>
        <w:rPr>
          <w:rFonts w:hint="eastAsia" w:ascii="宋体" w:hAnsi="宋体" w:eastAsia="宋体" w:cs="宋体"/>
        </w:rPr>
        <w:t>OCR在软对象区域内汇聚特征，再用对象上下文增强像素表示[5]；Superpixel Transformers也研究像素与区域之间的表示交换[11]。注意力加权统计池化在其他表征任务中已有研究[12]。由此，注意力汇总、均值和标准差以及区域回投都不是本文单独主张的新算子。</w:t>
      </w:r>
    </w:p>
    <w:p w14:paraId="6910D84C">
      <w:pPr>
        <w:widowControl/>
        <w:rPr>
          <w:rFonts w:hint="eastAsia" w:ascii="宋体" w:hAnsi="宋体" w:eastAsia="宋体" w:cs="宋体"/>
        </w:rPr>
      </w:pPr>
      <w:r>
        <w:rPr>
          <w:rFonts w:hint="eastAsia" w:ascii="宋体" w:hAnsi="宋体" w:eastAsia="宋体" w:cs="宋体"/>
        </w:rPr>
        <w:t>本文关注软分区形成之后的信息使用方式。建筑概率反映预测的结构状态，相邻软归属差异b(Q)和归属熵H(Q)分别描述局部归属变化与分散程度。三者在融合特征层调节区域内容，并与未经该适配的统计旁路结合。这里的b(Q)不等于真实建筑边界，H(Q)也不是校准过的损毁预测不确定性。与普通内容适配器和去除条件量的对照用于判断这些分区信号是否真正提供额外信息。</w:t>
      </w:r>
    </w:p>
    <w:p w14:paraId="7F5B4646">
      <w:pPr>
        <w:widowControl/>
      </w:pPr>
      <w:r>
        <w:t>条件化中间特征亦有FiLM等先例[21]。本文采用的是结构条件残差适配，并不等同于FiLM算子；结构条件是否优于普通内容处理，需要通过有效容量匹配以及逐项去除B、b(Q)、H(Q)判断。</w:t>
      </w:r>
    </w:p>
    <w:p w14:paraId="02469D6B">
      <w:pPr>
        <w:pStyle w:val="4"/>
        <w:keepNext/>
        <w:rPr>
          <w:rFonts w:hint="eastAsia" w:ascii="宋体" w:hAnsi="宋体" w:eastAsia="宋体" w:cs="宋体"/>
        </w:rPr>
      </w:pPr>
      <w:r>
        <w:rPr>
          <w:rFonts w:hint="eastAsia" w:ascii="宋体" w:hAnsi="宋体" w:eastAsia="宋体" w:cs="宋体"/>
        </w:rPr>
        <w:t>D. 外部支持与跨事件检索</w:t>
      </w:r>
    </w:p>
    <w:p w14:paraId="66B52A09">
      <w:pPr>
        <w:widowControl/>
        <w:rPr>
          <w:rFonts w:hint="eastAsia" w:ascii="宋体" w:hAnsi="宋体" w:eastAsia="宋体" w:cs="宋体"/>
        </w:rPr>
      </w:pPr>
      <w:r>
        <w:rPr>
          <w:rFonts w:hint="eastAsia" w:ascii="宋体" w:hAnsi="宋体" w:eastAsia="宋体" w:cs="宋体"/>
        </w:rPr>
        <w:t>跨图像像素对比学习通过标签关系组织分割特征空间[13]，原型方法研究类别表示与密集预测的关系[14]。Tip-Adapter将训练特征和标签保存在缓存中供预测时读取[15]；RAC将检索和关联信息读取分开，并与原分类分支融合[16]。因此，外部支持、返回邻居索引再读取内容，以及与像素分支融合均有先例。</w:t>
      </w:r>
    </w:p>
    <w:p w14:paraId="47E3F351">
      <w:pPr>
        <w:widowControl/>
        <w:rPr>
          <w:rFonts w:hint="eastAsia" w:ascii="宋体" w:hAnsi="宋体" w:eastAsia="宋体" w:cs="宋体"/>
        </w:rPr>
      </w:pPr>
      <w:r>
        <w:rPr>
          <w:rFonts w:hint="eastAsia" w:ascii="宋体" w:hAnsi="宋体" w:eastAsia="宋体" w:cs="宋体"/>
        </w:rPr>
        <w:t>本文把监督关系落在建筑损毁区域及不同事件之间。具体而言，高纯度训练区域用于构造同损毁等级的跨事件正样本和异类负样本，在固定区域表示上学习检索投影；支持读取仍采用未投影的内容。该设计与监督对比学习的类别约束有关[17]，但其有效性要分两层检验：邻居是否更相关，以及这些邻居是否改善最终像素分类。标准划分中的跨事件检索也不等于严格的留事件泛化测试。</w:t>
      </w:r>
    </w:p>
    <w:p w14:paraId="51CD567E">
      <w:pPr>
        <w:widowControl/>
      </w:pPr>
      <w:r>
        <w:t>SRAC面向相同的光学–SAR建筑损毁任务研究超像素与标注案例检索[22]，是与本文最接近的相关方向。本文需要将差异落在具体相容机制、内容适配和支持排序及其受控验证上，不能仅以“超像素加Memory”主张新颖性。当前未取得可核对的全文及官方实现，不据公开图示缺项推断其没有某一机制。</w:t>
      </w:r>
    </w:p>
    <w:p w14:paraId="49EA1A57">
      <w:pPr>
        <w:pStyle w:val="3"/>
        <w:keepNext/>
        <w:rPr>
          <w:rFonts w:hint="eastAsia" w:ascii="宋体" w:hAnsi="宋体" w:eastAsia="宋体" w:cs="宋体"/>
        </w:rPr>
      </w:pPr>
      <w:r>
        <w:rPr>
          <w:rFonts w:hint="eastAsia" w:ascii="宋体" w:hAnsi="宋体" w:eastAsia="宋体" w:cs="宋体"/>
        </w:rPr>
        <w:t>III. 所提方法</w:t>
      </w:r>
    </w:p>
    <w:p w14:paraId="433630B2">
      <w:pPr>
        <w:pStyle w:val="4"/>
        <w:keepNext/>
        <w:rPr>
          <w:rFonts w:hint="eastAsia" w:ascii="宋体" w:hAnsi="宋体" w:eastAsia="宋体" w:cs="宋体"/>
        </w:rPr>
      </w:pPr>
      <w:r>
        <w:rPr>
          <w:rFonts w:hint="eastAsia" w:ascii="宋体" w:hAnsi="宋体" w:eastAsia="宋体" w:cs="宋体"/>
        </w:rPr>
        <w:t>A. 任务定义与总体框架</w:t>
      </w:r>
    </w:p>
    <w:p w14:paraId="61A0269D">
      <w:pPr>
        <w:widowControl/>
        <w:rPr>
          <w:rFonts w:hint="eastAsia" w:ascii="宋体" w:hAnsi="宋体" w:eastAsia="宋体" w:cs="宋体"/>
        </w:rPr>
      </w:pPr>
      <w:r>
        <w:rPr>
          <w:rFonts w:hint="eastAsia" w:ascii="宋体" w:hAnsi="宋体" w:eastAsia="宋体" w:cs="宋体"/>
        </w:rPr>
        <w:t>输入为空间配对的灾前光学影像和灾后SAR影像，输出为背景、完好、受损和毁坏四类像素预测。建筑概率由模型从光学观测中估计；像素级融合特征结合两种模态提供内容。区域是连接像素与支持检索的中间计算单元，允许一个位置按权重关联多个局部中心，不提供建筑实例身份，也不保证一个区域只包含一栋建筑。</w:t>
      </w:r>
    </w:p>
    <w:p w14:paraId="20D7796C">
      <w:pPr>
        <w:widowControl/>
        <w:rPr>
          <w:rFonts w:hint="eastAsia" w:ascii="宋体" w:hAnsi="宋体" w:eastAsia="宋体" w:cs="宋体"/>
        </w:rPr>
      </w:pPr>
      <w:r>
        <w:rPr>
          <w:rFonts w:hint="eastAsia" w:ascii="宋体" w:hAnsi="宋体" w:eastAsia="宋体" w:cs="宋体"/>
        </w:rPr>
        <w:t>记当前图像的软归属为Q、区域特征为T，训练支持库为M。模型首先生成当前区域表示，再从M选择支持并获得增强区域特征，最后回投为空间上下文，与原像素特征共同分类。训练标签用于损毁监督、支持区域类别组成和检索度量学习；验证或测试图像的真实标签不参与前向分区、支持选择和分类读取。</w:t>
      </w:r>
    </w:p>
    <w:p w14:paraId="67495729">
      <w:pPr>
        <w:widowControl/>
        <w:rPr>
          <w:rFonts w:hint="eastAsia" w:ascii="宋体" w:hAnsi="宋体" w:eastAsia="宋体" w:cs="宋体"/>
        </w:rPr>
      </w:pPr>
      <w:r>
        <w:t xml:space="preserve">设配准后的输入为 </w:t>
      </w:r>
      <m:oMath>
        <m:sSup>
          <m:sSupPr>
            <m:ctrlPr>
              <w:rPr>
                <w:rFonts w:hint="eastAsia" w:ascii="Cambria Math" w:hAnsi="Cambria Math" w:eastAsia="宋体" w:cs="宋体"/>
              </w:rPr>
            </m:ctrlPr>
          </m:sSupPr>
          <m:e>
            <m:r>
              <m:rPr/>
              <w:rPr>
                <w:rFonts w:hint="eastAsia" w:ascii="Cambria Math" w:hAnsi="Cambria Math" w:eastAsia="宋体" w:cs="宋体"/>
                <w:sz w:val="20"/>
              </w:rPr>
              <m:t>X</m:t>
            </m:r>
            <m:ctrlPr>
              <w:rPr>
                <w:rFonts w:hint="eastAsia" w:ascii="Cambria Math" w:hAnsi="Cambria Math" w:eastAsia="宋体" w:cs="宋体"/>
              </w:rPr>
            </m:ctrlPr>
          </m:e>
          <m:sup>
            <m:r>
              <m:rPr>
                <m:sty m:val="p"/>
              </m:rPr>
              <w:rPr>
                <w:rFonts w:hint="eastAsia" w:ascii="Cambria Math" w:hAnsi="Cambria Math" w:eastAsia="宋体" w:cs="宋体"/>
                <w:sz w:val="20"/>
              </w:rPr>
              <m:t>opt</m:t>
            </m:r>
            <m:ctrlPr>
              <w:rPr>
                <w:rFonts w:hint="eastAsia" w:ascii="Cambria Math" w:hAnsi="Cambria Math" w:eastAsia="宋体" w:cs="宋体"/>
              </w:rPr>
            </m:ctrlPr>
          </m:sup>
        </m:sSup>
      </m:oMath>
      <w:r>
        <w:t xml:space="preserve"> 和 </w:t>
      </w:r>
      <m:oMath>
        <m:sSup>
          <m:sSupPr>
            <m:ctrlPr>
              <w:rPr>
                <w:rFonts w:hint="eastAsia" w:ascii="Cambria Math" w:hAnsi="Cambria Math" w:eastAsia="宋体" w:cs="宋体"/>
              </w:rPr>
            </m:ctrlPr>
          </m:sSupPr>
          <m:e>
            <m:r>
              <m:rPr/>
              <w:rPr>
                <w:rFonts w:hint="eastAsia" w:ascii="Cambria Math" w:hAnsi="Cambria Math" w:eastAsia="宋体" w:cs="宋体"/>
                <w:sz w:val="20"/>
              </w:rPr>
              <m:t>X</m:t>
            </m:r>
            <m:ctrlPr>
              <w:rPr>
                <w:rFonts w:hint="eastAsia" w:ascii="Cambria Math" w:hAnsi="Cambria Math" w:eastAsia="宋体" w:cs="宋体"/>
              </w:rPr>
            </m:ctrlPr>
          </m:e>
          <m:sup>
            <m:r>
              <m:rPr>
                <m:sty m:val="p"/>
              </m:rPr>
              <w:rPr>
                <w:rFonts w:hint="eastAsia" w:ascii="Cambria Math" w:hAnsi="Cambria Math" w:eastAsia="宋体" w:cs="宋体"/>
                <w:sz w:val="20"/>
              </w:rPr>
              <m:t>sar</m:t>
            </m:r>
            <m:ctrlPr>
              <w:rPr>
                <w:rFonts w:hint="eastAsia" w:ascii="Cambria Math" w:hAnsi="Cambria Math" w:eastAsia="宋体" w:cs="宋体"/>
              </w:rPr>
            </m:ctrlPr>
          </m:sup>
        </m:sSup>
      </m:oMath>
      <w:r>
        <w:t>，预测目标为四类别像素图。整体框架包含建筑概率约束的局部软分区、分区状态条件的区域特征适配、跨事件类别监督的支持排序，以及支持读取与像素联合判别，如图1所示。前三项分别决定区域成员、区域内容与历史支持，读出路径将区域证据用于密集预测。图1中的“Frozen MPF”为冻结像素前端；图中框架标题不表示它与表2的DamageFormer基线使用同一权重。</w:t>
      </w:r>
    </w:p>
    <w:p>
      <w:pPr/>
      <w:r>
        <w:rPr>
          <w:rFonts w:ascii="Times New Roman" w:hAnsi="Times New Roman" w:eastAsia="宋体"/>
        </w:rPr>
        <w:t>本文将提供建筑概率、融合特征及像素预测的基础网络称为多模态像素前端（Multimodal Pixel Frontend，MPF）。直接评价其既有分类器的配置记为MPF；冻结同一前端、仅适配像素分类头的预算对照记为MPF-HA（Head Adaptation）。完整模型在总体比较中记为Ours，在内部消融中记为Supervised Retrieval。模型身份由权重和计算路径确定，不由名称或表格位置确定。</w:t>
      </w:r>
    </w:p>
    <w:p w14:paraId="758F99E8">
      <w:pPr>
        <w:widowControl/>
        <w:rPr>
          <w:rFonts w:hint="eastAsia" w:ascii="宋体" w:hAnsi="宋体" w:eastAsia="宋体" w:cs="宋体"/>
        </w:rPr>
      </w:pPr>
      <w:r>
        <w:rPr>
          <w:rFonts w:hint="eastAsia" w:ascii="宋体" w:hAnsi="宋体" w:eastAsia="宋体" w:cs="宋体"/>
        </w:rPr>
        <w:t xml:space="preserve">基础像素模型沿用项目中的双分支编码与多尺度融合，骨干结构参考Swin Transformer[18]，建筑定位与等级预测采用双任务设置[6]。预训练像素前端提供多尺度光学特征、预测建筑概率 </w:t>
      </w:r>
      <m:oMath>
        <m:r>
          <m:rPr/>
          <w:rPr>
            <w:rFonts w:hint="eastAsia" w:ascii="Cambria Math" w:hAnsi="Cambria Math" w:eastAsia="宋体" w:cs="宋体"/>
            <w:sz w:val="20"/>
          </w:rPr>
          <m:t>B</m:t>
        </m:r>
      </m:oMath>
      <w:r>
        <w:rPr>
          <w:rFonts w:hint="eastAsia" w:ascii="宋体" w:hAnsi="宋体" w:eastAsia="宋体" w:cs="宋体"/>
        </w:rPr>
        <w:t xml:space="preserve"> 及光学–SAR融合特征 </w:t>
      </w:r>
      <m:oMath>
        <m:r>
          <m:rPr/>
          <w:rPr>
            <w:rFonts w:hint="eastAsia" w:ascii="Cambria Math" w:hAnsi="Cambria Math" w:eastAsia="宋体" w:cs="宋体"/>
            <w:sz w:val="20"/>
          </w:rPr>
          <m:t>F</m:t>
        </m:r>
      </m:oMath>
      <w:r>
        <w:rPr>
          <w:rFonts w:hint="eastAsia" w:ascii="宋体" w:hAnsi="宋体" w:eastAsia="宋体" w:cs="宋体"/>
        </w:rPr>
        <w:t>。其中，</w:t>
      </w:r>
      <m:oMath>
        <m:r>
          <m:rPr/>
          <w:rPr>
            <w:rFonts w:hint="eastAsia" w:ascii="Cambria Math" w:hAnsi="Cambria Math" w:eastAsia="宋体" w:cs="宋体"/>
            <w:sz w:val="20"/>
          </w:rPr>
          <m:t>F</m:t>
        </m:r>
      </m:oMath>
      <w:r>
        <w:rPr>
          <w:rFonts w:hint="eastAsia" w:ascii="宋体" w:hAnsi="宋体" w:eastAsia="宋体" w:cs="宋体"/>
        </w:rPr>
        <w:t xml:space="preserve"> 已经过前端的软建筑区域调制；后文所称“未适配特征”仅指进入本文结构适配器之前的融合特征，而非原始SAR信号。光学特征经嵌套解码器得到结构描述子 </w:t>
      </w:r>
      <m:oMath>
        <m:r>
          <m:rPr/>
          <w:rPr>
            <w:rFonts w:hint="eastAsia" w:ascii="Cambria Math" w:hAnsi="Cambria Math" w:eastAsia="宋体" w:cs="宋体"/>
            <w:sz w:val="20"/>
          </w:rPr>
          <m:t>R</m:t>
        </m:r>
      </m:oMath>
      <w:r>
        <w:rPr>
          <w:rFonts w:hint="eastAsia" w:ascii="宋体" w:hAnsi="宋体" w:eastAsia="宋体" w:cs="宋体"/>
        </w:rPr>
        <w:t xml:space="preserve">，用于生成局部软区域归属 </w:t>
      </w:r>
      <m:oMath>
        <m:r>
          <m:rPr/>
          <w:rPr>
            <w:rFonts w:hint="eastAsia" w:ascii="Cambria Math" w:hAnsi="Cambria Math" w:eastAsia="宋体" w:cs="宋体"/>
            <w:sz w:val="20"/>
          </w:rPr>
          <m:t>Q</m:t>
        </m:r>
      </m:oMath>
      <w:r>
        <w:rPr>
          <w:rFonts w:hint="eastAsia" w:ascii="宋体" w:hAnsi="宋体" w:eastAsia="宋体" w:cs="宋体"/>
        </w:rPr>
        <w:t xml:space="preserve">。在此基础上，区域编码器将结构条件适配后的内容、未适配内容统计和软几何信息汇总为区域表示 </w:t>
      </w:r>
      <m:oMath>
        <m:r>
          <m:rPr/>
          <w:rPr>
            <w:rFonts w:hint="eastAsia" w:ascii="Cambria Math" w:hAnsi="Cambria Math" w:eastAsia="宋体" w:cs="宋体"/>
            <w:sz w:val="20"/>
          </w:rPr>
          <m:t>T</m:t>
        </m:r>
      </m:oMath>
      <w:r>
        <w:rPr>
          <w:rFonts w:hint="eastAsia" w:ascii="宋体" w:hAnsi="宋体" w:eastAsia="宋体" w:cs="宋体"/>
        </w:rPr>
        <w:t>。</w:t>
      </w:r>
    </w:p>
    <w:p w14:paraId="47EF56BA">
      <w:pPr>
        <w:widowControl/>
        <w:rPr>
          <w:rFonts w:hint="eastAsia" w:ascii="宋体" w:hAnsi="宋体" w:eastAsia="宋体" w:cs="宋体"/>
        </w:rPr>
      </w:pPr>
      <w:r>
        <w:rPr>
          <w:rFonts w:hint="eastAsia" w:ascii="宋体" w:hAnsi="宋体" w:eastAsia="宋体" w:cs="宋体"/>
        </w:rPr>
        <w:t xml:space="preserve">对于每个查询区域，检索器从仅含训练样本的支持库中选择不同事件和图像的邻居。支持读取器结合未投影的支持特征、训练标签组成与元数据，生成增强区域表示 </w:t>
      </w:r>
      <m:oMath>
        <m:sSup>
          <m:sSupPr>
            <m:ctrlPr>
              <w:rPr>
                <w:rFonts w:hint="eastAsia" w:ascii="Cambria Math" w:hAnsi="Cambria Math" w:eastAsia="宋体" w:cs="宋体"/>
              </w:rPr>
            </m:ctrlPr>
          </m:sSupPr>
          <m:e>
            <m:r>
              <m:rPr/>
              <w:rPr>
                <w:rFonts w:hint="eastAsia" w:ascii="Cambria Math" w:hAnsi="Cambria Math" w:eastAsia="宋体" w:cs="宋体"/>
                <w:sz w:val="20"/>
              </w:rPr>
              <m:t>T</m:t>
            </m:r>
            <m:ctrlPr>
              <w:rPr>
                <w:rFonts w:hint="eastAsia" w:ascii="Cambria Math" w:hAnsi="Cambria Math" w:eastAsia="宋体" w:cs="宋体"/>
              </w:rPr>
            </m:ctrlPr>
          </m:e>
          <m:sup>
            <m:r>
              <m:rPr/>
              <w:rPr>
                <w:rFonts w:hint="eastAsia" w:ascii="Cambria Math" w:hAnsi="Cambria Math" w:eastAsia="宋体" w:cs="宋体"/>
                <w:sz w:val="20"/>
              </w:rPr>
              <m:t>′</m:t>
            </m:r>
            <m:ctrlPr>
              <w:rPr>
                <w:rFonts w:hint="eastAsia" w:ascii="Cambria Math" w:hAnsi="Cambria Math" w:eastAsia="宋体" w:cs="宋体"/>
              </w:rPr>
            </m:ctrlPr>
          </m:sup>
        </m:sSup>
      </m:oMath>
      <w:r>
        <w:rPr>
          <w:rFonts w:hint="eastAsia" w:ascii="宋体" w:hAnsi="宋体" w:eastAsia="宋体" w:cs="宋体"/>
        </w:rPr>
        <w:t xml:space="preserve">。随后通过同一软归属 </w:t>
      </w:r>
      <m:oMath>
        <m:r>
          <m:rPr/>
          <w:rPr>
            <w:rFonts w:hint="eastAsia" w:ascii="Cambria Math" w:hAnsi="Cambria Math" w:eastAsia="宋体" w:cs="宋体"/>
            <w:sz w:val="20"/>
          </w:rPr>
          <m:t>Q</m:t>
        </m:r>
      </m:oMath>
      <w:r>
        <w:rPr>
          <w:rFonts w:hint="eastAsia" w:ascii="宋体" w:hAnsi="宋体" w:eastAsia="宋体" w:cs="宋体"/>
        </w:rPr>
        <w:t xml:space="preserve"> 将其分配回像素网格，并与保留的 </w:t>
      </w:r>
      <m:oMath>
        <m:r>
          <m:rPr/>
          <w:rPr>
            <w:rFonts w:hint="eastAsia" w:ascii="Cambria Math" w:hAnsi="Cambria Math" w:eastAsia="宋体" w:cs="宋体"/>
            <w:sz w:val="20"/>
          </w:rPr>
          <m:t>F</m:t>
        </m:r>
      </m:oMath>
      <w:r>
        <w:rPr>
          <w:rFonts w:hint="eastAsia" w:ascii="宋体" w:hAnsi="宋体" w:eastAsia="宋体" w:cs="宋体"/>
        </w:rPr>
        <w:t xml:space="preserve"> 联合分类。由此，建筑结构用于组织当前区域，跨事件监督用于调整支持选择，而像素路径保留未经过区域池化的分类输入。</w:t>
      </w:r>
    </w:p>
    <w:p w14:paraId="48F2C419">
      <w:pPr>
        <w:keepNext/>
        <w:keepLines/>
        <w:widowControl/>
        <w:spacing w:before="0" w:after="40"/>
        <w:ind w:firstLine="0"/>
        <w:jc w:val="center"/>
        <w:rPr>
          <w:rFonts w:hint="eastAsia" w:ascii="宋体" w:hAnsi="宋体" w:eastAsia="宋体" w:cs="宋体"/>
        </w:rPr>
      </w:pPr>
      <w:r>
        <w:drawing>
          <wp:inline distT="0" distB="0" distL="114300" distR="114300">
            <wp:extent cx="5727065" cy="2799080"/>
            <wp:effectExtent l="0" t="0" r="6985" b="127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7"/>
                    <a:stretch>
                      <a:fillRect/>
                    </a:stretch>
                  </pic:blipFill>
                  <pic:spPr>
                    <a:xfrm>
                      <a:off x="0" y="0"/>
                      <a:ext cx="5727065" cy="2799080"/>
                    </a:xfrm>
                    <a:prstGeom prst="rect">
                      <a:avLst/>
                    </a:prstGeom>
                    <a:noFill/>
                    <a:ln>
                      <a:noFill/>
                    </a:ln>
                  </pic:spPr>
                </pic:pic>
              </a:graphicData>
            </a:graphic>
          </wp:inline>
        </w:drawing>
      </w:r>
    </w:p>
    <w:p w14:paraId="363248B5">
      <w:pPr>
        <w:pStyle w:val="15"/>
        <w:keepNext/>
        <w:keepLines/>
        <w:jc w:val="center"/>
        <w:rPr>
          <w:rFonts w:hint="eastAsia" w:ascii="宋体" w:hAnsi="宋体" w:eastAsia="宋体" w:cs="宋体"/>
        </w:rPr>
      </w:pPr>
      <w:r>
        <w:rPr>
          <w:rFonts w:hint="eastAsia" w:ascii="宋体" w:hAnsi="宋体" w:eastAsia="宋体" w:cs="宋体"/>
        </w:rPr>
        <w:t>图1　结构条件区域编码与跨事件检索增强的建筑损毁评估框架</w:t>
      </w:r>
    </w:p>
    <w:p w14:paraId="3EBFB7BD">
      <w:pPr>
        <w:pStyle w:val="4"/>
        <w:keepNext/>
        <w:rPr>
          <w:rFonts w:hint="eastAsia" w:ascii="宋体" w:hAnsi="宋体" w:eastAsia="宋体" w:cs="宋体"/>
        </w:rPr>
      </w:pPr>
      <w:r>
        <w:rPr>
          <w:rFonts w:hint="eastAsia" w:ascii="宋体" w:hAnsi="宋体" w:eastAsia="宋体" w:cs="宋体"/>
        </w:rPr>
        <w:t>B. 建筑概率约束的局部软分区</w:t>
      </w:r>
    </w:p>
    <w:p w14:paraId="363AE1ED">
      <w:pPr>
        <w:widowControl/>
        <w:rPr>
          <w:rFonts w:hint="eastAsia" w:ascii="宋体" w:hAnsi="宋体" w:eastAsia="宋体" w:cs="宋体"/>
        </w:rPr>
      </w:pPr>
      <w:r>
        <w:rPr>
          <w:rFonts w:hint="eastAsia" w:ascii="宋体" w:hAnsi="宋体" w:eastAsia="宋体" w:cs="宋体"/>
        </w:rPr>
        <w:t>直接按规则网格汇总特征不能利用影像结构，而完全依赖局部外观相似性也未显式利用建筑预测。本文在局部描述子亲和度与坐标约束之外，将预测建筑概率作为软兼容项，参与像素到区域中心的归属计算。该设计使建筑预测影响分区，同时避免以固定阈值将建筑和背景硬拆为两组区域。</w:t>
      </w:r>
    </w:p>
    <w:p w14:paraId="5436702F">
      <w:pPr>
        <w:widowControl/>
        <w:rPr>
          <w:rFonts w:hint="eastAsia" w:ascii="宋体" w:hAnsi="宋体" w:eastAsia="宋体" w:cs="宋体"/>
        </w:rPr>
      </w:pPr>
      <w:r>
        <w:rPr>
          <w:rFonts w:hint="eastAsia" w:ascii="宋体" w:hAnsi="宋体" w:eastAsia="宋体" w:cs="宋体"/>
        </w:rPr>
        <w:t xml:space="preserve">局部迭代沿用可微超像素的关联更新思路[4]。在特征网格上以步长8均匀设置种子。对位置 </w:t>
      </w:r>
      <m:oMath>
        <m:r>
          <m:rPr/>
          <w:rPr>
            <w:rFonts w:hint="eastAsia" w:ascii="Cambria Math" w:hAnsi="Cambria Math" w:eastAsia="宋体" w:cs="宋体"/>
            <w:sz w:val="20"/>
          </w:rPr>
          <m:t>i</m:t>
        </m:r>
      </m:oMath>
      <w:r>
        <w:rPr>
          <w:rFonts w:hint="eastAsia" w:ascii="宋体" w:hAnsi="宋体" w:eastAsia="宋体" w:cs="宋体"/>
        </w:rPr>
        <w:t xml:space="preserve">，候选集合 </w:t>
      </w:r>
      <m:oMath>
        <m:r>
          <m:rPr>
            <m:scr m:val="script"/>
          </m:rPr>
          <w:rPr>
            <w:rFonts w:hint="eastAsia" w:ascii="Cambria Math" w:hAnsi="Cambria Math" w:eastAsia="MS Mincho" w:cs="MS Mincho"/>
            <w:sz w:val="20"/>
          </w:rPr>
          <m:t>N</m:t>
        </m:r>
        <m:r>
          <m:rPr/>
          <w:rPr>
            <w:rFonts w:hint="eastAsia" w:ascii="Cambria Math" w:hAnsi="Cambria Math" w:eastAsia="宋体" w:cs="宋体"/>
            <w:sz w:val="20"/>
          </w:rPr>
          <m:t>(i)</m:t>
        </m:r>
      </m:oMath>
      <w:r>
        <w:rPr>
          <w:rFonts w:hint="eastAsia" w:ascii="宋体" w:hAnsi="宋体" w:eastAsia="宋体" w:cs="宋体"/>
        </w:rPr>
        <w:t xml:space="preserve"> 包含其所在种子格及周围相邻格，至多含9个候选中心。结构描述子经层归一化得到 </w:t>
      </w:r>
      <m:oMath>
        <m:sSub>
          <m:sSubPr>
            <m:ctrlPr>
              <w:rPr>
                <w:rFonts w:hint="eastAsia" w:ascii="Cambria Math" w:hAnsi="Cambria Math" w:eastAsia="宋体" w:cs="宋体"/>
              </w:rPr>
            </m:ctrlPr>
          </m:sSubPr>
          <m:e>
            <m:r>
              <m:rPr/>
              <w:rPr>
                <w:rFonts w:hint="eastAsia" w:ascii="Cambria Math" w:hAnsi="Cambria Math" w:eastAsia="宋体" w:cs="宋体"/>
                <w:sz w:val="20"/>
              </w:rPr>
              <m:t>r</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oMath>
      <w:r>
        <w:rPr>
          <w:rFonts w:hint="eastAsia" w:ascii="宋体" w:hAnsi="宋体" w:eastAsia="宋体" w:cs="宋体"/>
        </w:rPr>
        <w:t xml:space="preserve">；查询和中心键分别由可学习线性映射及单位长度归一化获得。对第 </w:t>
      </w:r>
      <m:oMath>
        <m:r>
          <m:rPr/>
          <w:rPr>
            <w:rFonts w:hint="eastAsia" w:ascii="Cambria Math" w:hAnsi="Cambria Math" w:eastAsia="宋体" w:cs="宋体"/>
            <w:sz w:val="20"/>
          </w:rPr>
          <m:t>t</m:t>
        </m:r>
      </m:oMath>
      <w:r>
        <w:rPr>
          <w:rFonts w:hint="eastAsia" w:ascii="宋体" w:hAnsi="宋体" w:eastAsia="宋体" w:cs="宋体"/>
        </w:rPr>
        <w:t xml:space="preserve"> 轮归属，以前一轮权重汇总单位长度归一化后的描述子、中心坐标和中心建筑概率，分别记为 </w:t>
      </w:r>
      <m:oMath>
        <m:sSubSup>
          <m:sSubSupPr>
            <m:ctrlPr>
              <w:rPr>
                <w:rFonts w:hint="eastAsia" w:ascii="Cambria Math" w:hAnsi="Cambria Math" w:eastAsia="宋体" w:cs="宋体"/>
              </w:rPr>
            </m:ctrlPr>
          </m:sSubSup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oMath>
      <w:r>
        <w:rPr>
          <w:rFonts w:hint="eastAsia" w:ascii="宋体" w:hAnsi="宋体" w:eastAsia="宋体" w:cs="宋体"/>
        </w:rPr>
        <w:t>、</w:t>
      </w:r>
      <m:oMath>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x</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oMath>
      <w:r>
        <w:rPr>
          <w:rFonts w:hint="eastAsia" w:ascii="宋体" w:hAnsi="宋体" w:eastAsia="宋体" w:cs="宋体"/>
        </w:rPr>
        <w:t xml:space="preserve"> 和 </w:t>
      </w:r>
      <m:oMath>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B</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oMath>
      <w:r>
        <w:rPr>
          <w:rFonts w:hint="eastAsia" w:ascii="宋体" w:hAnsi="宋体" w:eastAsia="宋体" w:cs="宋体"/>
        </w:rPr>
        <w:t>。建筑软兼容度定义为</w:t>
      </w:r>
    </w:p>
    <w:p w14:paraId="0DEC7015">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κ</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B</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+(1−</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)(1−</m:t>
        </m:r>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B</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w:t>
      </w:r>
    </w:p>
    <w:p w14:paraId="7EB197C0">
      <w:pPr>
        <w:widowControl/>
        <w:rPr>
          <w:rFonts w:hint="eastAsia" w:ascii="宋体" w:hAnsi="宋体" w:eastAsia="宋体" w:cs="宋体"/>
        </w:rPr>
      </w:pPr>
      <w:r>
        <w:rPr>
          <w:rFonts w:hint="eastAsia" w:ascii="宋体" w:hAnsi="宋体" w:eastAsia="宋体" w:cs="宋体"/>
        </w:rPr>
        <w:t>归属打分同时考虑描述子亲和度、局部距离和建筑软兼容度：</w:t>
      </w:r>
    </w:p>
    <w:p w14:paraId="3250F069">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s</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f>
          <m:fPr>
            <m:ctrlPr>
              <w:rPr>
                <w:rFonts w:hint="eastAsia" w:ascii="Cambria Math" w:hAnsi="Cambria Math" w:eastAsia="宋体" w:cs="宋体"/>
              </w:rPr>
            </m:ctrlPr>
          </m:fPr>
          <m:num>
            <m:r>
              <m:rPr/>
              <w:rPr>
                <w:rFonts w:hint="eastAsia" w:ascii="Cambria Math" w:hAnsi="Cambria Math" w:eastAsia="宋体" w:cs="宋体"/>
                <w:sz w:val="20"/>
              </w:rPr>
              <m:t>β⟨</m:t>
            </m:r>
            <m:limUpp>
              <m:limUppPr>
                <m:ctrlPr>
                  <w:rPr>
                    <w:rFonts w:hint="eastAsia" w:ascii="Cambria Math" w:hAnsi="Cambria Math" w:eastAsia="宋体" w:cs="宋体"/>
                  </w:rPr>
                </m:ctrlPr>
              </m:limUppPr>
              <m:e>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r</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r>
              <m:rPr/>
              <w:rPr>
                <w:rFonts w:hint="eastAsia" w:ascii="Cambria Math" w:hAnsi="Cambria Math" w:eastAsia="宋体" w:cs="宋体"/>
                <w:sz w:val="20"/>
              </w:rPr>
              <m:t>,</m:t>
            </m:r>
            <m:limUpp>
              <m:limUppPr>
                <m:ctrlPr>
                  <w:rPr>
                    <w:rFonts w:hint="eastAsia" w:ascii="Cambria Math" w:hAnsi="Cambria Math" w:eastAsia="宋体" w:cs="宋体"/>
                  </w:rPr>
                </m:ctrlPr>
              </m:limUppPr>
              <m:e>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sSubSup>
                  <m:sSubSupPr>
                    <m:ctrlPr>
                      <w:rPr>
                        <w:rFonts w:hint="eastAsia" w:ascii="Cambria Math" w:hAnsi="Cambria Math" w:eastAsia="宋体" w:cs="宋体"/>
                      </w:rPr>
                    </m:ctrlPr>
                  </m:sSubSup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r>
              <m:rPr/>
              <w:rPr>
                <w:rFonts w:hint="eastAsia" w:ascii="Cambria Math" w:hAnsi="Cambria Math" w:eastAsia="宋体" w:cs="宋体"/>
                <w:sz w:val="20"/>
              </w:rPr>
              <m:t>⟩</m:t>
            </m:r>
            <m:ctrlPr>
              <w:rPr>
                <w:rFonts w:hint="eastAsia" w:ascii="Cambria Math" w:hAnsi="Cambria Math" w:eastAsia="宋体" w:cs="宋体"/>
              </w:rPr>
            </m:ctrlPr>
          </m:num>
          <m:den>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ctrlPr>
              <w:rPr>
                <w:rFonts w:hint="eastAsia" w:ascii="Cambria Math" w:hAnsi="Cambria Math" w:eastAsia="宋体" w:cs="宋体"/>
              </w:rPr>
            </m:ctrlPr>
          </m:den>
        </m:f>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λ</m:t>
            </m:r>
            <m:ctrlPr>
              <w:rPr>
                <w:rFonts w:hint="eastAsia" w:ascii="Cambria Math" w:hAnsi="Cambria Math" w:eastAsia="宋体" w:cs="宋体"/>
              </w:rPr>
            </m:ctrlPr>
          </m:e>
          <m:sub>
            <m:r>
              <m:rPr/>
              <w:rPr>
                <w:rFonts w:hint="eastAsia" w:ascii="Cambria Math" w:hAnsi="Cambria Math" w:eastAsia="宋体" w:cs="宋体"/>
                <w:sz w:val="20"/>
              </w:rPr>
              <m:t>x</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x</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x</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sSubSup>
          <m:sSubSupPr>
            <m:ctrlPr>
              <w:rPr>
                <w:rFonts w:hint="eastAsia" w:ascii="Cambria Math" w:hAnsi="Cambria Math" w:eastAsia="宋体" w:cs="宋体"/>
              </w:rPr>
            </m:ctrlPr>
          </m:sSubSupPr>
          <m:e>
            <m:r>
              <m:rPr/>
              <w:rPr>
                <w:rFonts w:hint="eastAsia" w:ascii="Cambria Math" w:hAnsi="Cambria Math" w:eastAsia="宋体" w:cs="宋体"/>
                <w:sz w:val="20"/>
              </w:rPr>
              <m:t>‖</m:t>
            </m:r>
            <m:ctrlPr>
              <w:rPr>
                <w:rFonts w:hint="eastAsia" w:ascii="Cambria Math" w:hAnsi="Cambria Math" w:eastAsia="宋体" w:cs="宋体"/>
              </w:rPr>
            </m:ctrlPr>
          </m:e>
          <m:sub>
            <m:r>
              <m:rPr/>
              <w:rPr>
                <w:rFonts w:hint="eastAsia" w:ascii="Cambria Math" w:hAnsi="Cambria Math" w:eastAsia="宋体" w:cs="宋体"/>
                <w:sz w:val="20"/>
              </w:rPr>
              <m:t>2</m:t>
            </m:r>
            <m:ctrlPr>
              <w:rPr>
                <w:rFonts w:hint="eastAsia" w:ascii="Cambria Math" w:hAnsi="Cambria Math" w:eastAsia="宋体" w:cs="宋体"/>
              </w:rPr>
            </m:ctrlPr>
          </m:sub>
          <m:sup>
            <m:r>
              <m:rPr/>
              <w:rPr>
                <w:rFonts w:hint="eastAsia" w:ascii="Cambria Math" w:hAnsi="Cambria Math" w:eastAsia="宋体" w:cs="宋体"/>
                <w:sz w:val="20"/>
              </w:rPr>
              <m:t>2</m:t>
            </m:r>
            <m:ctrlPr>
              <w:rPr>
                <w:rFonts w:hint="eastAsia" w:ascii="Cambria Math" w:hAnsi="Cambria Math" w:eastAsia="宋体" w:cs="宋体"/>
              </w:rPr>
            </m:ctrlPr>
          </m:sup>
        </m:sSubSup>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λ</m:t>
            </m:r>
            <m:ctrlPr>
              <w:rPr>
                <w:rFonts w:hint="eastAsia" w:ascii="Cambria Math" w:hAnsi="Cambria Math" w:eastAsia="宋体" w:cs="宋体"/>
              </w:rPr>
            </m:ctrlPr>
          </m:e>
          <m:sub>
            <m:r>
              <m:rPr/>
              <w:rPr>
                <w:rFonts w:hint="eastAsia" w:ascii="Cambria Math" w:hAnsi="Cambria Math" w:eastAsia="宋体" w:cs="宋体"/>
                <w:sz w:val="20"/>
              </w:rPr>
              <m:t>B</m:t>
            </m:r>
            <m:ctrlPr>
              <w:rPr>
                <w:rFonts w:hint="eastAsia" w:ascii="Cambria Math" w:hAnsi="Cambria Math" w:eastAsia="宋体" w:cs="宋体"/>
              </w:rPr>
            </m:ctrlPr>
          </m:sub>
        </m:sSub>
        <m:r>
          <m:rPr>
            <m:sty m:val="p"/>
          </m:rPr>
          <w:rPr>
            <w:rFonts w:hint="eastAsia" w:ascii="Cambria Math" w:hAnsi="Cambria Math" w:eastAsia="宋体" w:cs="宋体"/>
            <w:sz w:val="20"/>
          </w:rPr>
          <m:t>log</m:t>
        </m:r>
        <m:sSubSup>
          <m:sSubSupPr>
            <m:ctrlPr>
              <w:rPr>
                <w:rFonts w:hint="eastAsia" w:ascii="Cambria Math" w:hAnsi="Cambria Math" w:eastAsia="宋体" w:cs="宋体"/>
              </w:rPr>
            </m:ctrlPr>
          </m:sSubSupPr>
          <m:e>
            <m:r>
              <m:rPr/>
              <w:rPr>
                <w:rFonts w:hint="eastAsia" w:ascii="Cambria Math" w:hAnsi="Cambria Math" w:eastAsia="宋体" w:cs="宋体"/>
                <w:sz w:val="20"/>
              </w:rPr>
              <m:t>κ</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（2）</w:t>
      </w:r>
    </w:p>
    <w:p w14:paraId="3D2BBA84">
      <w:pPr>
        <w:widowControl/>
        <w:rPr>
          <w:rFonts w:hint="eastAsia" w:ascii="宋体" w:hAnsi="宋体" w:eastAsia="宋体" w:cs="宋体"/>
        </w:rPr>
      </w:pPr>
      <w:r>
        <w:rPr>
          <w:rFonts w:hint="eastAsia" w:ascii="宋体" w:hAnsi="宋体" w:eastAsia="宋体" w:cs="宋体"/>
        </w:rPr>
        <w:t>其中，带帽符号表示单位长度归一化，</w:t>
      </w:r>
      <m:oMath>
        <m:r>
          <m:rPr/>
          <w:rPr>
            <w:rFonts w:hint="eastAsia" w:ascii="Cambria Math" w:hAnsi="Cambria Math" w:eastAsia="宋体" w:cs="宋体"/>
            <w:sz w:val="20"/>
          </w:rPr>
          <m:t>β</m:t>
        </m:r>
      </m:oMath>
      <w:r>
        <w:rPr>
          <w:rFonts w:hint="eastAsia" w:ascii="宋体" w:hAnsi="宋体" w:eastAsia="宋体" w:cs="宋体"/>
        </w:rPr>
        <w:t xml:space="preserve"> 为可学习正缩放系数，</w:t>
      </w:r>
      <m:oMath>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oMath>
      <w:r>
        <w:rPr>
          <w:rFonts w:hint="eastAsia" w:ascii="宋体" w:hAnsi="宋体" w:eastAsia="宋体" w:cs="宋体"/>
        </w:rPr>
        <w:t xml:space="preserve"> 为温度，坐标按种子步长归一化。默认温度为0.2，空间权重为0.1，建筑兼容权重为0.5；中心建筑概率截断至0.0001与0.9999之间，兼容度下界为0.0001。无效或无质量的中心不参与归一化。局部归属为</w:t>
      </w:r>
    </w:p>
    <w:p w14:paraId="5D5CD3D2">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f>
          <m:fPr>
            <m:ctrlPr>
              <w:rPr>
                <w:rFonts w:hint="eastAsia" w:ascii="Cambria Math" w:hAnsi="Cambria Math" w:eastAsia="宋体" w:cs="宋体"/>
              </w:rPr>
            </m:ctrlPr>
          </m:fPr>
          <m:num>
            <m:r>
              <m:rPr>
                <m:sty m:val="p"/>
              </m:rPr>
              <w:rPr>
                <w:rFonts w:hint="eastAsia" w:ascii="Cambria Math" w:hAnsi="Cambria Math" w:eastAsia="宋体" w:cs="宋体"/>
                <w:sz w:val="20"/>
              </w:rPr>
              <m:t>exp</m:t>
            </m:r>
            <m:sSubSup>
              <m:sSubSupPr>
                <m:ctrlPr>
                  <w:rPr>
                    <w:rFonts w:hint="eastAsia" w:ascii="Cambria Math" w:hAnsi="Cambria Math" w:eastAsia="宋体" w:cs="宋体"/>
                  </w:rPr>
                </m:ctrlPr>
              </m:sSubSupPr>
              <m:e>
                <m:r>
                  <m:rPr/>
                  <w:rPr>
                    <w:rFonts w:hint="eastAsia" w:ascii="Cambria Math" w:hAnsi="Cambria Math" w:eastAsia="宋体" w:cs="宋体"/>
                    <w:sz w:val="20"/>
                  </w:rPr>
                  <m:t>s</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num>
          <m:den>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l∈</m:t>
                </m:r>
                <m:sSup>
                  <m:sSupPr>
                    <m:ctrlPr>
                      <w:rPr>
                        <w:rFonts w:hint="eastAsia" w:ascii="Cambria Math" w:hAnsi="Cambria Math" w:eastAsia="宋体" w:cs="宋体"/>
                      </w:rPr>
                    </m:ctrlPr>
                  </m:sSupPr>
                  <m:e>
                    <m:r>
                      <m:rPr>
                        <m:scr m:val="script"/>
                      </m:rPr>
                      <w:rPr>
                        <w:rFonts w:hint="eastAsia" w:ascii="Cambria Math" w:hAnsi="Cambria Math" w:eastAsia="MS Mincho" w:cs="MS Mincho"/>
                        <w:sz w:val="20"/>
                      </w:rPr>
                      <m:t>N</m:t>
                    </m:r>
                    <m:ctrlPr>
                      <w:rPr>
                        <w:rFonts w:hint="eastAsia" w:ascii="Cambria Math" w:hAnsi="Cambria Math" w:eastAsia="宋体" w:cs="宋体"/>
                      </w:rPr>
                    </m:ctrlPr>
                  </m:e>
                  <m:sup>
                    <m:r>
                      <m:rPr>
                        <m:sty m:val="p"/>
                      </m:rPr>
                      <w:rPr>
                        <w:rFonts w:hint="eastAsia" w:ascii="Cambria Math" w:hAnsi="Cambria Math" w:eastAsia="宋体" w:cs="宋体"/>
                        <w:sz w:val="20"/>
                      </w:rPr>
                      <m:t>valid</m:t>
                    </m:r>
                    <m:ctrlPr>
                      <w:rPr>
                        <w:rFonts w:hint="eastAsia" w:ascii="Cambria Math" w:hAnsi="Cambria Math" w:eastAsia="宋体" w:cs="宋体"/>
                      </w:rPr>
                    </m:ctrlPr>
                  </m:sup>
                </m:sSup>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exp</m:t>
                </m:r>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s</m:t>
                </m:r>
                <m:ctrlPr>
                  <w:rPr>
                    <w:rFonts w:hint="eastAsia" w:ascii="Cambria Math" w:hAnsi="Cambria Math" w:eastAsia="宋体" w:cs="宋体"/>
                  </w:rPr>
                </m:ctrlPr>
              </m:e>
              <m:sub>
                <m:r>
                  <m:rPr/>
                  <w:rPr>
                    <w:rFonts w:hint="eastAsia" w:ascii="Cambria Math" w:hAnsi="Cambria Math" w:eastAsia="宋体" w:cs="宋体"/>
                    <w:sz w:val="20"/>
                  </w:rPr>
                  <m:t>il</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den>
        </m:f>
      </m:oMath>
    </w:p>
    <w:p w14:paraId="414A5650">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Sup>
              <m:sSubSupPr>
                <m:ctrlPr>
                  <w:rPr>
                    <w:rFonts w:hint="eastAsia" w:ascii="Cambria Math" w:hAnsi="Cambria Math" w:eastAsia="宋体" w:cs="宋体"/>
                  </w:rPr>
                </m:ctrlPr>
              </m:sSubSup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e>
        </m:nary>
        <m:r>
          <m:rPr/>
          <w:rPr>
            <w:rFonts w:hint="eastAsia" w:ascii="Cambria Math" w:hAnsi="Cambria Math" w:eastAsia="宋体" w:cs="宋体"/>
            <w:sz w:val="20"/>
          </w:rPr>
          <m:t>=1.</m:t>
        </m:r>
      </m:oMath>
      <w:r>
        <w:rPr>
          <w:rFonts w:hint="eastAsia" w:ascii="宋体" w:hAnsi="宋体" w:eastAsia="宋体" w:cs="宋体"/>
          <w:sz w:val="19"/>
        </w:rPr>
        <w:tab/>
      </w:r>
      <w:r>
        <w:rPr>
          <w:rFonts w:hint="eastAsia" w:ascii="宋体" w:hAnsi="宋体" w:eastAsia="宋体" w:cs="宋体"/>
          <w:sz w:val="19"/>
        </w:rPr>
        <w:t>（3）</w:t>
      </w:r>
    </w:p>
    <w:p w14:paraId="28AAC64E">
      <w:pPr>
        <w:widowControl/>
        <w:rPr>
          <w:rFonts w:hint="eastAsia" w:ascii="宋体" w:hAnsi="宋体" w:eastAsia="宋体" w:cs="宋体"/>
        </w:rPr>
      </w:pPr>
      <w:r>
        <w:rPr>
          <w:rFonts w:hint="eastAsia" w:ascii="宋体" w:hAnsi="宋体" w:eastAsia="宋体" w:cs="宋体"/>
        </w:rPr>
        <w:t xml:space="preserve">初始归属将每个位置分配给其所在种子格，随后迭代更新中心和归属，默认进行3轮。建筑概率来自像素前端的预测，输入分区模块和结构适配器前均停止梯度；训练标签不参与单次前向分区计算。最终 </w:t>
      </w:r>
      <m:oMath>
        <m:r>
          <m:rPr/>
          <w:rPr>
            <w:rFonts w:hint="eastAsia" w:ascii="Cambria Math" w:hAnsi="Cambria Math" w:eastAsia="宋体" w:cs="宋体"/>
            <w:sz w:val="20"/>
          </w:rPr>
          <m:t>Q</m:t>
        </m:r>
      </m:oMath>
      <w:r>
        <w:rPr>
          <w:rFonts w:hint="eastAsia" w:ascii="宋体" w:hAnsi="宋体" w:eastAsia="宋体" w:cs="宋体"/>
        </w:rPr>
        <w:t xml:space="preserve"> 是局部软关联，而非建筑实例标注，不要求一个区域严格对应一栋建筑。</w:t>
      </w:r>
    </w:p>
    <w:p w14:paraId="1C038DCB">
      <w:pPr>
        <w:pStyle w:val="4"/>
        <w:keepNext/>
        <w:rPr>
          <w:rFonts w:hint="eastAsia" w:ascii="宋体" w:hAnsi="宋体" w:eastAsia="宋体" w:cs="宋体"/>
        </w:rPr>
      </w:pPr>
      <w:r>
        <w:rPr>
          <w:rFonts w:hint="eastAsia" w:ascii="宋体" w:hAnsi="宋体" w:eastAsia="宋体" w:cs="宋体"/>
        </w:rPr>
        <w:t>C. 分区状态条件的区域特征适配</w:t>
      </w:r>
    </w:p>
    <w:p w14:paraId="7F6BF241">
      <w:pPr>
        <w:widowControl/>
        <w:rPr>
          <w:rFonts w:hint="eastAsia" w:ascii="宋体" w:hAnsi="宋体" w:eastAsia="宋体" w:cs="宋体"/>
        </w:rPr>
      </w:pPr>
      <w:r>
        <w:rPr>
          <w:rFonts w:hint="eastAsia" w:ascii="宋体" w:hAnsi="宋体" w:eastAsia="宋体" w:cs="宋体"/>
        </w:rPr>
        <w:t>软归属给出了区域组织方式，但仅在区域内平均特征仍未显式利用局部建筑状态及归属分散程度。本文构造结构条件向量，对融合内容进行特征级残差适配，如图2所示。结构条件由建筑概率、软分区差异及归属熵组成。</w:t>
      </w:r>
    </w:p>
    <w:p w14:paraId="503DFF3F">
      <w:pPr>
        <w:widowControl/>
        <w:rPr>
          <w:rFonts w:hint="eastAsia" w:ascii="宋体" w:hAnsi="宋体" w:eastAsia="宋体" w:cs="宋体"/>
        </w:rPr>
      </w:pPr>
      <w:r>
        <w:rPr>
          <w:rFonts w:hint="eastAsia" w:ascii="宋体" w:hAnsi="宋体" w:eastAsia="宋体" w:cs="宋体"/>
        </w:rPr>
        <w:t xml:space="preserve">将稀疏局部归属理解为全局区域编号上的分布。对位置 </w:t>
      </w:r>
      <m:oMath>
        <m:r>
          <m:rPr/>
          <w:rPr>
            <w:rFonts w:hint="eastAsia" w:ascii="Cambria Math" w:hAnsi="Cambria Math" w:eastAsia="宋体" w:cs="宋体"/>
            <w:sz w:val="20"/>
          </w:rPr>
          <m:t>i</m:t>
        </m:r>
      </m:oMath>
      <w:r>
        <w:rPr>
          <w:rFonts w:hint="eastAsia" w:ascii="宋体" w:hAnsi="宋体" w:eastAsia="宋体" w:cs="宋体"/>
        </w:rPr>
        <w:t xml:space="preserve"> 及其四邻域内位置 </w:t>
      </w:r>
      <m:oMath>
        <m:r>
          <m:rPr/>
          <w:rPr>
            <w:rFonts w:hint="eastAsia" w:ascii="Cambria Math" w:hAnsi="Cambria Math" w:eastAsia="宋体" w:cs="宋体"/>
            <w:sz w:val="20"/>
          </w:rPr>
          <m:t>j</m:t>
        </m:r>
      </m:oMath>
      <w:r>
        <w:rPr>
          <w:rFonts w:hint="eastAsia" w:ascii="宋体" w:hAnsi="宋体" w:eastAsia="宋体" w:cs="宋体"/>
        </w:rPr>
        <w:t>，软分区差异定义为</w:t>
      </w:r>
    </w:p>
    <w:p w14:paraId="1E439071">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sSub>
          <m:sSubPr>
            <m:ctrlPr>
              <w:rPr>
                <w:rFonts w:hint="eastAsia" w:ascii="Cambria Math" w:hAnsi="Cambria Math" w:eastAsia="宋体" w:cs="宋体"/>
              </w:rPr>
            </m:ctrlPr>
          </m:sSubPr>
          <m:e>
            <m:r>
              <m:rPr/>
              <w:rPr>
                <w:rFonts w:hint="eastAsia" w:ascii="Cambria Math" w:hAnsi="Cambria Math" w:eastAsia="宋体" w:cs="宋体"/>
                <w:sz w:val="20"/>
              </w:rPr>
              <m:t>max</m:t>
            </m:r>
            <m:ctrlPr>
              <w:rPr>
                <w:rFonts w:hint="eastAsia" w:ascii="Cambria Math" w:hAnsi="Cambria Math" w:eastAsia="宋体" w:cs="宋体"/>
              </w:rPr>
            </m:ctrlPr>
          </m:e>
          <m:sub>
            <m:r>
              <m:rPr/>
              <w:rPr>
                <w:rFonts w:hint="eastAsia" w:ascii="Cambria Math" w:hAnsi="Cambria Math" w:eastAsia="宋体" w:cs="宋体"/>
                <w:sz w:val="20"/>
              </w:rPr>
              <m:t>j∈</m:t>
            </m:r>
            <m:r>
              <m:rPr>
                <m:scr m:val="script"/>
              </m:rPr>
              <w:rPr>
                <w:rFonts w:hint="eastAsia" w:ascii="Cambria Math" w:hAnsi="Cambria Math" w:eastAsia="MS Mincho" w:cs="MS Mincho"/>
                <w:sz w:val="20"/>
              </w:rPr>
              <m:t>A</m:t>
            </m:r>
            <m:r>
              <m:rPr/>
              <w:rPr>
                <w:rFonts w:hint="eastAsia" w:ascii="Cambria Math" w:hAnsi="Cambria Math" w:eastAsia="宋体" w:cs="宋体"/>
                <w:sz w:val="20"/>
              </w:rPr>
              <m:t>(i)</m:t>
            </m:r>
            <m:ctrlPr>
              <w:rPr>
                <w:rFonts w:hint="eastAsia" w:ascii="Cambria Math" w:hAnsi="Cambria Math" w:eastAsia="宋体" w:cs="宋体"/>
              </w:rPr>
            </m:ctrlPr>
          </m:sub>
        </m:sSub>
        <m:d>
          <m:dPr>
            <m:sepChr m:val="−"/>
            <m:ctrlPr>
              <w:rPr>
                <w:rFonts w:hint="eastAsia" w:ascii="Cambria Math" w:hAnsi="Cambria Math" w:eastAsia="宋体" w:cs="宋体"/>
              </w:rPr>
            </m:ctrlPr>
          </m:dPr>
          <m:e>
            <m:r>
              <m:rPr/>
              <w:rPr>
                <w:rFonts w:hint="eastAsia" w:ascii="Cambria Math" w:hAnsi="Cambria Math" w:eastAsia="宋体" w:cs="宋体"/>
                <w:sz w:val="20"/>
              </w:rPr>
              <m:t>1</m:t>
            </m:r>
            <m:ctrlPr>
              <w:rPr>
                <w:rFonts w:hint="eastAsia" w:ascii="Cambria Math" w:hAnsi="Cambria Math" w:eastAsia="宋体" w:cs="宋体"/>
              </w:rPr>
            </m:ctrlPr>
          </m:e>
          <m:e>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jk</m:t>
                </m:r>
                <m:ctrlPr>
                  <w:rPr>
                    <w:rFonts w:hint="eastAsia" w:ascii="Cambria Math" w:hAnsi="Cambria Math" w:eastAsia="宋体" w:cs="宋体"/>
                  </w:rPr>
                </m:ctrlPr>
              </m:sub>
            </m:sSub>
            <m:ctrlPr>
              <w:rPr>
                <w:rFonts w:hint="eastAsia" w:ascii="Cambria Math" w:hAnsi="Cambria Math" w:eastAsia="宋体" w:cs="宋体"/>
              </w:rPr>
            </m:ctrlPr>
          </m:e>
        </m:d>
      </m:oMath>
    </w:p>
    <w:p w14:paraId="5302C5F9">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H</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r>
              <m:rPr>
                <m:sty m:val="p"/>
              </m:rPr>
              <w:rPr>
                <w:rFonts w:hint="eastAsia" w:ascii="Cambria Math" w:hAnsi="Cambria Math" w:eastAsia="宋体" w:cs="宋体"/>
                <w:sz w:val="20"/>
              </w:rPr>
              <m:t>log</m:t>
            </m:r>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num>
          <m:den>
            <m:r>
              <m:rPr>
                <m:sty m:val="p"/>
              </m:rPr>
              <w:rPr>
                <w:rFonts w:hint="eastAsia" w:ascii="Cambria Math" w:hAnsi="Cambria Math" w:eastAsia="宋体" w:cs="宋体"/>
                <w:sz w:val="20"/>
              </w:rPr>
              <m:t>log</m:t>
            </m:r>
            <m:r>
              <m:rPr/>
              <w:rPr>
                <w:rFonts w:hint="eastAsia" w:ascii="Cambria Math" w:hAnsi="Cambria Math" w:eastAsia="宋体" w:cs="宋体"/>
                <w:sz w:val="20"/>
              </w:rPr>
              <m:t>9</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（4）</w:t>
      </w:r>
    </w:p>
    <w:p w14:paraId="668C557E">
      <w:pPr>
        <w:widowControl/>
        <w:rPr>
          <w:rFonts w:hint="eastAsia" w:ascii="宋体" w:hAnsi="宋体" w:eastAsia="宋体" w:cs="宋体"/>
        </w:rPr>
      </w:pPr>
      <m:oMath>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oMath>
      <w:r>
        <w:rPr>
          <w:rFonts w:hint="eastAsia" w:ascii="宋体" w:hAnsi="宋体" w:eastAsia="宋体" w:cs="宋体"/>
        </w:rPr>
        <w:t xml:space="preserve"> 描述相邻位置归属的一致程度，不等同于真实建筑边界；</w:t>
      </w:r>
      <m:oMath>
        <m:sSub>
          <m:sSubPr>
            <m:ctrlPr>
              <w:rPr>
                <w:rFonts w:hint="eastAsia" w:ascii="Cambria Math" w:hAnsi="Cambria Math" w:eastAsia="宋体" w:cs="宋体"/>
              </w:rPr>
            </m:ctrlPr>
          </m:sSubPr>
          <m:e>
            <m:r>
              <m:rPr/>
              <w:rPr>
                <w:rFonts w:hint="eastAsia" w:ascii="Cambria Math" w:hAnsi="Cambria Math" w:eastAsia="宋体" w:cs="宋体"/>
                <w:sz w:val="20"/>
              </w:rPr>
              <m:t>H</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oMath>
      <w:r>
        <w:rPr>
          <w:rFonts w:hint="eastAsia" w:ascii="宋体" w:hAnsi="宋体" w:eastAsia="宋体" w:cs="宋体"/>
        </w:rPr>
        <w:t xml:space="preserve"> 描述归属分散度，不作为经校准的预测不确定性。三种结构量缩放至融合特征网格后，由线性投影得到结构嵌入。结构适配为</w:t>
      </w:r>
    </w:p>
    <w:p w14:paraId="2A916DB8">
      <w:pPr>
        <w:widowControl/>
      </w:pPr>
      <w:r>
        <w:t>需要注意，式（4）的1−〈qᵢ,qⱼ〉不是严格的分布距离：相邻归属分布相同但较分散时，该量仍可能非零。因此本文将其称为软归属相容变化量，不将其视为真实建筑边界；其与归属熵可能相关，独立作用需由固定Q的条件消融检验。相邻位置的局部候选必须先按全局区域ID对齐后再计算。</w:t>
      </w:r>
    </w:p>
    <w:p w14:paraId="469DD921">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limUpp>
              <m:limUppPr>
                <m:ctrlPr>
                  <w:rPr>
                    <w:rFonts w:hint="eastAsia" w:ascii="Cambria Math" w:hAnsi="Cambria Math" w:eastAsia="宋体" w:cs="宋体"/>
                  </w:rPr>
                </m:ctrlPr>
              </m:limUppPr>
              <m:e>
                <m:r>
                  <m:rPr/>
                  <w:rPr>
                    <w:rFonts w:hint="eastAsia" w:ascii="Cambria Math" w:hAnsi="Cambria Math" w:eastAsia="宋体" w:cs="宋体"/>
                    <w:sz w:val="20"/>
                  </w:rPr>
                  <m:t>F</m:t>
                </m:r>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f</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)+Λ⊙MLP</m:t>
        </m:r>
        <m:d>
          <m:dPr>
            <m:sepChr m:val=""/>
            <m:ctrlPr>
              <w:rPr>
                <w:rFonts w:hint="eastAsia" w:ascii="Cambria Math" w:hAnsi="Cambria Math" w:eastAsia="宋体" w:cs="宋体"/>
              </w:rPr>
            </m:ctrlPr>
          </m:dPr>
          <m:e>
            <m:r>
              <m:rPr/>
              <w:rPr>
                <w:rFonts w:hint="eastAsia" w:ascii="Cambria Math" w:hAnsi="Cambria Math" w:eastAsia="宋体" w:cs="宋体"/>
                <w:sz w:val="20"/>
              </w:rPr>
              <m:t>LN[</m:t>
            </m:r>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f</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H</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e>
        </m:d>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（5）</w:t>
      </w:r>
    </w:p>
    <w:p w14:paraId="21671DA0">
      <w:pPr>
        <w:widowControl/>
        <w:rPr>
          <w:rFonts w:hint="eastAsia" w:ascii="宋体" w:hAnsi="宋体" w:eastAsia="宋体" w:cs="宋体"/>
        </w:rPr>
      </w:pPr>
      <m:oMath>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f</m:t>
            </m:r>
            <m:ctrlPr>
              <w:rPr>
                <w:rFonts w:hint="eastAsia" w:ascii="Cambria Math" w:hAnsi="Cambria Math" w:eastAsia="宋体" w:cs="宋体"/>
              </w:rPr>
            </m:ctrlPr>
          </m:sub>
        </m:sSub>
      </m:oMath>
      <w:r>
        <w:rPr>
          <w:rFonts w:hint="eastAsia" w:ascii="宋体" w:hAnsi="宋体" w:eastAsia="宋体" w:cs="宋体"/>
        </w:rPr>
        <w:t xml:space="preserve"> 将256维融合内容投影至128维，</w:t>
      </w:r>
      <m:oMath>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 将三维结构条件投影至128维。拼接后的256维向量经层归一化和两层感知机生成128维增量，</w:t>
      </w:r>
      <m:oMath>
        <m:r>
          <m:rPr/>
          <w:rPr>
            <w:rFonts w:hint="eastAsia" w:ascii="Cambria Math" w:hAnsi="Cambria Math" w:eastAsia="宋体" w:cs="宋体"/>
            <w:sz w:val="20"/>
          </w:rPr>
          <m:t>Λ</m:t>
        </m:r>
      </m:oMath>
      <w:r>
        <w:rPr>
          <w:rFonts w:hint="eastAsia" w:ascii="宋体" w:hAnsi="宋体" w:eastAsia="宋体" w:cs="宋体"/>
        </w:rPr>
        <w:t xml:space="preserve"> 是逐通道可学习缩放量，初值为 </w:t>
      </w:r>
      <m:oMath>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−3</m:t>
            </m:r>
            <m:ctrlPr>
              <w:rPr>
                <w:rFonts w:hint="eastAsia" w:ascii="Cambria Math" w:hAnsi="Cambria Math" w:eastAsia="宋体" w:cs="宋体"/>
              </w:rPr>
            </m:ctrlPr>
          </m:sup>
        </m:sSup>
      </m:oMath>
      <w:r>
        <w:rPr>
          <w:rFonts w:hint="eastAsia" w:ascii="宋体" w:hAnsi="宋体" w:eastAsia="宋体" w:cs="宋体"/>
        </w:rPr>
        <w:t>。这一初始化减小初始特征扰动，并不构成训练后的无损或性能不下降保证。</w:t>
      </w:r>
    </w:p>
    <w:p w14:paraId="3721CECC">
      <w:pPr>
        <w:widowControl/>
        <w:rPr>
          <w:rFonts w:hint="eastAsia" w:ascii="宋体" w:hAnsi="宋体" w:eastAsia="宋体" w:cs="宋体"/>
        </w:rPr>
      </w:pPr>
      <w:r>
        <w:rPr>
          <w:rFonts w:hint="eastAsia" w:ascii="宋体" w:hAnsi="宋体" w:eastAsia="宋体" w:cs="宋体"/>
        </w:rPr>
        <w:t xml:space="preserve">区域表示结合适配内容、未适配内容统计和区域几何。首先，通过点卷积与Sigmoid生成位置权重 </w:t>
      </w:r>
      <m:oMath>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oMath>
      <w:r>
        <w:rPr>
          <w:rFonts w:hint="eastAsia" w:ascii="宋体" w:hAnsi="宋体" w:eastAsia="宋体" w:cs="宋体"/>
        </w:rPr>
        <w:t>，再计算区域的注意力加权适配内容。该量在图2与式（6）中均记作</w:t>
      </w:r>
      <m:oMath>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w:t>
      </w:r>
    </w:p>
    <w:p w14:paraId="0E783BDA">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=σ(</m:t>
        </m:r>
        <m:sSubSup>
          <m:sSubSupPr>
            <m:ctrlPr>
              <w:rPr>
                <w:rFonts w:hint="eastAsia" w:ascii="Cambria Math" w:hAnsi="Cambria Math" w:eastAsia="宋体" w:cs="宋体"/>
              </w:rPr>
            </m:ctrlPr>
          </m:sSubSup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limUpp>
              <m:limUppPr>
                <m:ctrlPr>
                  <w:rPr>
                    <w:rFonts w:hint="eastAsia" w:ascii="Cambria Math" w:hAnsi="Cambria Math" w:eastAsia="宋体" w:cs="宋体"/>
                  </w:rPr>
                </m:ctrlPr>
              </m:limUppPr>
              <m:e>
                <m:r>
                  <m:rPr/>
                  <w:rPr>
                    <w:rFonts w:hint="eastAsia" w:ascii="Cambria Math" w:hAnsi="Cambria Math" w:eastAsia="宋体" w:cs="宋体"/>
                    <w:sz w:val="20"/>
                  </w:rPr>
                  <m:t>F</m:t>
                </m:r>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Sub>
        <m:r>
          <m:rPr/>
          <w:rPr>
            <w:rFonts w:hint="eastAsia" w:ascii="Cambria Math" w:hAnsi="Cambria Math" w:eastAsia="宋体" w:cs="宋体"/>
            <w:sz w:val="20"/>
          </w:rPr>
          <m:t>)</m:t>
        </m:r>
      </m:oMath>
    </w:p>
    <w:p w14:paraId="4EC22860">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sSub>
              <m:sSubPr>
                <m:ctrlPr>
                  <w:rPr>
                    <w:rFonts w:hint="eastAsia" w:ascii="Cambria Math" w:hAnsi="Cambria Math" w:eastAsia="宋体" w:cs="宋体"/>
                  </w:rPr>
                </m:ctrlPr>
              </m:sSubPr>
              <m:e>
                <m:limUpp>
                  <m:limUppPr>
                    <m:ctrlPr>
                      <w:rPr>
                        <w:rFonts w:hint="eastAsia" w:ascii="Cambria Math" w:hAnsi="Cambria Math" w:eastAsia="宋体" w:cs="宋体"/>
                      </w:rPr>
                    </m:ctrlPr>
                  </m:limUppPr>
                  <m:e>
                    <m:r>
                      <m:rPr/>
                      <w:rPr>
                        <w:rFonts w:hint="eastAsia" w:ascii="Cambria Math" w:hAnsi="Cambria Math" w:eastAsia="宋体" w:cs="宋体"/>
                        <w:sz w:val="20"/>
                      </w:rPr>
                      <m:t>F</m:t>
                    </m:r>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,ϵ)</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（6）</w:t>
      </w:r>
    </w:p>
    <w:p w14:paraId="7CA7D612">
      <w:pPr>
        <w:widowControl/>
        <w:rPr>
          <w:rFonts w:hint="eastAsia" w:ascii="宋体" w:hAnsi="宋体" w:eastAsia="宋体" w:cs="宋体"/>
        </w:rPr>
      </w:pPr>
      <w:r>
        <w:rPr>
          <w:rFonts w:hint="eastAsia" w:ascii="宋体" w:hAnsi="宋体" w:eastAsia="宋体" w:cs="宋体"/>
        </w:rPr>
        <w:t>图2统计旁路中的均值在下文记作</w:t>
      </w:r>
      <m:oMath>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，以区别于注意力加权的</w:t>
      </w:r>
      <m:oMath>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 xml:space="preserve">。式（6）、（7）中的数值稳定下界为10⁻⁶。另一方面，以 </w:t>
      </w:r>
      <m:oMath>
        <m:sSub>
          <m:sSubPr>
            <m:ctrlPr>
              <w:rPr>
                <w:rFonts w:hint="eastAsia" w:ascii="Cambria Math" w:hAnsi="Cambria Math" w:eastAsia="宋体" w:cs="宋体"/>
              </w:rPr>
            </m:ctrlPr>
          </m:sSubPr>
          <m:e>
            <m:r>
              <m:rPr/>
              <w:rPr>
                <w:rFonts w:hint="eastAsia" w:ascii="Cambria Math" w:hAnsi="Cambria Math" w:eastAsia="宋体" w:cs="宋体"/>
                <w:sz w:val="20"/>
              </w:rPr>
              <m:t>m</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oMath>
      <w:r>
        <w:rPr>
          <w:rFonts w:hint="eastAsia" w:ascii="宋体" w:hAnsi="宋体" w:eastAsia="宋体" w:cs="宋体"/>
        </w:rPr>
        <w:t xml:space="preserve"> 为区域质量，从未经过结构适配的 </w:t>
      </w:r>
      <m:oMath>
        <m:r>
          <m:rPr/>
          <w:rPr>
            <w:rFonts w:hint="eastAsia" w:ascii="Cambria Math" w:hAnsi="Cambria Math" w:eastAsia="宋体" w:cs="宋体"/>
            <w:sz w:val="20"/>
          </w:rPr>
          <m:t>F</m:t>
        </m:r>
      </m:oMath>
      <w:r>
        <w:rPr>
          <w:rFonts w:hint="eastAsia" w:ascii="宋体" w:hAnsi="宋体" w:eastAsia="宋体" w:cs="宋体"/>
        </w:rPr>
        <w:t xml:space="preserve"> 计算原特征均值</w:t>
      </w:r>
      <m:oMath>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和标准差：</w:t>
      </w:r>
    </w:p>
    <w:p w14:paraId="103238E4">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sSub>
              <m:sSubPr>
                <m:ctrlPr>
                  <w:rPr>
                    <w:rFonts w:hint="eastAsia" w:ascii="Cambria Math" w:hAnsi="Cambria Math" w:eastAsia="宋体" w:cs="宋体"/>
                  </w:rPr>
                </m:ctrlPr>
              </m:sSubPr>
              <m:e>
                <m:r>
                  <m:rPr/>
                  <w:rPr>
                    <w:rFonts w:hint="eastAsia" w:ascii="Cambria Math" w:hAnsi="Cambria Math" w:eastAsia="宋体" w:cs="宋体"/>
                    <w:sz w:val="20"/>
                  </w:rPr>
                  <m:t>m</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,ϵ)</m:t>
            </m:r>
            <m:ctrlPr>
              <w:rPr>
                <w:rFonts w:hint="eastAsia" w:ascii="Cambria Math" w:hAnsi="Cambria Math" w:eastAsia="宋体" w:cs="宋体"/>
              </w:rPr>
            </m:ctrlPr>
          </m:den>
        </m:f>
      </m:oMath>
    </w:p>
    <w:p w14:paraId="49F8DC6B">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σ</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rad>
          <m:radPr>
            <m:degHide m:val="1"/>
            <m:ctrlPr>
              <w:rPr>
                <w:rFonts w:hint="eastAsia" w:ascii="Cambria Math" w:hAnsi="Cambria Math" w:eastAsia="宋体" w:cs="宋体"/>
              </w:rPr>
            </m:ctrlPr>
          </m:radPr>
          <m:deg>
            <m:ctrlPr>
              <w:rPr>
                <w:rFonts w:hint="eastAsia" w:ascii="Cambria Math" w:hAnsi="Cambria Math" w:eastAsia="宋体" w:cs="宋体"/>
              </w:rPr>
            </m:ctrlPr>
          </m:deg>
          <m:e>
            <m:r>
              <m:rPr/>
              <w:rPr>
                <w:rFonts w:hint="eastAsia" w:ascii="Cambria Math" w:hAnsi="Cambria Math" w:eastAsia="宋体" w:cs="宋体"/>
                <w:sz w:val="20"/>
              </w:rPr>
              <m:t>max</m:t>
            </m:r>
            <m:d>
              <m:dPr>
                <m:sepChr m:val=""/>
                <m:ctrlPr>
                  <w:rPr>
                    <w:rFonts w:hint="eastAsia" w:ascii="Cambria Math" w:hAnsi="Cambria Math" w:eastAsia="宋体" w:cs="宋体"/>
                  </w:rPr>
                </m:ctrlPr>
              </m:dPr>
              <m:e>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up>
                        <m:r>
                          <m:rPr/>
                          <w:rPr>
                            <w:rFonts w:hint="eastAsia" w:ascii="Cambria Math" w:hAnsi="Cambria Math" w:eastAsia="宋体" w:cs="宋体"/>
                            <w:sz w:val="20"/>
                          </w:rPr>
                          <m:t>⊙2</m:t>
                        </m:r>
                        <m:ctrlPr>
                          <w:rPr>
                            <w:rFonts w:hint="eastAsia" w:ascii="Cambria Math" w:hAnsi="Cambria Math" w:eastAsia="宋体" w:cs="宋体"/>
                          </w:rPr>
                        </m:ctrlPr>
                      </m:sup>
                    </m:sSubSup>
                    <m:ctrlPr>
                      <w:rPr>
                        <w:rFonts w:hint="eastAsia" w:ascii="Cambria Math" w:hAnsi="Cambria Math" w:eastAsia="宋体" w:cs="宋体"/>
                      </w:rPr>
                    </m:ctrlPr>
                  </m:num>
                  <m:den>
                    <m:r>
                      <m:rPr/>
                      <w:rPr>
                        <w:rFonts w:hint="eastAsia" w:ascii="Cambria Math" w:hAnsi="Cambria Math" w:eastAsia="宋体" w:cs="宋体"/>
                        <w:sz w:val="20"/>
                      </w:rPr>
                      <m:t>max(</m:t>
                    </m:r>
                    <m:sSub>
                      <m:sSubPr>
                        <m:ctrlPr>
                          <w:rPr>
                            <w:rFonts w:hint="eastAsia" w:ascii="Cambria Math" w:hAnsi="Cambria Math" w:eastAsia="宋体" w:cs="宋体"/>
                          </w:rPr>
                        </m:ctrlPr>
                      </m:sSubPr>
                      <m:e>
                        <m:r>
                          <m:rPr/>
                          <w:rPr>
                            <w:rFonts w:hint="eastAsia" w:ascii="Cambria Math" w:hAnsi="Cambria Math" w:eastAsia="宋体" w:cs="宋体"/>
                            <w:sz w:val="20"/>
                          </w:rPr>
                          <m:t>m</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,ϵ)</m:t>
                    </m:r>
                    <m:ctrlPr>
                      <w:rPr>
                        <w:rFonts w:hint="eastAsia" w:ascii="Cambria Math" w:hAnsi="Cambria Math" w:eastAsia="宋体" w:cs="宋体"/>
                      </w:rPr>
                    </m:ctrlPr>
                  </m:den>
                </m:f>
                <m:r>
                  <m:rPr/>
                  <w:rPr>
                    <w:rFonts w:hint="eastAsia" w:ascii="Cambria Math" w:hAnsi="Cambria Math" w:eastAsia="宋体" w:cs="宋体"/>
                    <w:sz w:val="20"/>
                  </w:rPr>
                  <m:t>−</m:t>
                </m:r>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⊙2</m:t>
                    </m:r>
                    <m:ctrlPr>
                      <w:rPr>
                        <w:rFonts w:hint="eastAsia" w:ascii="Cambria Math" w:hAnsi="Cambria Math" w:eastAsia="宋体" w:cs="宋体"/>
                      </w:rPr>
                    </m:ctrlPr>
                  </m:sup>
                </m:sSubSup>
                <m:r>
                  <m:rPr/>
                  <w:rPr>
                    <w:rFonts w:hint="eastAsia" w:ascii="Cambria Math" w:hAnsi="Cambria Math" w:eastAsia="宋体" w:cs="宋体"/>
                    <w:sz w:val="20"/>
                  </w:rPr>
                  <m:t>,0</m:t>
                </m:r>
                <m:ctrlPr>
                  <w:rPr>
                    <w:rFonts w:hint="eastAsia" w:ascii="Cambria Math" w:hAnsi="Cambria Math" w:eastAsia="宋体" w:cs="宋体"/>
                  </w:rPr>
                </m:ctrlPr>
              </m:e>
            </m:d>
            <m:r>
              <m:rPr/>
              <w:rPr>
                <w:rFonts w:hint="eastAsia" w:ascii="Cambria Math" w:hAnsi="Cambria Math" w:eastAsia="宋体" w:cs="宋体"/>
                <w:sz w:val="20"/>
              </w:rPr>
              <m:t>+ϵ</m:t>
            </m:r>
            <m:ctrlPr>
              <w:rPr>
                <w:rFonts w:hint="eastAsia" w:ascii="Cambria Math" w:hAnsi="Cambria Math" w:eastAsia="宋体" w:cs="宋体"/>
              </w:rPr>
            </m:ctrlPr>
          </m:e>
        </m:rad>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（7）</w:t>
      </w:r>
    </w:p>
    <w:p w14:paraId="26C40E0B">
      <w:pPr>
        <w:widowControl/>
        <w:rPr>
          <w:rFonts w:hint="eastAsia" w:ascii="宋体" w:hAnsi="宋体" w:eastAsia="宋体" w:cs="宋体"/>
        </w:rPr>
      </w:pPr>
      <w:r>
        <w:rPr>
          <w:rFonts w:hint="eastAsia" w:ascii="宋体" w:hAnsi="宋体" w:eastAsia="宋体" w:cs="宋体"/>
        </w:rPr>
        <w:t xml:space="preserve">几何向量 </w:t>
      </w:r>
      <m:oMath>
        <m:sSub>
          <m:sSubPr>
            <m:ctrlPr>
              <w:rPr>
                <w:rFonts w:hint="eastAsia" w:ascii="Cambria Math" w:hAnsi="Cambria Math" w:eastAsia="宋体" w:cs="宋体"/>
              </w:rPr>
            </m:ctrlPr>
          </m:sSubPr>
          <m:e>
            <m:r>
              <m:rPr/>
              <w:rPr>
                <w:rFonts w:hint="eastAsia" w:ascii="Cambria Math" w:hAnsi="Cambria Math" w:eastAsia="宋体" w:cs="宋体"/>
                <w:sz w:val="20"/>
              </w:rPr>
              <m:t>g</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 xml:space="preserve"> 包含归一化区域质量、二维软质心及两个坐标轴上的软扩展度，共5维。这里的几何由 </w:t>
      </w:r>
      <m:oMath>
        <m:r>
          <m:rPr/>
          <w:rPr>
            <w:rFonts w:hint="eastAsia" w:ascii="Cambria Math" w:hAnsi="Cambria Math" w:eastAsia="宋体" w:cs="宋体"/>
            <w:sz w:val="20"/>
          </w:rPr>
          <m:t>Q</m:t>
        </m:r>
      </m:oMath>
      <w:r>
        <w:rPr>
          <w:rFonts w:hint="eastAsia" w:ascii="宋体" w:hAnsi="宋体" w:eastAsia="宋体" w:cs="宋体"/>
        </w:rPr>
        <w:t xml:space="preserve"> 与归一化坐标计算，不使用真实建筑轮廓。最终区域表示为</w:t>
      </w:r>
    </w:p>
    <w:p w14:paraId="351C0D3C">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=LN</m:t>
        </m:r>
        <m:d>
          <m:dPr>
            <m:sepChr m:val=""/>
            <m:ctrlPr>
              <w:rPr>
                <w:rFonts w:hint="eastAsia" w:ascii="Cambria Math" w:hAnsi="Cambria Math" w:eastAsia="宋体" w:cs="宋体"/>
              </w:rPr>
            </m:ctrlPr>
          </m:dPr>
          <m:e>
            <m:r>
              <m:rPr/>
              <w:rPr>
                <w:rFonts w:hint="eastAsia" w:ascii="Cambria Math" w:hAnsi="Cambria Math" w:eastAsia="宋体" w:cs="宋体"/>
                <w:sz w:val="20"/>
              </w:rPr>
              <m:t>ϕ(</m:t>
            </m:r>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r>
              <m:rPr>
                <m:sty m:val="p"/>
              </m:rPr>
              <w:rPr>
                <w:rFonts w:hint="eastAsia" w:ascii="Cambria Math" w:hAnsi="Cambria Math" w:eastAsia="宋体" w:cs="宋体"/>
                <w:sz w:val="20"/>
              </w:rPr>
              <m:t>tanh</m:t>
            </m:r>
            <m:r>
              <m:rPr/>
              <w:rPr>
                <w:rFonts w:hint="eastAsia" w:ascii="Cambria Math" w:hAnsi="Cambria Math" w:eastAsia="宋体" w:cs="宋体"/>
                <w:sz w:val="20"/>
              </w:rPr>
              <m:t>(α)ψ([</m:t>
            </m:r>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σ</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])+γ(</m:t>
            </m:r>
            <m:sSub>
              <m:sSubPr>
                <m:ctrlPr>
                  <w:rPr>
                    <w:rFonts w:hint="eastAsia" w:ascii="Cambria Math" w:hAnsi="Cambria Math" w:eastAsia="宋体" w:cs="宋体"/>
                  </w:rPr>
                </m:ctrlPr>
              </m:sSubPr>
              <m:e>
                <m:r>
                  <m:rPr/>
                  <w:rPr>
                    <w:rFonts w:hint="eastAsia" w:ascii="Cambria Math" w:hAnsi="Cambria Math" w:eastAsia="宋体" w:cs="宋体"/>
                    <w:sz w:val="20"/>
                  </w:rPr>
                  <m:t>g</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e>
        </m:d>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（8）</w:t>
      </w:r>
    </w:p>
    <w:p w14:paraId="1FAF6B4B">
      <w:pPr>
        <w:widowControl/>
        <w:rPr>
          <w:rFonts w:hint="eastAsia" w:ascii="宋体" w:hAnsi="宋体" w:eastAsia="宋体" w:cs="宋体"/>
        </w:rPr>
      </w:pPr>
      <m:oMath>
        <m:r>
          <m:rPr/>
          <w:rPr>
            <w:rFonts w:hint="eastAsia" w:ascii="Cambria Math" w:hAnsi="Cambria Math" w:eastAsia="宋体" w:cs="宋体"/>
            <w:sz w:val="20"/>
          </w:rPr>
          <m:t>ϕ</m:t>
        </m:r>
      </m:oMath>
      <w:r>
        <w:rPr>
          <w:rFonts w:hint="eastAsia" w:ascii="宋体" w:hAnsi="宋体" w:eastAsia="宋体" w:cs="宋体"/>
        </w:rPr>
        <w:t>、</w:t>
      </w:r>
      <m:oMath>
        <m:r>
          <m:rPr/>
          <w:rPr>
            <w:rFonts w:hint="eastAsia" w:ascii="Cambria Math" w:hAnsi="Cambria Math" w:eastAsia="宋体" w:cs="宋体"/>
            <w:sz w:val="20"/>
          </w:rPr>
          <m:t>ψ</m:t>
        </m:r>
      </m:oMath>
      <w:r>
        <w:rPr>
          <w:rFonts w:hint="eastAsia" w:ascii="宋体" w:hAnsi="宋体" w:eastAsia="宋体" w:cs="宋体"/>
        </w:rPr>
        <w:t xml:space="preserve"> 和 </w:t>
      </w:r>
      <m:oMath>
        <m:r>
          <m:rPr/>
          <w:rPr>
            <w:rFonts w:hint="eastAsia" w:ascii="Cambria Math" w:hAnsi="Cambria Math" w:eastAsia="宋体" w:cs="宋体"/>
            <w:sz w:val="20"/>
          </w:rPr>
          <m:t>γ</m:t>
        </m:r>
      </m:oMath>
      <w:r>
        <w:rPr>
          <w:rFonts w:hint="eastAsia" w:ascii="宋体" w:hAnsi="宋体" w:eastAsia="宋体" w:cs="宋体"/>
        </w:rPr>
        <w:t xml:space="preserve"> 为相应投影，输出维度均为128；</w:t>
      </w:r>
      <m:oMath>
        <m:r>
          <m:rPr/>
          <w:rPr>
            <w:rFonts w:hint="eastAsia" w:ascii="Cambria Math" w:hAnsi="Cambria Math" w:eastAsia="宋体" w:cs="宋体"/>
            <w:sz w:val="20"/>
          </w:rPr>
          <m:t>α</m:t>
        </m:r>
      </m:oMath>
      <w:r>
        <w:rPr>
          <w:rFonts w:hint="eastAsia" w:ascii="宋体" w:hAnsi="宋体" w:eastAsia="宋体" w:cs="宋体"/>
        </w:rPr>
        <w:t xml:space="preserve"> 为可学习标量，初值为0.1。质量不足的区域被标记为无效。主配置不额外使用全局区域自注意力。注意力池化、统计汇总和几何编码构成区域表征的基础组件，本文的结构侧方法重点是建筑软先验约束与分区信息驱动的特征适配。</w:t>
      </w:r>
    </w:p>
    <w:p w14:paraId="2854A007">
      <w:pPr>
        <w:keepNext/>
        <w:keepLines/>
        <w:widowControl/>
        <w:spacing w:before="0" w:after="40"/>
        <w:ind w:firstLine="0"/>
        <w:jc w:val="right"/>
        <w:rPr>
          <w:rFonts w:hint="eastAsia" w:ascii="宋体" w:hAnsi="宋体" w:eastAsia="宋体" w:cs="宋体"/>
        </w:rPr>
      </w:pPr>
      <w:r>
        <w:rPr>
          <w:rFonts w:hint="eastAsia" w:ascii="宋体" w:hAnsi="宋体" w:eastAsia="宋体" w:cs="宋体"/>
        </w:rPr>
        <w:drawing>
          <wp:inline distT="0" distB="0" distL="114300" distR="114300">
            <wp:extent cx="5542280" cy="3036570"/>
            <wp:effectExtent l="0" t="0" r="127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rcRect r="3291" b="-1121"/>
                    <a:stretch>
                      <a:fillRect/>
                    </a:stretch>
                  </pic:blipFill>
                  <pic:spPr>
                    <a:xfrm>
                      <a:off x="0" y="0"/>
                      <a:ext cx="5542280" cy="3036570"/>
                    </a:xfrm>
                    <a:prstGeom prst="rect">
                      <a:avLst/>
                    </a:prstGeom>
                  </pic:spPr>
                </pic:pic>
              </a:graphicData>
            </a:graphic>
          </wp:inline>
        </w:drawing>
      </w:r>
    </w:p>
    <w:p w14:paraId="7D248BA8">
      <w:pPr>
        <w:pStyle w:val="15"/>
        <w:keepNext/>
        <w:keepLines/>
        <w:jc w:val="center"/>
        <w:rPr>
          <w:rFonts w:hint="eastAsia" w:ascii="宋体" w:hAnsi="宋体" w:eastAsia="宋体" w:cs="宋体"/>
        </w:rPr>
      </w:pPr>
      <w:r>
        <w:rPr>
          <w:rFonts w:hint="eastAsia" w:ascii="宋体" w:hAnsi="宋体" w:eastAsia="宋体" w:cs="宋体"/>
        </w:rPr>
        <w:t>图2　建筑软先验约束的分区与结构条件区域编码</w:t>
      </w:r>
    </w:p>
    <w:p w14:paraId="7A50BAC7">
      <w:pPr>
        <w:pStyle w:val="4"/>
        <w:keepNext/>
        <w:rPr>
          <w:rFonts w:hint="eastAsia" w:ascii="宋体" w:hAnsi="宋体" w:eastAsia="宋体" w:cs="宋体"/>
        </w:rPr>
      </w:pPr>
      <w:r>
        <w:rPr>
          <w:rFonts w:hint="eastAsia" w:ascii="宋体" w:hAnsi="宋体" w:eastAsia="宋体" w:cs="宋体"/>
        </w:rPr>
        <w:t>D. 跨事件目标类别监督的区域检索</w:t>
      </w:r>
    </w:p>
    <w:p w14:paraId="3DD2A2DC">
      <w:pPr>
        <w:pStyle w:val="5"/>
        <w:keepNext/>
        <w:rPr>
          <w:rFonts w:hint="eastAsia" w:ascii="宋体" w:hAnsi="宋体" w:eastAsia="宋体" w:cs="宋体"/>
        </w:rPr>
      </w:pPr>
      <w:r>
        <w:rPr>
          <w:rFonts w:hint="eastAsia" w:ascii="宋体" w:hAnsi="宋体" w:eastAsia="宋体" w:cs="宋体"/>
        </w:rPr>
        <w:t>1) 训练区域支持库</w:t>
      </w:r>
    </w:p>
    <w:p w14:paraId="41F25929">
      <w:pPr>
        <w:widowControl/>
        <w:rPr>
          <w:rFonts w:hint="eastAsia" w:ascii="宋体" w:hAnsi="宋体" w:eastAsia="宋体" w:cs="宋体"/>
        </w:rPr>
      </w:pPr>
      <w:r>
        <w:rPr>
          <w:rFonts w:hint="eastAsia" w:ascii="宋体" w:hAnsi="宋体" w:eastAsia="宋体" w:cs="宋体"/>
        </w:rPr>
        <w:t xml:space="preserve">固定训练后的区域前端，对训练影像执行确定性的全图编码。每条候选记录包含区域表示 </w:t>
      </w:r>
      <m:oMath>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、训练标签组成 </w:t>
      </w:r>
      <m:oMath>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、区域几何、事件编号、灾害类型及图像编号。训练标签首先转换为四类别指示图，忽略无效标签，再通过面积缩放得到特征网格上的类别占比 </w:t>
      </w:r>
      <m:oMath>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ic</m:t>
            </m:r>
            <m:ctrlPr>
              <w:rPr>
                <w:rFonts w:hint="eastAsia" w:ascii="Cambria Math" w:hAnsi="Cambria Math" w:eastAsia="宋体" w:cs="宋体"/>
              </w:rPr>
            </m:ctrlPr>
          </m:sub>
        </m:sSub>
      </m:oMath>
      <w:r>
        <w:rPr>
          <w:rFonts w:hint="eastAsia" w:ascii="宋体" w:hAnsi="宋体" w:eastAsia="宋体" w:cs="宋体"/>
        </w:rPr>
        <w:t>。区域类别分布为</w:t>
      </w:r>
    </w:p>
    <w:p w14:paraId="2044D7AF">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kc</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ic</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nary>
              <m:naryPr>
                <m:chr m:val="∑"/>
                <m:grow m:val="1"/>
                <m:limLoc m:val="subSup"/>
                <m:supHide m:val="1"/>
                <m:ctrlPr>
                  <w:rPr>
                    <w:rFonts w:hint="eastAsia" w:ascii="Cambria Math" w:hAnsi="Cambria Math" w:eastAsia="宋体" w:cs="宋体"/>
                  </w:rPr>
                </m:ctrlPr>
              </m:naryPr>
              <m:sub>
                <m:sSup>
                  <m:sSupPr>
                    <m:ctrlPr>
                      <w:rPr>
                        <w:rFonts w:hint="eastAsia" w:ascii="Cambria Math" w:hAnsi="Cambria Math" w:eastAsia="宋体" w:cs="宋体"/>
                      </w:rPr>
                    </m:ctrlPr>
                  </m:sSupPr>
                  <m:e>
                    <m:r>
                      <m:rPr/>
                      <w:rPr>
                        <w:rFonts w:hint="eastAsia" w:ascii="Cambria Math" w:hAnsi="Cambria Math" w:eastAsia="宋体" w:cs="宋体"/>
                        <w:sz w:val="20"/>
                      </w:rPr>
                      <m:t>c</m:t>
                    </m:r>
                    <m:ctrlPr>
                      <w:rPr>
                        <w:rFonts w:hint="eastAsia" w:ascii="Cambria Math" w:hAnsi="Cambria Math" w:eastAsia="宋体" w:cs="宋体"/>
                      </w:rPr>
                    </m:ctrlPr>
                  </m:e>
                  <m:sup>
                    <m:r>
                      <m:rPr/>
                      <w:rPr>
                        <w:rFonts w:hint="eastAsia" w:ascii="Cambria Math" w:hAnsi="Cambria Math" w:eastAsia="宋体" w:cs="宋体"/>
                        <w:sz w:val="20"/>
                      </w:rPr>
                      <m:t>′</m:t>
                    </m:r>
                    <m:ctrlPr>
                      <w:rPr>
                        <w:rFonts w:hint="eastAsia" w:ascii="Cambria Math" w:hAnsi="Cambria Math" w:eastAsia="宋体" w:cs="宋体"/>
                      </w:rPr>
                    </m:ctrlPr>
                  </m:sup>
                </m:sSup>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m:t>
                    </m:r>
                    <m:sSup>
                      <m:sSupPr>
                        <m:ctrlPr>
                          <w:rPr>
                            <w:rFonts w:hint="eastAsia" w:ascii="Cambria Math" w:hAnsi="Cambria Math" w:eastAsia="宋体" w:cs="宋体"/>
                          </w:rPr>
                        </m:ctrlPr>
                      </m:sSupPr>
                      <m:e>
                        <m:r>
                          <m:rPr/>
                          <w:rPr>
                            <w:rFonts w:hint="eastAsia" w:ascii="Cambria Math" w:hAnsi="Cambria Math" w:eastAsia="宋体" w:cs="宋体"/>
                            <w:sz w:val="20"/>
                          </w:rPr>
                          <m:t>c</m:t>
                        </m:r>
                        <m:ctrlPr>
                          <w:rPr>
                            <w:rFonts w:hint="eastAsia" w:ascii="Cambria Math" w:hAnsi="Cambria Math" w:eastAsia="宋体" w:cs="宋体"/>
                          </w:rPr>
                        </m:ctrlPr>
                      </m:e>
                      <m:sup>
                        <m:r>
                          <m:rPr/>
                          <w:rPr>
                            <w:rFonts w:hint="eastAsia" w:ascii="Cambria Math" w:hAnsi="Cambria Math" w:eastAsia="宋体" w:cs="宋体"/>
                            <w:sz w:val="20"/>
                          </w:rPr>
                          <m:t>′</m:t>
                        </m:r>
                        <m:ctrlPr>
                          <w:rPr>
                            <w:rFonts w:hint="eastAsia" w:ascii="Cambria Math" w:hAnsi="Cambria Math" w:eastAsia="宋体" w:cs="宋体"/>
                          </w:rPr>
                        </m:ctrlPr>
                      </m:sup>
                    </m:sSup>
                    <m:ctrlPr>
                      <w:rPr>
                        <w:rFonts w:hint="eastAsia" w:ascii="Cambria Math" w:hAnsi="Cambria Math" w:eastAsia="宋体" w:cs="宋体"/>
                      </w:rPr>
                    </m:ctrlPr>
                  </m:sub>
                </m:sSub>
                <m:ctrlPr>
                  <w:rPr>
                    <w:rFonts w:hint="eastAsia" w:ascii="Cambria Math" w:hAnsi="Cambria Math" w:eastAsia="宋体" w:cs="宋体"/>
                  </w:rPr>
                </m:ctrlPr>
              </m:e>
            </m:nary>
            <m:r>
              <m:rPr/>
              <w:rPr>
                <w:rFonts w:hint="eastAsia" w:ascii="Cambria Math" w:hAnsi="Cambria Math" w:eastAsia="宋体" w:cs="宋体"/>
                <w:sz w:val="20"/>
              </w:rPr>
              <m:t>,</m:t>
            </m:r>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−8</m:t>
                </m:r>
                <m:ctrlPr>
                  <w:rPr>
                    <w:rFonts w:hint="eastAsia" w:ascii="Cambria Math" w:hAnsi="Cambria Math" w:eastAsia="宋体" w:cs="宋体"/>
                  </w:rPr>
                </m:ctrlPr>
              </m:sup>
            </m:sSup>
            <m:r>
              <m:rPr/>
              <w:rPr>
                <w:rFonts w:hint="eastAsia" w:ascii="Cambria Math" w:hAnsi="Cambria Math" w:eastAsia="宋体" w:cs="宋体"/>
                <w:sz w:val="20"/>
              </w:rPr>
              <m:t>)</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（9）</w:t>
      </w:r>
    </w:p>
    <w:p w14:paraId="7587B4EE">
      <w:pPr>
        <w:widowControl/>
        <w:rPr>
          <w:rFonts w:hint="eastAsia" w:ascii="宋体" w:hAnsi="宋体" w:eastAsia="宋体" w:cs="宋体"/>
        </w:rPr>
      </w:pPr>
      <w:r>
        <w:rPr>
          <w:rFonts w:hint="eastAsia" w:ascii="宋体" w:hAnsi="宋体" w:eastAsia="宋体" w:cs="宋体"/>
        </w:rPr>
        <w:t>支持库按“事件×主类别”分组，以随机优先级抽样保留每组至多64个区域。主类别涵盖背景、完好、受损和毁坏；其中后三类用于建筑损毁等级分析。该分组控制支持来源，并不在查询时按真实类别选择邻居。主设置建库时保留具有有效标签质量的混合区域，因此后续使用其完整类别分布，而非只使用一个硬标签。验证和测试影像及其标签均不进入支持库。</w:t>
      </w:r>
    </w:p>
    <w:p w14:paraId="329784E0">
      <w:pPr>
        <w:pStyle w:val="5"/>
        <w:keepNext/>
        <w:rPr>
          <w:rFonts w:hint="eastAsia" w:ascii="宋体" w:hAnsi="宋体" w:eastAsia="宋体" w:cs="宋体"/>
        </w:rPr>
      </w:pPr>
      <w:r>
        <w:rPr>
          <w:rFonts w:hint="eastAsia" w:ascii="宋体" w:hAnsi="宋体" w:eastAsia="宋体" w:cs="宋体"/>
        </w:rPr>
        <w:t>2) 跨事件类别监督的检索投影</w:t>
      </w:r>
    </w:p>
    <w:p w14:paraId="3C022851">
      <w:pPr>
        <w:widowControl/>
        <w:rPr>
          <w:rFonts w:hint="eastAsia" w:ascii="宋体" w:hAnsi="宋体" w:eastAsia="宋体" w:cs="宋体"/>
        </w:rPr>
      </w:pPr>
      <w:r>
        <w:rPr>
          <w:rFonts w:hint="eastAsia" w:ascii="宋体" w:hAnsi="宋体" w:eastAsia="宋体" w:cs="宋体"/>
        </w:rPr>
        <w:t>检索相关性由区域表示的相似性决定，而分类所需要的支持应与背景、完好、受损和毁坏四类目标标签相关。为检验二者能否更一致，本文在固定区域表示上学习一个独立检索投影。该投影只决定支持记录的排序；读取阶段使用原始支持表示及其记录内容。</w:t>
      </w:r>
    </w:p>
    <w:p w14:paraId="2DD40340">
      <w:pPr>
        <w:widowControl/>
        <w:rPr>
          <w:rFonts w:hint="eastAsia" w:ascii="宋体" w:hAnsi="宋体" w:eastAsia="宋体" w:cs="宋体"/>
        </w:rPr>
      </w:pPr>
      <w:r>
        <w:rPr>
          <w:rFonts w:hint="eastAsia" w:ascii="宋体" w:hAnsi="宋体" w:eastAsia="宋体" w:cs="宋体"/>
        </w:rPr>
        <w:t xml:space="preserve">设 </w:t>
      </w:r>
      <m:oMath>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r>
          <m:rPr/>
          <w:rPr>
            <w:rFonts w:hint="eastAsia" w:ascii="Cambria Math" w:hAnsi="Cambria Math" w:eastAsia="宋体" w:cs="宋体"/>
            <w:sz w:val="20"/>
          </w:rPr>
          <m:t>∈</m:t>
        </m:r>
        <m:sSup>
          <m:sSupPr>
            <m:ctrlPr>
              <w:rPr>
                <w:rFonts w:hint="eastAsia" w:ascii="Cambria Math" w:hAnsi="Cambria Math" w:eastAsia="宋体" w:cs="宋体"/>
              </w:rPr>
            </m:ctrlPr>
          </m:sSupPr>
          <m:e>
            <m:r>
              <m:rPr>
                <m:sty m:val="p"/>
                <m:scr m:val="double-struck"/>
              </m:rPr>
              <w:rPr>
                <w:rFonts w:hint="eastAsia" w:ascii="Cambria Math" w:hAnsi="Cambria Math" w:eastAsia="MS Mincho" w:cs="MS Mincho"/>
                <w:sz w:val="20"/>
              </w:rPr>
              <m:t>ℝ</m:t>
            </m:r>
            <m:ctrlPr>
              <w:rPr>
                <w:rFonts w:hint="eastAsia" w:ascii="Cambria Math" w:hAnsi="Cambria Math" w:eastAsia="宋体" w:cs="宋体"/>
              </w:rPr>
            </m:ctrlPr>
          </m:e>
          <m:sup>
            <m:r>
              <m:rPr/>
              <w:rPr>
                <w:rFonts w:hint="eastAsia" w:ascii="Cambria Math" w:hAnsi="Cambria Math" w:eastAsia="宋体" w:cs="宋体"/>
                <w:sz w:val="20"/>
              </w:rPr>
              <m:t>128×128</m:t>
            </m:r>
            <m:ctrlPr>
              <w:rPr>
                <w:rFonts w:hint="eastAsia" w:ascii="Cambria Math" w:hAnsi="Cambria Math" w:eastAsia="宋体" w:cs="宋体"/>
              </w:rPr>
            </m:ctrlPr>
          </m:sup>
        </m:sSup>
      </m:oMath>
      <w:r>
        <w:rPr>
          <w:rFonts w:hint="eastAsia" w:ascii="宋体" w:hAnsi="宋体" w:eastAsia="宋体" w:cs="宋体"/>
        </w:rPr>
        <w:t xml:space="preserve"> 为无偏置、恒等初始化的线性映射，检索键定义为</w:t>
      </w:r>
    </w:p>
    <w:p w14:paraId="6D887AB5">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m:t>
                </m:r>
                <m:ctrlPr>
                  <w:rPr>
                    <w:rFonts w:hint="eastAsia" w:ascii="Cambria Math" w:hAnsi="Cambria Math" w:eastAsia="宋体" w:cs="宋体"/>
                  </w:rPr>
                </m:ctrlPr>
              </m:e>
              <m:sub>
                <m:r>
                  <m:rPr/>
                  <w:rPr>
                    <w:rFonts w:hint="eastAsia" w:ascii="Cambria Math" w:hAnsi="Cambria Math" w:eastAsia="宋体" w:cs="宋体"/>
                    <w:sz w:val="20"/>
                  </w:rPr>
                  <m:t>2</m:t>
                </m:r>
                <m:ctrlPr>
                  <w:rPr>
                    <w:rFonts w:hint="eastAsia" w:ascii="Cambria Math" w:hAnsi="Cambria Math" w:eastAsia="宋体" w:cs="宋体"/>
                  </w:rPr>
                </m:ctrlPr>
              </m:sub>
            </m:sSub>
            <m:r>
              <m:rPr/>
              <w:rPr>
                <w:rFonts w:hint="eastAsia" w:ascii="Cambria Math" w:hAnsi="Cambria Math" w:eastAsia="宋体" w:cs="宋体"/>
                <w:sz w:val="20"/>
              </w:rPr>
              <m:t>,</m:t>
            </m:r>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−12</m:t>
                </m:r>
                <m:ctrlPr>
                  <w:rPr>
                    <w:rFonts w:hint="eastAsia" w:ascii="Cambria Math" w:hAnsi="Cambria Math" w:eastAsia="宋体" w:cs="宋体"/>
                  </w:rPr>
                </m:ctrlPr>
              </m:sup>
            </m:sSup>
            <m:r>
              <m:rPr/>
              <w:rPr>
                <w:rFonts w:hint="eastAsia" w:ascii="Cambria Math" w:hAnsi="Cambria Math" w:eastAsia="宋体" w:cs="宋体"/>
                <w:sz w:val="20"/>
              </w:rPr>
              <m:t>)</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（10）</w:t>
      </w:r>
    </w:p>
    <w:p w14:paraId="4550690B">
      <w:pPr>
        <w:widowControl/>
        <w:rPr>
          <w:rFonts w:hint="eastAsia" w:ascii="宋体" w:hAnsi="宋体" w:eastAsia="宋体" w:cs="宋体"/>
        </w:rPr>
      </w:pPr>
      <w:r>
        <w:rPr>
          <w:rFonts w:hint="eastAsia" w:ascii="宋体" w:hAnsi="宋体" w:eastAsia="宋体" w:cs="宋体"/>
        </w:rPr>
        <w:t xml:space="preserve">度量拟合使用支持库中主类别占比不低于0.8的区域。对锚点 </w:t>
      </w:r>
      <m:oMath>
        <m:r>
          <m:rPr/>
          <w:rPr>
            <w:rFonts w:hint="eastAsia" w:ascii="Cambria Math" w:hAnsi="Cambria Math" w:eastAsia="宋体" w:cs="宋体"/>
            <w:sz w:val="20"/>
          </w:rPr>
          <m:t>a</m:t>
        </m:r>
      </m:oMath>
      <w:r>
        <w:rPr>
          <w:rFonts w:hint="eastAsia" w:ascii="宋体" w:hAnsi="宋体" w:eastAsia="宋体" w:cs="宋体"/>
        </w:rPr>
        <w:t xml:space="preserve">，候选集合 </w:t>
      </w:r>
      <m:oMath>
        <m:r>
          <m:rPr>
            <m:scr m:val="script"/>
          </m:rPr>
          <w:rPr>
            <w:rFonts w:hint="eastAsia" w:ascii="Cambria Math" w:hAnsi="Cambria Math" w:eastAsia="MS Mincho" w:cs="MS Mincho"/>
            <w:sz w:val="20"/>
          </w:rPr>
          <m:t>C</m:t>
        </m:r>
        <m:r>
          <m:rPr/>
          <w:rPr>
            <w:rFonts w:hint="eastAsia" w:ascii="Cambria Math" w:hAnsi="Cambria Math" w:eastAsia="宋体" w:cs="宋体"/>
            <w:sz w:val="20"/>
          </w:rPr>
          <m:t>(a)</m:t>
        </m:r>
      </m:oMath>
      <w:r>
        <w:rPr>
          <w:rFonts w:hint="eastAsia" w:ascii="宋体" w:hAnsi="宋体" w:eastAsia="宋体" w:cs="宋体"/>
        </w:rPr>
        <w:t xml:space="preserve"> 仅含不同事件且不同图像的合格区域；正样本集合 </w:t>
      </w:r>
      <m:oMath>
        <m:r>
          <m:rPr>
            <m:scr m:val="script"/>
          </m:rPr>
          <w:rPr>
            <w:rFonts w:hint="eastAsia" w:ascii="Cambria Math" w:hAnsi="Cambria Math" w:eastAsia="MS Mincho" w:cs="MS Mincho"/>
            <w:sz w:val="20"/>
          </w:rPr>
          <m:t>P</m:t>
        </m:r>
        <m:r>
          <m:rPr/>
          <w:rPr>
            <w:rFonts w:hint="eastAsia" w:ascii="Cambria Math" w:hAnsi="Cambria Math" w:eastAsia="宋体" w:cs="宋体"/>
            <w:sz w:val="20"/>
          </w:rPr>
          <m:t>(a)⊂</m:t>
        </m:r>
        <m:r>
          <m:rPr>
            <m:scr m:val="script"/>
          </m:rPr>
          <w:rPr>
            <w:rFonts w:hint="eastAsia" w:ascii="Cambria Math" w:hAnsi="Cambria Math" w:eastAsia="MS Mincho" w:cs="MS Mincho"/>
            <w:sz w:val="20"/>
          </w:rPr>
          <m:t>C</m:t>
        </m:r>
        <m:r>
          <m:rPr/>
          <w:rPr>
            <w:rFonts w:hint="eastAsia" w:ascii="Cambria Math" w:hAnsi="Cambria Math" w:eastAsia="宋体" w:cs="宋体"/>
            <w:sz w:val="20"/>
          </w:rPr>
          <m:t>(a)</m:t>
        </m:r>
      </m:oMath>
      <w:r>
        <w:rPr>
          <w:rFonts w:hint="eastAsia" w:ascii="宋体" w:hAnsi="宋体" w:eastAsia="宋体" w:cs="宋体"/>
        </w:rPr>
        <w:t xml:space="preserve"> 进一步要求主类别相同，其余候选为负样本。依据监督对比学习的类别约束[17]，采用跨事件候选上的目标：</w:t>
      </w:r>
    </w:p>
    <w:p w14:paraId="159CBA69">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ℒ</m:t>
            </m:r>
            <m:ctrlPr>
              <w:rPr>
                <w:rFonts w:hint="eastAsia" w:ascii="Cambria Math" w:hAnsi="Cambria Math" w:eastAsia="宋体" w:cs="宋体"/>
              </w:rPr>
            </m:ctrlPr>
          </m:e>
          <m:sub>
            <m:r>
              <m:rPr>
                <m:sty m:val="p"/>
              </m:rPr>
              <w:rPr>
                <w:rFonts w:hint="eastAsia" w:ascii="Cambria Math" w:hAnsi="Cambria Math" w:eastAsia="宋体" w:cs="宋体"/>
                <w:sz w:val="20"/>
              </w:rPr>
              <m:t>ret</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r>
              <m:rPr/>
              <w:rPr>
                <w:rFonts w:hint="eastAsia" w:ascii="Cambria Math" w:hAnsi="Cambria Math" w:eastAsia="宋体" w:cs="宋体"/>
                <w:sz w:val="20"/>
              </w:rPr>
              <m:t>1</m:t>
            </m:r>
            <m:ctrlPr>
              <w:rPr>
                <w:rFonts w:hint="eastAsia" w:ascii="Cambria Math" w:hAnsi="Cambria Math" w:eastAsia="宋体" w:cs="宋体"/>
              </w:rPr>
            </m:ctrlPr>
          </m:num>
          <m:den>
            <m:d>
              <m:dPr>
                <m:begChr m:val="|"/>
                <m:sepChr m:val=""/>
                <m:endChr m:val="|"/>
                <m:ctrlPr>
                  <w:rPr>
                    <w:rFonts w:hint="eastAsia" w:ascii="Cambria Math" w:hAnsi="Cambria Math" w:eastAsia="宋体" w:cs="宋体"/>
                  </w:rPr>
                </m:ctrlPr>
              </m:dPr>
              <m:e>
                <m:r>
                  <m:rPr>
                    <m:scr m:val="script"/>
                  </m:rPr>
                  <w:rPr>
                    <w:rFonts w:hint="eastAsia" w:ascii="Cambria Math" w:hAnsi="Cambria Math" w:eastAsia="MS Mincho" w:cs="MS Mincho"/>
                    <w:sz w:val="20"/>
                  </w:rPr>
                  <m:t>U</m:t>
                </m:r>
                <m:ctrlPr>
                  <w:rPr>
                    <w:rFonts w:hint="eastAsia" w:ascii="Cambria Math" w:hAnsi="Cambria Math" w:eastAsia="宋体" w:cs="宋体"/>
                  </w:rPr>
                </m:ctrlPr>
              </m:e>
            </m:d>
            <m:ctrlPr>
              <w:rPr>
                <w:rFonts w:hint="eastAsia" w:ascii="Cambria Math" w:hAnsi="Cambria Math" w:eastAsia="宋体" w:cs="宋体"/>
              </w:rPr>
            </m:ctrlPr>
          </m:den>
        </m:f>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a∈</m:t>
            </m:r>
            <m:r>
              <m:rPr>
                <m:scr m:val="script"/>
              </m:rPr>
              <w:rPr>
                <w:rFonts w:hint="eastAsia" w:ascii="Cambria Math" w:hAnsi="Cambria Math" w:eastAsia="MS Mincho" w:cs="MS Mincho"/>
                <w:sz w:val="20"/>
              </w:rPr>
              <m:t>U</m:t>
            </m:r>
            <m:ctrlPr>
              <w:rPr>
                <w:rFonts w:hint="eastAsia" w:ascii="Cambria Math" w:hAnsi="Cambria Math" w:eastAsia="宋体" w:cs="宋体"/>
              </w:rPr>
            </m:ctrlPr>
          </m:sub>
          <m:sup>
            <m:ctrlPr>
              <w:rPr>
                <w:rFonts w:hint="eastAsia" w:ascii="Cambria Math" w:hAnsi="Cambria Math" w:eastAsia="宋体" w:cs="宋体"/>
              </w:rPr>
            </m:ctrlPr>
          </m:sup>
          <m:e>
            <m:f>
              <m:fPr>
                <m:ctrlPr>
                  <w:rPr>
                    <w:rFonts w:hint="eastAsia" w:ascii="Cambria Math" w:hAnsi="Cambria Math" w:eastAsia="宋体" w:cs="宋体"/>
                  </w:rPr>
                </m:ctrlPr>
              </m:fPr>
              <m:num>
                <m:r>
                  <m:rPr/>
                  <w:rPr>
                    <w:rFonts w:hint="eastAsia" w:ascii="Cambria Math" w:hAnsi="Cambria Math" w:eastAsia="宋体" w:cs="宋体"/>
                    <w:sz w:val="20"/>
                  </w:rPr>
                  <m:t>1</m:t>
                </m:r>
                <m:ctrlPr>
                  <w:rPr>
                    <w:rFonts w:hint="eastAsia" w:ascii="Cambria Math" w:hAnsi="Cambria Math" w:eastAsia="宋体" w:cs="宋体"/>
                  </w:rPr>
                </m:ctrlPr>
              </m:num>
              <m:den>
                <m:d>
                  <m:dPr>
                    <m:begChr m:val="|"/>
                    <m:sepChr m:val=""/>
                    <m:endChr m:val="|"/>
                    <m:ctrlPr>
                      <w:rPr>
                        <w:rFonts w:hint="eastAsia" w:ascii="Cambria Math" w:hAnsi="Cambria Math" w:eastAsia="宋体" w:cs="宋体"/>
                      </w:rPr>
                    </m:ctrlPr>
                  </m:dPr>
                  <m:e>
                    <m:r>
                      <m:rPr>
                        <m:scr m:val="script"/>
                      </m:rPr>
                      <w:rPr>
                        <w:rFonts w:hint="eastAsia" w:ascii="Cambria Math" w:hAnsi="Cambria Math" w:eastAsia="MS Mincho" w:cs="MS Mincho"/>
                        <w:sz w:val="20"/>
                      </w:rPr>
                      <m:t>P</m:t>
                    </m:r>
                    <m:r>
                      <m:rPr/>
                      <w:rPr>
                        <w:rFonts w:hint="eastAsia" w:ascii="Cambria Math" w:hAnsi="Cambria Math" w:eastAsia="宋体" w:cs="宋体"/>
                        <w:sz w:val="20"/>
                      </w:rPr>
                      <m:t>(a)</m:t>
                    </m:r>
                    <m:ctrlPr>
                      <w:rPr>
                        <w:rFonts w:hint="eastAsia" w:ascii="Cambria Math" w:hAnsi="Cambria Math" w:eastAsia="宋体" w:cs="宋体"/>
                      </w:rPr>
                    </m:ctrlPr>
                  </m:e>
                </m:d>
                <m:ctrlPr>
                  <w:rPr>
                    <w:rFonts w:hint="eastAsia" w:ascii="Cambria Math" w:hAnsi="Cambria Math" w:eastAsia="宋体" w:cs="宋体"/>
                  </w:rPr>
                </m:ctrlPr>
              </m:den>
            </m:f>
            <m:ctrlPr>
              <w:rPr>
                <w:rFonts w:hint="eastAsia" w:ascii="Cambria Math" w:hAnsi="Cambria Math" w:eastAsia="宋体" w:cs="宋体"/>
              </w:rPr>
            </m:ctrlPr>
          </m:e>
        </m:nary>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p∈</m:t>
            </m:r>
            <m:r>
              <m:rPr>
                <m:scr m:val="script"/>
              </m:rPr>
              <w:rPr>
                <w:rFonts w:hint="eastAsia" w:ascii="Cambria Math" w:hAnsi="Cambria Math" w:eastAsia="MS Mincho" w:cs="MS Mincho"/>
                <w:sz w:val="20"/>
              </w:rPr>
              <m:t>P</m:t>
            </m:r>
            <m:r>
              <m:rPr/>
              <w:rPr>
                <w:rFonts w:hint="eastAsia" w:ascii="Cambria Math" w:hAnsi="Cambria Math" w:eastAsia="宋体" w:cs="宋体"/>
                <w:sz w:val="20"/>
              </w:rPr>
              <m:t>(a)</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log</m:t>
            </m:r>
            <m:ctrlPr>
              <w:rPr>
                <w:rFonts w:hint="eastAsia" w:ascii="Cambria Math" w:hAnsi="Cambria Math" w:eastAsia="宋体" w:cs="宋体"/>
              </w:rPr>
            </m:ctrlPr>
          </m:e>
        </m:nary>
        <m:f>
          <m:fPr>
            <m:ctrlPr>
              <w:rPr>
                <w:rFonts w:hint="eastAsia" w:ascii="Cambria Math" w:hAnsi="Cambria Math" w:eastAsia="宋体" w:cs="宋体"/>
              </w:rPr>
            </m:ctrlPr>
          </m:fPr>
          <m:num>
            <m:r>
              <m:rPr>
                <m:sty m:val="p"/>
              </m:rPr>
              <w:rPr>
                <w:rFonts w:hint="eastAsia" w:ascii="Cambria Math" w:hAnsi="Cambria Math" w:eastAsia="宋体" w:cs="宋体"/>
                <w:sz w:val="20"/>
              </w:rPr>
              <m:t>exp</m:t>
            </m:r>
            <m:r>
              <m:rPr/>
              <w:rPr>
                <w:rFonts w:hint="eastAsia" w:ascii="Cambria Math" w:hAnsi="Cambria Math" w:eastAsia="宋体" w:cs="宋体"/>
                <w:sz w:val="20"/>
              </w:rPr>
              <m:t>(</m:t>
            </m:r>
            <m:sSubSup>
              <m:sSubSupPr>
                <m:ctrlPr>
                  <w:rPr>
                    <w:rFonts w:hint="eastAsia" w:ascii="Cambria Math" w:hAnsi="Cambria Math" w:eastAsia="宋体" w:cs="宋体"/>
                  </w:rPr>
                </m:ctrlPr>
              </m:sSubSup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p</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num>
          <m:den>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s∈</m:t>
                </m:r>
                <m:r>
                  <m:rPr>
                    <m:scr m:val="script"/>
                  </m:rPr>
                  <w:rPr>
                    <w:rFonts w:hint="eastAsia" w:ascii="Cambria Math" w:hAnsi="Cambria Math" w:eastAsia="MS Mincho" w:cs="MS Mincho"/>
                    <w:sz w:val="20"/>
                  </w:rPr>
                  <m:t>C</m:t>
                </m:r>
                <m:r>
                  <m:rPr/>
                  <w:rPr>
                    <w:rFonts w:hint="eastAsia" w:ascii="Cambria Math" w:hAnsi="Cambria Math" w:eastAsia="宋体" w:cs="宋体"/>
                    <w:sz w:val="20"/>
                  </w:rPr>
                  <m:t>(a)</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exp</m:t>
                </m:r>
                <m:r>
                  <m:rPr/>
                  <w:rPr>
                    <w:rFonts w:hint="eastAsia" w:ascii="Cambria Math" w:hAnsi="Cambria Math" w:eastAsia="宋体" w:cs="宋体"/>
                    <w:sz w:val="20"/>
                  </w:rPr>
                  <m:t>(</m:t>
                </m:r>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（11）</w:t>
      </w:r>
    </w:p>
    <w:p w14:paraId="49D482E2">
      <w:pPr>
        <w:widowControl/>
        <w:rPr>
          <w:rFonts w:hint="eastAsia" w:ascii="宋体" w:hAnsi="宋体" w:eastAsia="宋体" w:cs="宋体"/>
        </w:rPr>
      </w:pPr>
      <m:oMath>
        <m:r>
          <m:rPr>
            <m:scr m:val="script"/>
          </m:rPr>
          <w:rPr>
            <w:rFonts w:hint="eastAsia" w:ascii="Cambria Math" w:hAnsi="Cambria Math" w:eastAsia="MS Mincho" w:cs="MS Mincho"/>
            <w:sz w:val="20"/>
          </w:rPr>
          <m:t>U</m:t>
        </m:r>
      </m:oMath>
      <w:r>
        <w:rPr>
          <w:rFonts w:hint="eastAsia" w:ascii="宋体" w:hAnsi="宋体" w:eastAsia="宋体" w:cs="宋体"/>
        </w:rPr>
        <w:t xml:space="preserve"> 为同时具有跨事件正、负样本的锚点集合。锚点按可用类别均衡抽样；缺少有效配对的样本不通过同事件配对补足。主配置要求四类均有跨事件覆盖，温度 </w:t>
      </w:r>
      <m:oMath>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oMath>
      <w:r>
        <w:rPr>
          <w:rFonts w:hint="eastAsia" w:ascii="宋体" w:hAnsi="宋体" w:eastAsia="宋体" w:cs="宋体"/>
        </w:rPr>
        <w:t xml:space="preserve"> 为0.1。拟合期间区域表示及支持库固定，梯度仅更新 </w:t>
      </w:r>
      <m:oMath>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oMath>
      <w:r>
        <w:rPr>
          <w:rFonts w:hint="eastAsia" w:ascii="宋体" w:hAnsi="宋体" w:eastAsia="宋体" w:cs="宋体"/>
        </w:rPr>
        <w:t>。高纯度条件用于度量拟合，不等于推理支持库只保留高纯度区域。</w:t>
      </w:r>
    </w:p>
    <w:p w14:paraId="4CF98EC7">
      <w:pPr>
        <w:widowControl/>
        <w:rPr>
          <w:rFonts w:hint="eastAsia" w:ascii="宋体" w:hAnsi="宋体" w:eastAsia="宋体" w:cs="宋体"/>
        </w:rPr>
      </w:pPr>
      <w:r>
        <w:rPr>
          <w:rFonts w:hint="eastAsia" w:ascii="宋体" w:hAnsi="宋体" w:eastAsia="宋体" w:cs="宋体"/>
        </w:rPr>
        <w:t xml:space="preserve">对于查询区域 </w:t>
      </w:r>
      <m:oMath>
        <m:r>
          <m:rPr/>
          <w:rPr>
            <w:rFonts w:hint="eastAsia" w:ascii="Cambria Math" w:hAnsi="Cambria Math" w:eastAsia="宋体" w:cs="宋体"/>
            <w:sz w:val="20"/>
          </w:rPr>
          <m:t>k</m:t>
        </m:r>
      </m:oMath>
      <w:r>
        <w:rPr>
          <w:rFonts w:hint="eastAsia" w:ascii="宋体" w:hAnsi="宋体" w:eastAsia="宋体" w:cs="宋体"/>
        </w:rPr>
        <w:t xml:space="preserve">，在排除同事件及同图像记录后，使用 </w:t>
      </w:r>
      <m:oMath>
        <m:sSubSup>
          <m:sSubSupPr>
            <m:ctrlPr>
              <w:rPr>
                <w:rFonts w:hint="eastAsia" w:ascii="Cambria Math" w:hAnsi="Cambria Math" w:eastAsia="宋体" w:cs="宋体"/>
              </w:rPr>
            </m:ctrlPr>
          </m:sSubSup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 选取Top-8支持。查询标签不参与检索。余弦检索对照使用原始 </w:t>
      </w:r>
      <m:oMath>
        <m:r>
          <m:rPr/>
          <w:rPr>
            <w:rFonts w:hint="eastAsia" w:ascii="Cambria Math" w:hAnsi="Cambria Math" w:eastAsia="宋体" w:cs="宋体"/>
            <w:sz w:val="20"/>
          </w:rPr>
          <m:t>T</m:t>
        </m:r>
      </m:oMath>
      <w:r>
        <w:rPr>
          <w:rFonts w:hint="eastAsia" w:ascii="宋体" w:hAnsi="宋体" w:eastAsia="宋体" w:cs="宋体"/>
        </w:rPr>
        <w:t xml:space="preserve"> 的单位长度归一化，其余支持库成员及读取结构保持一致。跨事件监督是对邻居选择的约束，不据此直接假定已经得到事件不变表示。</w:t>
      </w:r>
    </w:p>
    <w:p w14:paraId="2E699CFC">
      <w:pPr>
        <w:pStyle w:val="4"/>
        <w:keepNext/>
        <w:rPr>
          <w:rFonts w:hint="eastAsia" w:ascii="宋体" w:hAnsi="宋体" w:eastAsia="宋体" w:cs="宋体"/>
        </w:rPr>
      </w:pPr>
      <w:r>
        <w:rPr>
          <w:rFonts w:hint="eastAsia" w:ascii="宋体" w:hAnsi="宋体" w:eastAsia="宋体" w:cs="宋体"/>
        </w:rPr>
        <w:t>E. 支持读取与像素联合判别</w:t>
      </w:r>
    </w:p>
    <w:p w14:paraId="3BCDC7C4">
      <w:pPr>
        <w:widowControl/>
        <w:rPr>
          <w:rFonts w:hint="eastAsia" w:ascii="宋体" w:hAnsi="宋体" w:eastAsia="宋体" w:cs="宋体"/>
        </w:rPr>
      </w:pPr>
      <w:r>
        <w:rPr>
          <w:rFonts w:hint="eastAsia" w:ascii="宋体" w:hAnsi="宋体" w:eastAsia="宋体" w:cs="宋体"/>
        </w:rPr>
        <w:t xml:space="preserve">对检索得到的支持集合 </w:t>
      </w:r>
      <m:oMath>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S</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，读取器以区域内容作为键，将标签组成和元数据嵌入加入值向量：</w:t>
      </w:r>
    </w:p>
    <w:p w14:paraId="65239EEA">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K</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p>
    <w:p w14:paraId="6B6FBC3C">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y</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d</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d</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e</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g</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g</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（12）</w:t>
      </w:r>
    </w:p>
    <w:p w14:paraId="0C69D1BF">
      <w:pPr>
        <w:widowControl/>
        <w:rPr>
          <w:rFonts w:hint="eastAsia" w:ascii="宋体" w:hAnsi="宋体" w:eastAsia="宋体" w:cs="宋体"/>
        </w:rPr>
      </w:pPr>
      <w:r>
        <w:rPr>
          <w:rFonts w:hint="eastAsia" w:ascii="宋体" w:hAnsi="宋体" w:eastAsia="宋体" w:cs="宋体"/>
        </w:rPr>
        <w:t>其中，</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y</m:t>
            </m:r>
            <m:ctrlPr>
              <w:rPr>
                <w:rFonts w:hint="eastAsia" w:ascii="Cambria Math" w:hAnsi="Cambria Math" w:eastAsia="宋体" w:cs="宋体"/>
              </w:rPr>
            </m:ctrlPr>
          </m:sub>
        </m:sSub>
      </m:oMath>
      <w:r>
        <w:rPr>
          <w:rFonts w:hint="eastAsia" w:ascii="宋体" w:hAnsi="宋体" w:eastAsia="宋体" w:cs="宋体"/>
        </w:rPr>
        <w:t xml:space="preserve"> 为四类标签嵌入表，</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d</m:t>
            </m:r>
            <m:ctrlPr>
              <w:rPr>
                <w:rFonts w:hint="eastAsia" w:ascii="Cambria Math" w:hAnsi="Cambria Math" w:eastAsia="宋体" w:cs="宋体"/>
              </w:rPr>
            </m:ctrlPr>
          </m:sub>
        </m:sSub>
      </m:oMath>
      <w:r>
        <w:rPr>
          <w:rFonts w:hint="eastAsia" w:ascii="宋体" w:hAnsi="宋体" w:eastAsia="宋体" w:cs="宋体"/>
        </w:rPr>
        <w:t>、</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e</m:t>
            </m:r>
            <m:ctrlPr>
              <w:rPr>
                <w:rFonts w:hint="eastAsia" w:ascii="Cambria Math" w:hAnsi="Cambria Math" w:eastAsia="宋体" w:cs="宋体"/>
              </w:rPr>
            </m:ctrlPr>
          </m:sub>
        </m:sSub>
      </m:oMath>
      <w:r>
        <w:rPr>
          <w:rFonts w:hint="eastAsia" w:ascii="宋体" w:hAnsi="宋体" w:eastAsia="宋体" w:cs="宋体"/>
        </w:rPr>
        <w:t xml:space="preserve"> 与 </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g</m:t>
            </m:r>
            <m:ctrlPr>
              <w:rPr>
                <w:rFonts w:hint="eastAsia" w:ascii="Cambria Math" w:hAnsi="Cambria Math" w:eastAsia="宋体" w:cs="宋体"/>
              </w:rPr>
            </m:ctrlPr>
          </m:sub>
        </m:sSub>
      </m:oMath>
      <w:r>
        <w:rPr>
          <w:rFonts w:hint="eastAsia" w:ascii="宋体" w:hAnsi="宋体" w:eastAsia="宋体" w:cs="宋体"/>
        </w:rPr>
        <w:t xml:space="preserve"> 分别编码支持的灾害类型、事件及几何；</w:t>
      </w:r>
      <m:oMath>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y</m:t>
            </m:r>
            <m:ctrlPr>
              <w:rPr>
                <w:rFonts w:hint="eastAsia" w:ascii="Cambria Math" w:hAnsi="Cambria Math" w:eastAsia="宋体" w:cs="宋体"/>
              </w:rPr>
            </m:ctrlPr>
          </m:sub>
        </m:sSub>
      </m:oMath>
      <w:r>
        <w:rPr>
          <w:rFonts w:hint="eastAsia" w:ascii="宋体" w:hAnsi="宋体" w:eastAsia="宋体" w:cs="宋体"/>
        </w:rPr>
        <w:t xml:space="preserve"> 保留混合区域的类别组成。查询、键和值分别归一化后进入四头交叉注意力，随后通过残差与前馈网络更新查询区域：</w:t>
      </w:r>
    </w:p>
    <w:p w14:paraId="4FEC78DE">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U</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+MHA(</m:t>
        </m:r>
        <m:sSub>
          <m:sSubPr>
            <m:ctrlPr>
              <w:rPr>
                <w:rFonts w:hint="eastAsia" w:ascii="Cambria Math" w:hAnsi="Cambria Math" w:eastAsia="宋体" w:cs="宋体"/>
              </w:rPr>
            </m:ctrlPr>
          </m:sSubPr>
          <m:e>
            <m:r>
              <m:rPr/>
              <w:rPr>
                <w:rFonts w:hint="eastAsia" w:ascii="Cambria Math" w:hAnsi="Cambria Math" w:eastAsia="宋体" w:cs="宋体"/>
                <w:sz w:val="20"/>
              </w:rPr>
              <m:t>LN</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LN</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K</m:t>
            </m:r>
            <m:ctrlPr>
              <w:rPr>
                <w:rFonts w:hint="eastAsia" w:ascii="Cambria Math" w:hAnsi="Cambria Math" w:eastAsia="宋体" w:cs="宋体"/>
              </w:rPr>
            </m:ctrlPr>
          </m:e>
          <m:sub>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S</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LN</m:t>
            </m:r>
            <m:ctrlPr>
              <w:rPr>
                <w:rFonts w:hint="eastAsia" w:ascii="Cambria Math" w:hAnsi="Cambria Math" w:eastAsia="宋体" w:cs="宋体"/>
              </w:rPr>
            </m:ctrlPr>
          </m:e>
          <m:sub>
            <m:r>
              <m:rPr/>
              <w:rPr>
                <w:rFonts w:hint="eastAsia" w:ascii="Cambria Math" w:hAnsi="Cambria Math" w:eastAsia="宋体" w:cs="宋体"/>
                <w:sz w:val="20"/>
              </w:rPr>
              <m:t>v</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S</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ctrlPr>
              <w:rPr>
                <w:rFonts w:hint="eastAsia" w:ascii="Cambria Math" w:hAnsi="Cambria Math" w:eastAsia="宋体" w:cs="宋体"/>
              </w:rPr>
            </m:ctrlPr>
          </m:sub>
        </m:sSub>
        <m:r>
          <m:rPr/>
          <w:rPr>
            <w:rFonts w:hint="eastAsia" w:ascii="Cambria Math" w:hAnsi="Cambria Math" w:eastAsia="宋体" w:cs="宋体"/>
            <w:sz w:val="20"/>
          </w:rPr>
          <m:t>)</m:t>
        </m:r>
      </m:oMath>
    </w:p>
    <w:p w14:paraId="0B7CCA87">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U</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+FFN(LN</m:t>
        </m:r>
        <m:sSub>
          <m:sSubPr>
            <m:ctrlPr>
              <w:rPr>
                <w:rFonts w:hint="eastAsia" w:ascii="Cambria Math" w:hAnsi="Cambria Math" w:eastAsia="宋体" w:cs="宋体"/>
              </w:rPr>
            </m:ctrlPr>
          </m:sSubPr>
          <m:e>
            <m:r>
              <m:rPr/>
              <w:rPr>
                <w:rFonts w:hint="eastAsia" w:ascii="Cambria Math" w:hAnsi="Cambria Math" w:eastAsia="宋体" w:cs="宋体"/>
                <w:sz w:val="20"/>
              </w:rPr>
              <m:t>U</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（13）</w:t>
      </w:r>
    </w:p>
    <w:p w14:paraId="79F29A6A">
      <w:pPr>
        <w:widowControl/>
        <w:rPr>
          <w:rFonts w:hint="eastAsia" w:ascii="宋体" w:hAnsi="宋体" w:eastAsia="宋体" w:cs="宋体"/>
        </w:rPr>
      </w:pPr>
      <w:r>
        <w:rPr>
          <w:rFonts w:hint="eastAsia" w:ascii="宋体" w:hAnsi="宋体" w:eastAsia="宋体" w:cs="宋体"/>
        </w:rPr>
        <w:t>不足8个有效邻居时，对缺失位置使用可学习支持槽替代；无真实支持的对照模型使用相同数量的可学习槽。此机制保证读取输入定义完整，不用于判断已有邻居是否正确。事件嵌入用于支持内容编码，与检索时排除同事件是两个不同操作，其作用需通过元数据消融检验。</w:t>
      </w:r>
    </w:p>
    <w:p w14:paraId="60F8FF74">
      <w:pPr>
        <w:widowControl/>
        <w:rPr>
          <w:rFonts w:hint="eastAsia" w:ascii="宋体" w:hAnsi="宋体" w:eastAsia="宋体" w:cs="宋体"/>
        </w:rPr>
      </w:pPr>
      <w:r>
        <w:rPr>
          <w:rFonts w:hint="eastAsia" w:ascii="宋体" w:hAnsi="宋体" w:eastAsia="宋体" w:cs="宋体"/>
        </w:rPr>
        <w:t xml:space="preserve">增强区域表示通过生成区域时的同一 </w:t>
      </w:r>
      <m:oMath>
        <m:r>
          <m:rPr/>
          <w:rPr>
            <w:rFonts w:hint="eastAsia" w:ascii="Cambria Math" w:hAnsi="Cambria Math" w:eastAsia="宋体" w:cs="宋体"/>
            <w:sz w:val="20"/>
          </w:rPr>
          <m:t>Q</m:t>
        </m:r>
      </m:oMath>
      <w:r>
        <w:rPr>
          <w:rFonts w:hint="eastAsia" w:ascii="宋体" w:hAnsi="宋体" w:eastAsia="宋体" w:cs="宋体"/>
        </w:rPr>
        <w:t xml:space="preserve"> 映射至特征网格，得到区域上下文 </w:t>
      </w:r>
      <m:oMath>
        <m:r>
          <m:rPr/>
          <w:rPr>
            <w:rFonts w:hint="eastAsia" w:ascii="Cambria Math" w:hAnsi="Cambria Math" w:eastAsia="宋体" w:cs="宋体"/>
            <w:sz w:val="20"/>
          </w:rPr>
          <m:t>C</m:t>
        </m:r>
      </m:oMath>
      <w:r>
        <w:rPr>
          <w:rFonts w:hint="eastAsia" w:ascii="宋体" w:hAnsi="宋体" w:eastAsia="宋体" w:cs="宋体"/>
        </w:rPr>
        <w:t>。随后与保留的像素特征共同产生分类得分：</w:t>
      </w:r>
    </w:p>
    <w:p w14:paraId="1B7B4A4D">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oMath>
    </w:p>
    <w:p w14:paraId="6AF21F88">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z</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p</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c</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+b.</m:t>
        </m:r>
      </m:oMath>
      <w:r>
        <w:rPr>
          <w:rFonts w:hint="eastAsia" w:ascii="宋体" w:hAnsi="宋体" w:eastAsia="宋体" w:cs="宋体"/>
          <w:sz w:val="19"/>
        </w:rPr>
        <w:tab/>
      </w:r>
      <w:r>
        <w:rPr>
          <w:rFonts w:hint="eastAsia" w:ascii="宋体" w:hAnsi="宋体" w:eastAsia="宋体" w:cs="宋体"/>
          <w:sz w:val="19"/>
        </w:rPr>
        <w:t>（14）</w:t>
      </w:r>
    </w:p>
    <w:p w14:paraId="06D4C810">
      <w:pPr>
        <w:widowControl/>
        <w:rPr>
          <w:rFonts w:hint="eastAsia" w:ascii="宋体" w:hAnsi="宋体" w:eastAsia="宋体" w:cs="宋体"/>
        </w:rPr>
      </w:pPr>
      <w:r>
        <w:rPr>
          <w:rFonts w:hint="eastAsia" w:ascii="宋体" w:hAnsi="宋体" w:eastAsia="宋体" w:cs="宋体"/>
        </w:rPr>
        <w:t>联合得分经双线性插值恢复至输入分辨率，再作类别Softmax。这里回投的是区域特征，最终概率在联合分类后产生。</w:t>
      </w:r>
      <m:oMath>
        <m:r>
          <m:rPr/>
          <w:rPr>
            <w:rFonts w:hint="eastAsia" w:ascii="Cambria Math" w:hAnsi="Cambria Math" w:eastAsia="宋体" w:cs="宋体"/>
            <w:sz w:val="20"/>
          </w:rPr>
          <m:t>Q</m:t>
        </m:r>
      </m:oMath>
      <w:r>
        <w:rPr>
          <w:rFonts w:hint="eastAsia" w:ascii="宋体" w:hAnsi="宋体" w:eastAsia="宋体" w:cs="宋体"/>
        </w:rPr>
        <w:t xml:space="preserve"> 回投并非区域池化的逆变换；保留像素路径的目的，是让分类器仍可使用未经过区域压缩的输入，而非宣称已经恢复丢失信息。式（14）在代数上等价于拼接特征后的线性分类，其在本文中承担整体读出功能。</w:t>
      </w:r>
    </w:p>
    <w:p w14:paraId="3F5F62E6">
      <w:pPr>
        <w:keepNext/>
        <w:keepLines/>
        <w:widowControl/>
        <w:spacing w:before="0" w:after="40"/>
        <w:ind w:firstLine="0"/>
        <w:jc w:val="center"/>
        <w:rPr>
          <w:rFonts w:hint="eastAsia" w:ascii="宋体" w:hAnsi="宋体" w:eastAsia="宋体" w:cs="宋体"/>
        </w:rPr>
      </w:pPr>
      <w:r>
        <w:rPr>
          <w:rFonts w:hint="eastAsia" w:ascii="宋体" w:hAnsi="宋体" w:eastAsia="宋体" w:cs="宋体"/>
        </w:rPr>
        <w:drawing>
          <wp:inline distT="0" distB="0" distL="114300" distR="114300">
            <wp:extent cx="5770245" cy="2819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rcRect r="-687" b="6111"/>
                    <a:stretch>
                      <a:fillRect/>
                    </a:stretch>
                  </pic:blipFill>
                  <pic:spPr>
                    <a:xfrm>
                      <a:off x="0" y="0"/>
                      <a:ext cx="5770245" cy="2819400"/>
                    </a:xfrm>
                    <a:prstGeom prst="rect">
                      <a:avLst/>
                    </a:prstGeom>
                  </pic:spPr>
                </pic:pic>
              </a:graphicData>
            </a:graphic>
          </wp:inline>
        </w:drawing>
      </w:r>
    </w:p>
    <w:p w14:paraId="45219362">
      <w:pPr>
        <w:pStyle w:val="15"/>
        <w:keepNext/>
        <w:keepLines/>
        <w:jc w:val="center"/>
        <w:rPr>
          <w:rFonts w:hint="eastAsia" w:ascii="宋体" w:hAnsi="宋体" w:eastAsia="宋体" w:cs="宋体"/>
        </w:rPr>
      </w:pPr>
      <w:r>
        <w:rPr>
          <w:rFonts w:hint="eastAsia" w:ascii="宋体" w:hAnsi="宋体" w:eastAsia="宋体" w:cs="宋体"/>
        </w:rPr>
        <w:t>图3　跨事件支持检索、特征读取与像素联合判别</w:t>
      </w:r>
    </w:p>
    <w:p w14:paraId="60ED4BB3">
      <w:pPr>
        <w:pStyle w:val="4"/>
        <w:keepNext/>
        <w:rPr>
          <w:rFonts w:hint="eastAsia" w:ascii="宋体" w:hAnsi="宋体" w:eastAsia="宋体" w:cs="宋体"/>
        </w:rPr>
      </w:pPr>
      <w:r>
        <w:rPr>
          <w:rFonts w:hint="eastAsia" w:ascii="宋体" w:hAnsi="宋体" w:eastAsia="宋体" w:cs="宋体"/>
        </w:rPr>
        <w:t>F. 分阶段训练与目标函数</w:t>
      </w:r>
    </w:p>
    <w:p w14:paraId="38B7DAD4">
      <w:pPr>
        <w:widowControl/>
        <w:rPr>
          <w:rFonts w:hint="eastAsia" w:ascii="宋体" w:hAnsi="宋体" w:eastAsia="宋体" w:cs="宋体"/>
        </w:rPr>
      </w:pPr>
      <w:r>
        <w:t>训练分为区域前端学习、固定Train支持库构建、检索投影拟合及联合读出学习四步。建筑相容项与结构适配器在区域前端中学习，检索投影在区域表示固定后拟合。联合阶段冻结像素前端、区域编码、支持库及投影，仅更新Reader与联合头。最终预算、种子、权重、代码与评估版本在表1记录，不以历史中途快照替代正式配置。</w:t>
      </w:r>
    </w:p>
    <w:p w14:paraId="1538D9D9">
      <w:pPr>
        <w:widowControl/>
        <w:rPr>
          <w:rFonts w:hint="eastAsia" w:ascii="宋体" w:hAnsi="宋体" w:eastAsia="宋体" w:cs="宋体"/>
        </w:rPr>
      </w:pPr>
      <w:r>
        <w:rPr>
          <w:rFonts w:hint="eastAsia" w:ascii="宋体" w:hAnsi="宋体" w:eastAsia="宋体" w:cs="宋体"/>
        </w:rPr>
        <w:t xml:space="preserve">首先，冻结预训练像素前端的参数与运行状态，仅训练结构描述解码器、软分区模块、结构适配器、区域嵌入及辅助区域分类器。辅助分类器将 </w:t>
      </w:r>
      <m:oMath>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 xml:space="preserve"> 转为四类概率，通过 </w:t>
      </w:r>
      <m:oMath>
        <m:r>
          <m:rPr/>
          <w:rPr>
            <w:rFonts w:hint="eastAsia" w:ascii="Cambria Math" w:hAnsi="Cambria Math" w:eastAsia="宋体" w:cs="宋体"/>
            <w:sz w:val="20"/>
          </w:rPr>
          <m:t>Q</m:t>
        </m:r>
      </m:oMath>
      <w:r>
        <w:rPr>
          <w:rFonts w:hint="eastAsia" w:ascii="宋体" w:hAnsi="宋体" w:eastAsia="宋体" w:cs="宋体"/>
        </w:rPr>
        <w:t xml:space="preserve"> 分配回像素网格并恢复至标签分辨率，用于前端监督。此处的区域概率投影只服务于前端训练及区域对照，完整模型的最终读出采用式（14）的特征回投。</w:t>
      </w:r>
    </w:p>
    <w:p w14:paraId="6CBA7E6D">
      <w:pPr>
        <w:widowControl/>
        <w:rPr>
          <w:rFonts w:hint="eastAsia" w:ascii="宋体" w:hAnsi="宋体" w:eastAsia="宋体" w:cs="宋体"/>
        </w:rPr>
      </w:pPr>
      <w:r>
        <w:rPr>
          <w:rFonts w:hint="eastAsia" w:ascii="宋体" w:hAnsi="宋体" w:eastAsia="宋体" w:cs="宋体"/>
        </w:rPr>
        <w:t xml:space="preserve">对有效标签像素集合 </w:t>
      </w:r>
      <m:oMath>
        <m:r>
          <m:rPr/>
          <w:rPr>
            <w:rFonts w:hint="eastAsia" w:ascii="Cambria Math" w:hAnsi="Cambria Math" w:eastAsia="宋体" w:cs="宋体"/>
            <w:sz w:val="20"/>
          </w:rPr>
          <m:t>Ω</m:t>
        </m:r>
      </m:oMath>
      <w:r>
        <w:rPr>
          <w:rFonts w:hint="eastAsia" w:ascii="宋体" w:hAnsi="宋体" w:eastAsia="宋体" w:cs="宋体"/>
        </w:rPr>
        <w:t>，分割训练目标由平均负对数似然与Lovász-Softmax组成，后者用于构造分割交并比的优化代理[19]：</w:t>
      </w:r>
    </w:p>
    <w:p w14:paraId="28117CD2">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ℒ</m:t>
            </m:r>
            <m:ctrlPr>
              <w:rPr>
                <w:rFonts w:hint="eastAsia" w:ascii="Cambria Math" w:hAnsi="Cambria Math" w:eastAsia="宋体" w:cs="宋体"/>
              </w:rPr>
            </m:ctrlPr>
          </m:e>
          <m:sub>
            <m:r>
              <m:rPr>
                <m:sty m:val="p"/>
              </m:rPr>
              <w:rPr>
                <w:rFonts w:hint="eastAsia" w:ascii="Cambria Math" w:hAnsi="Cambria Math" w:eastAsia="宋体" w:cs="宋体"/>
                <w:sz w:val="20"/>
              </w:rPr>
              <m:t>seg</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r>
              <m:rPr/>
              <w:rPr>
                <w:rFonts w:hint="eastAsia" w:ascii="Cambria Math" w:hAnsi="Cambria Math" w:eastAsia="宋体" w:cs="宋体"/>
                <w:sz w:val="20"/>
              </w:rPr>
              <m:t>1</m:t>
            </m:r>
            <m:ctrlPr>
              <w:rPr>
                <w:rFonts w:hint="eastAsia" w:ascii="Cambria Math" w:hAnsi="Cambria Math" w:eastAsia="宋体" w:cs="宋体"/>
              </w:rPr>
            </m:ctrlPr>
          </m:num>
          <m:den>
            <m:d>
              <m:dPr>
                <m:begChr m:val="|"/>
                <m:sepChr m:val=""/>
                <m:endChr m:val="|"/>
                <m:ctrlPr>
                  <w:rPr>
                    <w:rFonts w:hint="eastAsia" w:ascii="Cambria Math" w:hAnsi="Cambria Math" w:eastAsia="宋体" w:cs="宋体"/>
                  </w:rPr>
                </m:ctrlPr>
              </m:dPr>
              <m:e>
                <m:r>
                  <m:rPr/>
                  <w:rPr>
                    <w:rFonts w:hint="eastAsia" w:ascii="Cambria Math" w:hAnsi="Cambria Math" w:eastAsia="宋体" w:cs="宋体"/>
                    <w:sz w:val="20"/>
                  </w:rPr>
                  <m:t>Ω</m:t>
                </m:r>
                <m:ctrlPr>
                  <w:rPr>
                    <w:rFonts w:hint="eastAsia" w:ascii="Cambria Math" w:hAnsi="Cambria Math" w:eastAsia="宋体" w:cs="宋体"/>
                  </w:rPr>
                </m:ctrlPr>
              </m:e>
            </m:d>
            <m:ctrlPr>
              <w:rPr>
                <w:rFonts w:hint="eastAsia" w:ascii="Cambria Math" w:hAnsi="Cambria Math" w:eastAsia="宋体" w:cs="宋体"/>
              </w:rPr>
            </m:ctrlPr>
          </m:den>
        </m:f>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i∈Ω</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log</m:t>
            </m:r>
            <m:r>
              <m:rPr/>
              <w:rPr>
                <w:rFonts w:hint="eastAsia" w:ascii="Cambria Math" w:hAnsi="Cambria Math" w:eastAsia="宋体" w:cs="宋体"/>
                <w:sz w:val="20"/>
              </w:rPr>
              <m:t>max(</m:t>
            </m:r>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i,</m:t>
            </m:r>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sub>
        </m:sSub>
        <m:r>
          <m:rPr/>
          <w:rPr>
            <w:rFonts w:hint="eastAsia" w:ascii="Cambria Math" w:hAnsi="Cambria Math" w:eastAsia="宋体" w:cs="宋体"/>
            <w:sz w:val="20"/>
          </w:rPr>
          <m:t>,</m:t>
        </m:r>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−8</m:t>
            </m:r>
            <m:ctrlPr>
              <w:rPr>
                <w:rFonts w:hint="eastAsia" w:ascii="Cambria Math" w:hAnsi="Cambria Math" w:eastAsia="宋体" w:cs="宋体"/>
              </w:rPr>
            </m:ctrlPr>
          </m:sup>
        </m:sSup>
        <m:r>
          <m:rPr/>
          <w:rPr>
            <w:rFonts w:hint="eastAsia" w:ascii="Cambria Math" w:hAnsi="Cambria Math" w:eastAsia="宋体" w:cs="宋体"/>
            <w:sz w:val="20"/>
          </w:rPr>
          <m:t>)+</m:t>
        </m:r>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ℒ</m:t>
            </m:r>
            <m:ctrlPr>
              <w:rPr>
                <w:rFonts w:hint="eastAsia" w:ascii="Cambria Math" w:hAnsi="Cambria Math" w:eastAsia="宋体" w:cs="宋体"/>
              </w:rPr>
            </m:ctrlPr>
          </m:e>
          <m:sub>
            <m:r>
              <m:rPr>
                <m:sty m:val="p"/>
              </m:rPr>
              <w:rPr>
                <w:rFonts w:hint="eastAsia" w:ascii="Cambria Math" w:hAnsi="Cambria Math" w:eastAsia="宋体" w:cs="宋体"/>
                <w:sz w:val="20"/>
              </w:rPr>
              <m:t>Lovasz</m:t>
            </m:r>
            <m:ctrlPr>
              <w:rPr>
                <w:rFonts w:hint="eastAsia" w:ascii="Cambria Math" w:hAnsi="Cambria Math" w:eastAsia="宋体" w:cs="宋体"/>
              </w:rPr>
            </m:ctrlPr>
          </m:sub>
        </m:sSub>
        <m:r>
          <m:rPr/>
          <w:rPr>
            <w:rFonts w:hint="eastAsia" w:ascii="Cambria Math" w:hAnsi="Cambria Math" w:eastAsia="宋体" w:cs="宋体"/>
            <w:sz w:val="20"/>
          </w:rPr>
          <m:t>(p,y).</m:t>
        </m:r>
      </m:oMath>
      <w:r>
        <w:rPr>
          <w:rFonts w:hint="eastAsia" w:ascii="宋体" w:hAnsi="宋体" w:eastAsia="宋体" w:cs="宋体"/>
          <w:sz w:val="19"/>
        </w:rPr>
        <w:tab/>
      </w:r>
      <w:r>
        <w:rPr>
          <w:rFonts w:hint="eastAsia" w:ascii="宋体" w:hAnsi="宋体" w:eastAsia="宋体" w:cs="宋体"/>
          <w:sz w:val="19"/>
        </w:rPr>
        <w:t>（15）</w:t>
      </w:r>
    </w:p>
    <w:p w14:paraId="1EE4B3CE">
      <w:pPr>
        <w:widowControl/>
        <w:rPr>
          <w:rFonts w:hint="eastAsia" w:ascii="宋体" w:hAnsi="宋体" w:eastAsia="宋体" w:cs="宋体"/>
        </w:rPr>
      </w:pPr>
      <w:r>
        <w:rPr>
          <w:rFonts w:hint="eastAsia" w:ascii="宋体" w:hAnsi="宋体" w:eastAsia="宋体" w:cs="宋体"/>
        </w:rPr>
        <w:t>两项损失等权使用，无效标签忽略；主配置不附加类别重加权、独立边界损失或归属熵最小化损失。前端学习完成或选定明确记录训练步数的快照后，固定前端并构建训练支持库。随后按式（11）拟合检索投影，拟合完成后将其冻结。</w:t>
      </w:r>
    </w:p>
    <w:p w14:paraId="334D5D77">
      <w:pPr>
        <w:widowControl/>
        <w:rPr>
          <w:rFonts w:hint="eastAsia" w:ascii="宋体" w:hAnsi="宋体" w:eastAsia="宋体" w:cs="宋体"/>
        </w:rPr>
      </w:pPr>
      <w:r>
        <w:t>最后，固定像素前端、区域编码、支持库及检索投影，仅训练支持读取器和联合分类头，仍使用式（15）。像素权重与偏置复制预训练分类器，上下文权重零初始化；在输入特征、运行状态、插值与解码一致的前提下，实际核验初始预测是否匹配指定像素路径。训练后像素权重和上下文权重均可更新，初始化不保证最终精度单调提高。</w:t>
      </w:r>
    </w:p>
    <w:p w14:paraId="0B575ED7">
      <w:pPr>
        <w:pStyle w:val="3"/>
        <w:keepNext/>
      </w:pPr>
      <w:r>
        <w:rPr>
          <w:rFonts w:ascii="Times New Roman" w:hAnsi="Times New Roman" w:eastAsia="宋体"/>
        </w:rPr>
        <w:t>IV. 实验与结果分析</w:t>
      </w:r>
    </w:p>
    <w:p w14:paraId="7E2052C9">
      <w:pPr>
        <w:pStyle w:val="4"/>
        <w:keepNext/>
      </w:pPr>
      <w:r>
        <w:rPr>
          <w:rFonts w:ascii="Times New Roman" w:hAnsi="Times New Roman" w:eastAsia="宋体"/>
        </w:rPr>
        <w:t>A. 数据集、评价口径与实验协议</w:t>
      </w:r>
    </w:p>
    <w:p w14:paraId="765CBDAC">
      <w:pPr>
        <w:widowControl/>
      </w:pPr>
      <w:r>
        <w:rPr>
          <w:rFonts w:ascii="Times New Roman" w:hAnsi="Times New Roman" w:eastAsia="宋体"/>
        </w:rPr>
        <w:t>本文采用BRIGHT标准机器学习划分，训练、验证和测试影像分别为2918、450和878幅，类别为背景、完好、受损和毁坏。训练集用于参数学习及支持库构建；验证集用于流程检查、有限选型与超参数确定；协议锁定后统一报告测试结果。数据集及标准划分属于既有评测基础[2]，不作为本文贡献。此前测试集使用情况应在实验版本记录中如实说明，不将已经参与探索的测试结果重新称为从未访问的盲测结果。</w:t>
      </w:r>
    </w:p>
    <w:p w14:paraId="7C5DC46A">
      <w:pPr>
        <w:widowControl/>
      </w:pPr>
      <w:r>
        <w:rPr>
          <w:rFonts w:ascii="Times New Roman" w:hAnsi="Times New Roman" w:eastAsia="宋体"/>
        </w:rPr>
        <w:t>所有同协议重训配置匹配输入与标签处理、预训练、优化器、损失、数据流、更新预算、随机种子和输出解码。公开文献报告与本地重训结果分开标记；设置未对齐的公开分数仅作为文献参考，不用于归因某一模块的收益。支持库与检索投影拟合仅使用Train记录。Val/Test影像不作为支持记录，其真实标签不参与前向分区、邻居选择或Reader输入；评价时，查询影像的预测特征正常用于检索与读取。图4说明数据覆盖的事件和影像。</w:t>
      </w:r>
    </w:p>
    <w:p w14:paraId="3368931C">
      <w:pPr>
        <w:keepNext/>
        <w:keepLines/>
        <w:widowControl/>
        <w:spacing w:before="0" w:after="40"/>
        <w:ind w:firstLine="0"/>
        <w:jc w:val="center"/>
        <w:rPr>
          <w:rFonts w:hint="eastAsia" w:ascii="宋体" w:hAnsi="宋体" w:eastAsia="宋体" w:cs="宋体"/>
        </w:rPr>
      </w:pPr>
      <w:r>
        <w:drawing>
          <wp:inline distT="0" distB="0" distL="114300" distR="114300">
            <wp:extent cx="5728335" cy="3124200"/>
            <wp:effectExtent l="0" t="0" r="5715"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0"/>
                    <a:stretch>
                      <a:fillRect/>
                    </a:stretch>
                  </pic:blipFill>
                  <pic:spPr>
                    <a:xfrm>
                      <a:off x="0" y="0"/>
                      <a:ext cx="5728335" cy="3124200"/>
                    </a:xfrm>
                    <a:prstGeom prst="rect">
                      <a:avLst/>
                    </a:prstGeom>
                    <a:noFill/>
                    <a:ln>
                      <a:noFill/>
                    </a:ln>
                  </pic:spPr>
                </pic:pic>
              </a:graphicData>
            </a:graphic>
          </wp:inline>
        </w:drawing>
      </w:r>
    </w:p>
    <w:p w14:paraId="0A6FC041">
      <w:pPr>
        <w:pStyle w:val="15"/>
        <w:keepNext/>
        <w:jc w:val="center"/>
      </w:pPr>
      <w:r>
        <w:rPr>
          <w:rFonts w:ascii="Times New Roman" w:hAnsi="Times New Roman" w:eastAsia="宋体"/>
        </w:rPr>
        <w:t>图4　BRIGHT灾害事件的空间分布与影像示例</w:t>
      </w:r>
    </w:p>
    <w:p w14:paraId="458D5AAA">
      <w:pPr>
        <w:widowControl/>
      </w:pPr>
      <w:r>
        <w:rPr>
          <w:rFonts w:ascii="Times New Roman" w:hAnsi="Times New Roman" w:eastAsia="宋体"/>
        </w:rPr>
        <w:t>总体指标由所有有效像素累计的四类混淆矩阵计算，行表示真实类别、列表示预测类别；无效标签忽略。四类mIoU固定平均背景、完好、受损和毁坏IoU，前景mIoU固定平均后三类。每个事件先单独累计混淆矩阵计算mIoU，再对事件等权平均；全局与事件宏平均不能互换。</w:t>
      </w:r>
    </w:p>
    <w:p w14:paraId="3FEE7002">
      <w:pPr>
        <w:widowControl/>
      </w:pPr>
      <w:r>
        <w:rPr>
          <w:rFonts w:ascii="Times New Roman" w:hAnsi="Times New Roman" w:eastAsia="宋体"/>
        </w:rPr>
        <w:t>mIoU₄＝(IoU背景＋IoU完好＋IoU受损＋IoU毁坏)/4；mIoU_fg＝(IoU完好＋IoU受损＋IoU毁坏)/3。</w:t>
      </w:r>
    </w:p>
    <w:p w14:paraId="7AA87C26">
      <w:pPr>
        <w:widowControl/>
      </w:pPr>
      <w:r>
        <w:rPr>
          <w:rFonts w:ascii="Times New Roman" w:hAnsi="Times New Roman" w:eastAsia="宋体"/>
        </w:rPr>
        <w:t>每类Precision、Recall和F1及OA作为补充并保存原始计数。分类F1按官方类别范围与平均方式计算；建筑定位F1若来自独立定位头，需使用该头的二类输出和混淆矩阵。由损毁预测折叠的建筑/背景指标另作说明。事件内缺失类别的处理沿用并记录统一评估协议，不为不同模型单独改变分母。</w:t>
      </w:r>
    </w:p>
    <w:p w14:paraId="7342055C">
      <w:pPr>
        <w:pStyle w:val="15"/>
        <w:keepNext/>
      </w:pPr>
      <w:r>
        <w:rPr>
          <w:rFonts w:ascii="Times New Roman" w:hAnsi="Times New Roman" w:eastAsia="宋体"/>
        </w:rPr>
        <w:t>表1　主要配置与可追溯实验协议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97"/>
        <w:gridCol w:w="2314"/>
        <w:gridCol w:w="2314"/>
      </w:tblGrid>
      <w:tr w14:paraId="33831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397" w:type="dxa"/>
            <w:shd w:val="clear" w:color="auto" w:fill="E8EDF2"/>
            <w:vAlign w:val="center"/>
          </w:tcPr>
          <w:p w14:paraId="3C2277D6">
            <w:pPr>
              <w:spacing w:before="20" w:after="20" w:line="252" w:lineRule="auto"/>
              <w:ind w:firstLine="0"/>
            </w:pPr>
            <w:r>
              <w:rPr>
                <w:rFonts w:ascii="Times New Roman" w:hAnsi="Times New Roman" w:eastAsia="宋体"/>
                <w:b/>
                <w:sz w:val="17"/>
              </w:rPr>
              <w:t>项目</w:t>
            </w:r>
          </w:p>
        </w:tc>
        <w:tc>
          <w:tcPr>
            <w:tcW w:w="2314" w:type="dxa"/>
            <w:shd w:val="clear" w:color="auto" w:fill="E8EDF2"/>
            <w:vAlign w:val="center"/>
          </w:tcPr>
          <w:p w14:paraId="777DB7FB">
            <w:pPr>
              <w:spacing w:before="20" w:after="20" w:line="252" w:lineRule="auto"/>
              <w:ind w:firstLine="0"/>
            </w:pPr>
            <w:r>
              <w:rPr>
                <w:rFonts w:ascii="Times New Roman" w:hAnsi="Times New Roman" w:eastAsia="宋体"/>
                <w:b/>
                <w:sz w:val="17"/>
              </w:rPr>
              <w:t>统一设定</w:t>
            </w:r>
          </w:p>
        </w:tc>
        <w:tc>
          <w:tcPr>
            <w:tcW w:w="2314" w:type="dxa"/>
            <w:shd w:val="clear" w:color="auto" w:fill="E8EDF2"/>
            <w:vAlign w:val="center"/>
          </w:tcPr>
          <w:p w14:paraId="1E21E1C0">
            <w:pPr>
              <w:spacing w:before="20" w:after="20" w:line="252" w:lineRule="auto"/>
              <w:ind w:firstLine="0"/>
            </w:pPr>
            <w:r>
              <w:rPr>
                <w:rFonts w:ascii="Times New Roman" w:hAnsi="Times New Roman" w:eastAsia="宋体"/>
                <w:b/>
                <w:sz w:val="17"/>
              </w:rPr>
              <w:t>最终记录</w:t>
            </w:r>
          </w:p>
        </w:tc>
      </w:tr>
      <w:tr w14:paraId="4D9C6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97" w:type="dxa"/>
            <w:vAlign w:val="center"/>
          </w:tcPr>
          <w:p w14:paraId="554512E9">
            <w:pPr>
              <w:spacing w:before="20" w:after="20" w:line="252" w:lineRule="auto"/>
              <w:ind w:firstLine="0"/>
            </w:pPr>
            <w:r>
              <w:rPr>
                <w:rFonts w:ascii="Times New Roman" w:hAnsi="Times New Roman" w:eastAsia="宋体"/>
                <w:b w:val="0"/>
                <w:sz w:val="17"/>
              </w:rPr>
              <w:t>输入/输出</w:t>
            </w:r>
          </w:p>
        </w:tc>
        <w:tc>
          <w:tcPr>
            <w:tcW w:w="2314" w:type="dxa"/>
            <w:vAlign w:val="center"/>
          </w:tcPr>
          <w:p w14:paraId="5EDA68C1">
            <w:pPr>
              <w:spacing w:before="20" w:after="20" w:line="252" w:lineRule="auto"/>
              <w:ind w:firstLine="0"/>
            </w:pPr>
            <w:r>
              <w:rPr>
                <w:rFonts w:ascii="Times New Roman" w:hAnsi="Times New Roman" w:eastAsia="宋体"/>
                <w:b w:val="0"/>
                <w:sz w:val="17"/>
              </w:rPr>
              <w:t>灾前光学RGB＋灾后SAR；四类像素预测</w:t>
            </w:r>
          </w:p>
        </w:tc>
        <w:tc>
          <w:tcPr>
            <w:tcW w:w="2314" w:type="dxa"/>
            <w:vAlign w:val="center"/>
          </w:tcPr>
          <w:p w14:paraId="0C3712BC">
            <w:pPr>
              <w:spacing w:before="20" w:after="20" w:line="252" w:lineRule="auto"/>
              <w:ind w:firstLine="0"/>
            </w:pPr>
          </w:p>
        </w:tc>
      </w:tr>
      <w:tr w14:paraId="13A33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97" w:type="dxa"/>
            <w:vAlign w:val="center"/>
          </w:tcPr>
          <w:p w14:paraId="192A8919">
            <w:pPr>
              <w:spacing w:before="20" w:after="20" w:line="252" w:lineRule="auto"/>
              <w:ind w:firstLine="0"/>
            </w:pPr>
            <w:r>
              <w:rPr>
                <w:rFonts w:ascii="Times New Roman" w:hAnsi="Times New Roman" w:eastAsia="宋体"/>
                <w:b w:val="0"/>
                <w:sz w:val="17"/>
              </w:rPr>
              <w:t>数据划分</w:t>
            </w:r>
          </w:p>
        </w:tc>
        <w:tc>
          <w:tcPr>
            <w:tcW w:w="2314" w:type="dxa"/>
            <w:vAlign w:val="center"/>
          </w:tcPr>
          <w:p w14:paraId="54E14AEC">
            <w:pPr>
              <w:spacing w:before="20" w:after="20" w:line="252" w:lineRule="auto"/>
              <w:ind w:firstLine="0"/>
            </w:pPr>
            <w:r>
              <w:rPr>
                <w:rFonts w:ascii="Times New Roman" w:hAnsi="Times New Roman" w:eastAsia="宋体"/>
                <w:b w:val="0"/>
                <w:sz w:val="17"/>
              </w:rPr>
              <w:t>BRIGHT标准Train/Val/Test；Train-only支持库</w:t>
            </w:r>
          </w:p>
        </w:tc>
        <w:tc>
          <w:tcPr>
            <w:tcW w:w="2314" w:type="dxa"/>
            <w:vAlign w:val="center"/>
          </w:tcPr>
          <w:p w14:paraId="3E30DEF9">
            <w:pPr>
              <w:spacing w:before="20" w:after="20" w:line="252" w:lineRule="auto"/>
              <w:ind w:firstLine="0"/>
            </w:pPr>
          </w:p>
        </w:tc>
      </w:tr>
      <w:tr w14:paraId="5CA35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97" w:type="dxa"/>
            <w:vAlign w:val="center"/>
          </w:tcPr>
          <w:p w14:paraId="46ABEB7F">
            <w:pPr>
              <w:spacing w:before="20" w:after="20" w:line="252" w:lineRule="auto"/>
              <w:ind w:firstLine="0"/>
            </w:pPr>
            <w:r>
              <w:rPr>
                <w:rFonts w:ascii="Times New Roman" w:hAnsi="Times New Roman" w:eastAsia="宋体"/>
                <w:b w:val="0"/>
                <w:sz w:val="17"/>
              </w:rPr>
              <w:t>区域结构</w:t>
            </w:r>
          </w:p>
        </w:tc>
        <w:tc>
          <w:tcPr>
            <w:tcW w:w="2314" w:type="dxa"/>
            <w:vAlign w:val="center"/>
          </w:tcPr>
          <w:p w14:paraId="4C25F277">
            <w:pPr>
              <w:spacing w:before="20" w:after="20" w:line="252" w:lineRule="auto"/>
              <w:ind w:firstLine="0"/>
            </w:pPr>
            <w:r>
              <w:rPr>
                <w:rFonts w:ascii="Times New Roman" w:hAnsi="Times New Roman" w:eastAsia="宋体"/>
                <w:b w:val="0"/>
                <w:sz w:val="17"/>
              </w:rPr>
              <w:t>初稿主配置：步长8、最多9候选、3轮更新</w:t>
            </w:r>
          </w:p>
        </w:tc>
        <w:tc>
          <w:tcPr>
            <w:tcW w:w="2314" w:type="dxa"/>
            <w:vAlign w:val="center"/>
          </w:tcPr>
          <w:p w14:paraId="5E6BB3FF">
            <w:pPr>
              <w:spacing w:before="20" w:after="20" w:line="252" w:lineRule="auto"/>
              <w:ind w:firstLine="0"/>
            </w:pPr>
          </w:p>
        </w:tc>
      </w:tr>
      <w:tr w14:paraId="746B7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97" w:type="dxa"/>
            <w:vAlign w:val="center"/>
          </w:tcPr>
          <w:p w14:paraId="074494BB">
            <w:pPr>
              <w:spacing w:before="20" w:after="20" w:line="252" w:lineRule="auto"/>
              <w:ind w:firstLine="0"/>
            </w:pPr>
            <w:r>
              <w:rPr>
                <w:rFonts w:ascii="Times New Roman" w:hAnsi="Times New Roman" w:eastAsia="宋体"/>
                <w:b w:val="0"/>
                <w:sz w:val="17"/>
              </w:rPr>
              <w:t>区域表示/检索</w:t>
            </w:r>
          </w:p>
        </w:tc>
        <w:tc>
          <w:tcPr>
            <w:tcW w:w="2314" w:type="dxa"/>
            <w:vAlign w:val="center"/>
          </w:tcPr>
          <w:p w14:paraId="2C449B88">
            <w:pPr>
              <w:spacing w:before="20" w:after="20" w:line="252" w:lineRule="auto"/>
              <w:ind w:firstLine="0"/>
            </w:pPr>
            <w:r>
              <w:rPr>
                <w:rFonts w:ascii="Times New Roman" w:hAnsi="Times New Roman" w:eastAsia="宋体"/>
                <w:b w:val="0"/>
                <w:sz w:val="17"/>
              </w:rPr>
              <w:t>128维区域表示；主配置Top-8</w:t>
            </w:r>
          </w:p>
        </w:tc>
        <w:tc>
          <w:tcPr>
            <w:tcW w:w="2314" w:type="dxa"/>
            <w:vAlign w:val="center"/>
          </w:tcPr>
          <w:p w14:paraId="71C0799C">
            <w:pPr>
              <w:spacing w:before="20" w:after="20" w:line="252" w:lineRule="auto"/>
              <w:ind w:firstLine="0"/>
            </w:pPr>
          </w:p>
        </w:tc>
      </w:tr>
      <w:tr w14:paraId="49EDE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97" w:type="dxa"/>
            <w:vAlign w:val="center"/>
          </w:tcPr>
          <w:p w14:paraId="2DFBB7A4">
            <w:pPr>
              <w:spacing w:before="20" w:after="20" w:line="252" w:lineRule="auto"/>
              <w:ind w:firstLine="0"/>
            </w:pPr>
            <w:r>
              <w:rPr>
                <w:rFonts w:ascii="Times New Roman" w:hAnsi="Times New Roman" w:eastAsia="宋体"/>
                <w:b w:val="0"/>
                <w:sz w:val="17"/>
              </w:rPr>
              <w:t>像素前端</w:t>
            </w:r>
          </w:p>
        </w:tc>
        <w:tc>
          <w:tcPr>
            <w:tcW w:w="2314" w:type="dxa"/>
            <w:vAlign w:val="center"/>
          </w:tcPr>
          <w:p w14:paraId="47A86940">
            <w:pPr>
              <w:spacing w:before="20" w:after="20" w:line="252" w:lineRule="auto"/>
              <w:ind w:firstLine="0"/>
            </w:pPr>
            <w:r>
              <w:rPr>
                <w:rFonts w:ascii="Times New Roman" w:hAnsi="Times New Roman" w:eastAsia="宋体"/>
                <w:b w:val="0"/>
                <w:sz w:val="17"/>
              </w:rPr>
              <w:t>同一MPF快照与冻结运行状态</w:t>
            </w:r>
          </w:p>
        </w:tc>
        <w:tc>
          <w:tcPr>
            <w:tcW w:w="2314" w:type="dxa"/>
            <w:vAlign w:val="center"/>
          </w:tcPr>
          <w:p w14:paraId="60D9FAFC">
            <w:pPr>
              <w:spacing w:before="20" w:after="20" w:line="252" w:lineRule="auto"/>
              <w:ind w:firstLine="0"/>
            </w:pPr>
          </w:p>
        </w:tc>
      </w:tr>
      <w:tr w14:paraId="5DF78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97" w:type="dxa"/>
            <w:vAlign w:val="center"/>
          </w:tcPr>
          <w:p w14:paraId="12937A75">
            <w:pPr>
              <w:spacing w:before="20" w:after="20" w:line="252" w:lineRule="auto"/>
              <w:ind w:firstLine="0"/>
            </w:pPr>
            <w:r>
              <w:rPr>
                <w:rFonts w:ascii="Times New Roman" w:hAnsi="Times New Roman" w:eastAsia="宋体"/>
                <w:b w:val="0"/>
                <w:sz w:val="17"/>
              </w:rPr>
              <w:t>训练预算与优化</w:t>
            </w:r>
          </w:p>
        </w:tc>
        <w:tc>
          <w:tcPr>
            <w:tcW w:w="2314" w:type="dxa"/>
            <w:vAlign w:val="center"/>
          </w:tcPr>
          <w:p w14:paraId="3335BEDA">
            <w:pPr>
              <w:spacing w:before="20" w:after="20" w:line="252" w:lineRule="auto"/>
              <w:ind w:firstLine="0"/>
            </w:pPr>
            <w:r>
              <w:rPr>
                <w:rFonts w:ascii="Times New Roman" w:hAnsi="Times New Roman" w:eastAsia="宋体"/>
                <w:b w:val="0"/>
                <w:sz w:val="17"/>
              </w:rPr>
              <w:t>区域、投影、Reader阶段分别记录</w:t>
            </w:r>
          </w:p>
        </w:tc>
        <w:tc>
          <w:tcPr>
            <w:tcW w:w="2314" w:type="dxa"/>
            <w:vAlign w:val="center"/>
          </w:tcPr>
          <w:p w14:paraId="63EDF4D8">
            <w:pPr>
              <w:spacing w:before="20" w:after="20" w:line="252" w:lineRule="auto"/>
              <w:ind w:firstLine="0"/>
            </w:pPr>
          </w:p>
        </w:tc>
      </w:tr>
      <w:tr w14:paraId="46CA9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97" w:type="dxa"/>
            <w:vAlign w:val="center"/>
          </w:tcPr>
          <w:p w14:paraId="6262F785">
            <w:pPr>
              <w:spacing w:before="20" w:after="20" w:line="252" w:lineRule="auto"/>
              <w:ind w:firstLine="0"/>
            </w:pPr>
            <w:r>
              <w:rPr>
                <w:rFonts w:ascii="Times New Roman" w:hAnsi="Times New Roman" w:eastAsia="宋体"/>
                <w:b w:val="0"/>
                <w:sz w:val="17"/>
              </w:rPr>
              <w:t>种子与选择规则</w:t>
            </w:r>
          </w:p>
        </w:tc>
        <w:tc>
          <w:tcPr>
            <w:tcW w:w="2314" w:type="dxa"/>
            <w:vAlign w:val="center"/>
          </w:tcPr>
          <w:p w14:paraId="1567747C">
            <w:pPr>
              <w:spacing w:before="20" w:after="20" w:line="252" w:lineRule="auto"/>
              <w:ind w:firstLine="0"/>
            </w:pPr>
            <w:r>
              <w:rPr>
                <w:rFonts w:ascii="Times New Roman" w:hAnsi="Times New Roman" w:eastAsia="宋体"/>
                <w:b w:val="0"/>
                <w:sz w:val="17"/>
              </w:rPr>
              <w:t>核心配置多个种子；各组规则相同</w:t>
            </w:r>
          </w:p>
        </w:tc>
        <w:tc>
          <w:tcPr>
            <w:tcW w:w="2314" w:type="dxa"/>
            <w:vAlign w:val="center"/>
          </w:tcPr>
          <w:p w14:paraId="7EFAAE70">
            <w:pPr>
              <w:spacing w:before="20" w:after="20" w:line="252" w:lineRule="auto"/>
              <w:ind w:firstLine="0"/>
            </w:pPr>
          </w:p>
        </w:tc>
      </w:tr>
      <w:tr w14:paraId="072EB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97" w:type="dxa"/>
            <w:vAlign w:val="center"/>
          </w:tcPr>
          <w:p w14:paraId="72966F90">
            <w:pPr>
              <w:spacing w:before="20" w:after="20" w:line="252" w:lineRule="auto"/>
              <w:ind w:firstLine="0"/>
            </w:pPr>
            <w:r>
              <w:rPr>
                <w:rFonts w:ascii="Times New Roman" w:hAnsi="Times New Roman" w:eastAsia="宋体"/>
                <w:b w:val="0"/>
                <w:sz w:val="17"/>
              </w:rPr>
              <w:t>损失与精度</w:t>
            </w:r>
          </w:p>
        </w:tc>
        <w:tc>
          <w:tcPr>
            <w:tcW w:w="2314" w:type="dxa"/>
            <w:vAlign w:val="center"/>
          </w:tcPr>
          <w:p w14:paraId="0C94005A">
            <w:pPr>
              <w:spacing w:before="20" w:after="20" w:line="252" w:lineRule="auto"/>
              <w:ind w:firstLine="0"/>
            </w:pPr>
            <w:r>
              <w:rPr>
                <w:rFonts w:ascii="Times New Roman" w:hAnsi="Times New Roman" w:eastAsia="宋体"/>
                <w:b w:val="0"/>
                <w:sz w:val="17"/>
              </w:rPr>
              <w:t>同损失、ignore、权重、精度和解码</w:t>
            </w:r>
          </w:p>
        </w:tc>
        <w:tc>
          <w:tcPr>
            <w:tcW w:w="2314" w:type="dxa"/>
            <w:vAlign w:val="center"/>
          </w:tcPr>
          <w:p w14:paraId="70B751C6">
            <w:pPr>
              <w:spacing w:before="20" w:after="20" w:line="252" w:lineRule="auto"/>
              <w:ind w:firstLine="0"/>
            </w:pPr>
          </w:p>
        </w:tc>
      </w:tr>
      <w:tr w14:paraId="6D09A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97" w:type="dxa"/>
            <w:vAlign w:val="center"/>
          </w:tcPr>
          <w:p w14:paraId="7492425F">
            <w:pPr>
              <w:spacing w:before="20" w:after="20" w:line="252" w:lineRule="auto"/>
              <w:ind w:firstLine="0"/>
            </w:pPr>
            <w:r>
              <w:rPr>
                <w:rFonts w:ascii="Times New Roman" w:hAnsi="Times New Roman" w:eastAsia="宋体"/>
                <w:b w:val="0"/>
                <w:sz w:val="17"/>
              </w:rPr>
              <w:t>支持库/排除</w:t>
            </w:r>
          </w:p>
        </w:tc>
        <w:tc>
          <w:tcPr>
            <w:tcW w:w="2314" w:type="dxa"/>
            <w:vAlign w:val="center"/>
          </w:tcPr>
          <w:p w14:paraId="19ADEBAB">
            <w:pPr>
              <w:spacing w:before="20" w:after="20" w:line="252" w:lineRule="auto"/>
              <w:ind w:firstLine="0"/>
            </w:pPr>
            <w:r>
              <w:rPr>
                <w:rFonts w:ascii="Times New Roman" w:hAnsi="Times New Roman" w:eastAsia="宋体"/>
                <w:b w:val="0"/>
                <w:sz w:val="17"/>
              </w:rPr>
              <w:t>记录成员、标签组成；排除同事件和同图像</w:t>
            </w:r>
          </w:p>
        </w:tc>
        <w:tc>
          <w:tcPr>
            <w:tcW w:w="2314" w:type="dxa"/>
            <w:vAlign w:val="center"/>
          </w:tcPr>
          <w:p w14:paraId="53A8C7D6">
            <w:pPr>
              <w:spacing w:before="20" w:after="20" w:line="252" w:lineRule="auto"/>
              <w:ind w:firstLine="0"/>
            </w:pPr>
          </w:p>
        </w:tc>
      </w:tr>
      <w:tr w14:paraId="746DA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97" w:type="dxa"/>
            <w:vAlign w:val="center"/>
          </w:tcPr>
          <w:p w14:paraId="724B453D">
            <w:pPr>
              <w:spacing w:before="20" w:after="20" w:line="252" w:lineRule="auto"/>
              <w:ind w:firstLine="0"/>
            </w:pPr>
            <w:r>
              <w:rPr>
                <w:rFonts w:ascii="Times New Roman" w:hAnsi="Times New Roman" w:eastAsia="宋体"/>
                <w:b w:val="0"/>
                <w:sz w:val="17"/>
              </w:rPr>
              <w:t>混合/边界诊断</w:t>
            </w:r>
          </w:p>
        </w:tc>
        <w:tc>
          <w:tcPr>
            <w:tcW w:w="2314" w:type="dxa"/>
            <w:vAlign w:val="center"/>
          </w:tcPr>
          <w:p w14:paraId="4693C911">
            <w:pPr>
              <w:spacing w:before="20" w:after="20" w:line="252" w:lineRule="auto"/>
              <w:ind w:firstLine="0"/>
            </w:pPr>
            <w:r>
              <w:rPr>
                <w:rFonts w:ascii="Times New Roman" w:hAnsi="Times New Roman" w:eastAsia="宋体"/>
                <w:b w:val="0"/>
                <w:sz w:val="17"/>
              </w:rPr>
              <w:t>Q加权建筑比例；原图尺度固定边界带宽</w:t>
            </w:r>
          </w:p>
        </w:tc>
        <w:tc>
          <w:tcPr>
            <w:tcW w:w="2314" w:type="dxa"/>
            <w:vAlign w:val="center"/>
          </w:tcPr>
          <w:p w14:paraId="5578F2C9">
            <w:pPr>
              <w:spacing w:before="20" w:after="20" w:line="252" w:lineRule="auto"/>
              <w:ind w:firstLine="0"/>
            </w:pPr>
          </w:p>
        </w:tc>
      </w:tr>
      <w:tr w14:paraId="731BE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97" w:type="dxa"/>
            <w:vAlign w:val="center"/>
          </w:tcPr>
          <w:p w14:paraId="2796DFDF">
            <w:pPr>
              <w:spacing w:before="20" w:after="20" w:line="252" w:lineRule="auto"/>
              <w:ind w:firstLine="0"/>
            </w:pPr>
            <w:r>
              <w:rPr>
                <w:rFonts w:ascii="Times New Roman" w:hAnsi="Times New Roman" w:eastAsia="宋体"/>
                <w:b w:val="0"/>
                <w:sz w:val="17"/>
              </w:rPr>
              <w:t>版本与来源</w:t>
            </w:r>
          </w:p>
        </w:tc>
        <w:tc>
          <w:tcPr>
            <w:tcW w:w="2314" w:type="dxa"/>
            <w:vAlign w:val="center"/>
          </w:tcPr>
          <w:p w14:paraId="1405A863">
            <w:pPr>
              <w:spacing w:before="20" w:after="20" w:line="252" w:lineRule="auto"/>
              <w:ind w:firstLine="0"/>
            </w:pPr>
            <w:r>
              <w:rPr>
                <w:rFonts w:ascii="Times New Roman" w:hAnsi="Times New Roman" w:eastAsia="宋体"/>
                <w:b w:val="0"/>
                <w:sz w:val="17"/>
              </w:rPr>
              <w:t>代码提交、权重/库/名单及评估脚本校验</w:t>
            </w:r>
          </w:p>
        </w:tc>
        <w:tc>
          <w:tcPr>
            <w:tcW w:w="2314" w:type="dxa"/>
            <w:vAlign w:val="center"/>
          </w:tcPr>
          <w:p w14:paraId="77B7A3CF">
            <w:pPr>
              <w:spacing w:before="20" w:after="20" w:line="252" w:lineRule="auto"/>
              <w:ind w:firstLine="0"/>
            </w:pPr>
          </w:p>
        </w:tc>
      </w:tr>
      <w:tr w14:paraId="24AA2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97" w:type="dxa"/>
            <w:vAlign w:val="center"/>
          </w:tcPr>
          <w:p w14:paraId="46A6738E">
            <w:pPr>
              <w:spacing w:before="20" w:after="20" w:line="252" w:lineRule="auto"/>
              <w:ind w:firstLine="0"/>
            </w:pPr>
            <w:r>
              <w:rPr>
                <w:rFonts w:ascii="Times New Roman" w:hAnsi="Times New Roman" w:eastAsia="宋体"/>
                <w:b w:val="0"/>
                <w:sz w:val="17"/>
              </w:rPr>
              <w:t>Test使用与保存</w:t>
            </w:r>
          </w:p>
        </w:tc>
        <w:tc>
          <w:tcPr>
            <w:tcW w:w="2314" w:type="dxa"/>
            <w:vAlign w:val="center"/>
          </w:tcPr>
          <w:p w14:paraId="6B3D094F">
            <w:pPr>
              <w:spacing w:before="20" w:after="20" w:line="252" w:lineRule="auto"/>
              <w:ind w:firstLine="0"/>
            </w:pPr>
            <w:r>
              <w:rPr>
                <w:rFonts w:ascii="Times New Roman" w:hAnsi="Times New Roman" w:eastAsia="宋体"/>
                <w:b w:val="0"/>
                <w:sz w:val="17"/>
              </w:rPr>
              <w:t>记录使用历史；保存全局与逐事件原始矩阵</w:t>
            </w:r>
          </w:p>
        </w:tc>
        <w:tc>
          <w:tcPr>
            <w:tcW w:w="2314" w:type="dxa"/>
            <w:vAlign w:val="center"/>
          </w:tcPr>
          <w:p w14:paraId="66F36E1E">
            <w:pPr>
              <w:spacing w:before="20" w:after="20" w:line="252" w:lineRule="auto"/>
              <w:ind w:firstLine="0"/>
            </w:pPr>
          </w:p>
        </w:tc>
      </w:tr>
    </w:tbl>
    <w:p w14:paraId="547E8FD5">
      <w:pPr>
        <w:widowControl/>
      </w:pPr>
    </w:p>
    <w:p w14:paraId="0D41F1BC">
      <w:pPr>
        <w:pStyle w:val="4"/>
        <w:keepNext/>
      </w:pPr>
      <w:r>
        <w:rPr>
          <w:rFonts w:ascii="Times New Roman" w:hAnsi="Times New Roman" w:eastAsia="宋体"/>
        </w:rPr>
        <w:t>B. 与已有方法的总体比较</w:t>
      </w:r>
    </w:p>
    <w:p w14:paraId="7A0AE364">
      <w:pPr>
        <w:widowControl/>
      </w:pPr>
      <w:r>
        <w:rPr>
          <w:rFonts w:ascii="Times New Roman" w:hAnsi="Times New Roman" w:eastAsia="宋体"/>
        </w:rPr>
        <w:t>表2比较已有模型、像素前端MPF和本文完整方法Ours。内部读出配置移入表5，避免把模块消融与外部模型比较混在同一张主表。每行按统一口径报告四类IoU、四类mIoU和前景mIoU，并保留OA及任务F1。来源栏按实际记录填写“公开文献”“本地评测”或“同协议重训”；不同来源需要分组或另增行，不把公开论文分数直接绑定到本地预测图。所有差值只在协议可比的配置间解释。</w:t>
      </w:r>
    </w:p>
    <w:p w14:paraId="21F49281">
      <w:pPr>
        <w:pStyle w:val="15"/>
        <w:keepNext/>
      </w:pPr>
      <w:r>
        <w:rPr>
          <w:rFonts w:ascii="Times New Roman" w:hAnsi="Times New Roman" w:eastAsia="宋体"/>
        </w:rPr>
        <w:t>表2　标准测试集总体比较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8"/>
        <w:gridCol w:w="894"/>
        <w:gridCol w:w="715"/>
        <w:gridCol w:w="715"/>
        <w:gridCol w:w="715"/>
        <w:gridCol w:w="715"/>
        <w:gridCol w:w="715"/>
        <w:gridCol w:w="715"/>
        <w:gridCol w:w="715"/>
        <w:gridCol w:w="715"/>
        <w:gridCol w:w="715"/>
      </w:tblGrid>
      <w:tr w14:paraId="2A21B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698" w:type="dxa"/>
            <w:shd w:val="clear" w:color="auto" w:fill="E8EDF2"/>
            <w:vAlign w:val="center"/>
          </w:tcPr>
          <w:p>
            <w:pPr>
              <w:spacing w:before="20" w:after="20" w:line="252" w:lineRule="auto"/>
              <w:ind w:firstLine="0"/>
            </w:pPr>
            <w:r>
              <w:rPr>
                <w:rFonts w:ascii="Times New Roman" w:hAnsi="Times New Roman" w:eastAsia="宋体"/>
                <w:b/>
                <w:sz w:val="15"/>
              </w:rPr>
              <w:t>方法</w:t>
            </w:r>
          </w:p>
        </w:tc>
        <w:tc>
          <w:tcPr>
            <w:tcW w:w="894" w:type="dxa"/>
            <w:shd w:val="clear" w:color="auto" w:fill="E8EDF2"/>
            <w:vAlign w:val="center"/>
          </w:tcPr>
          <w:p>
            <w:pPr>
              <w:spacing w:before="20" w:after="20" w:line="252" w:lineRule="auto"/>
              <w:ind w:firstLine="0"/>
            </w:pPr>
            <w:r>
              <w:rPr>
                <w:rFonts w:ascii="Times New Roman" w:hAnsi="Times New Roman" w:eastAsia="宋体"/>
                <w:b/>
                <w:sz w:val="15"/>
              </w:rPr>
              <w:t>结果来源</w:t>
            </w:r>
          </w:p>
        </w:tc>
        <w:tc>
          <w:tcPr>
            <w:tcW w:w="715" w:type="dxa"/>
            <w:shd w:val="clear" w:color="auto" w:fill="E8EDF2"/>
            <w:vAlign w:val="center"/>
          </w:tcPr>
          <w:p>
            <w:pPr>
              <w:spacing w:before="20" w:after="20" w:line="252" w:lineRule="auto"/>
              <w:ind w:firstLine="0"/>
            </w:pPr>
            <w:r>
              <w:rPr>
                <w:rFonts w:ascii="Times New Roman" w:hAnsi="Times New Roman" w:eastAsia="宋体"/>
                <w:b/>
                <w:sz w:val="15"/>
              </w:rPr>
              <w:t>定位F1</w:t>
            </w:r>
          </w:p>
        </w:tc>
        <w:tc>
          <w:tcPr>
            <w:tcW w:w="715" w:type="dxa"/>
            <w:shd w:val="clear" w:color="auto" w:fill="E8EDF2"/>
            <w:vAlign w:val="center"/>
          </w:tcPr>
          <w:p>
            <w:pPr>
              <w:spacing w:before="20" w:after="20" w:line="252" w:lineRule="auto"/>
              <w:ind w:firstLine="0"/>
            </w:pPr>
            <w:r>
              <w:rPr>
                <w:rFonts w:ascii="Times New Roman" w:hAnsi="Times New Roman" w:eastAsia="宋体"/>
                <w:b/>
                <w:sz w:val="15"/>
              </w:rPr>
              <w:t>分类F1</w:t>
            </w:r>
          </w:p>
        </w:tc>
        <w:tc>
          <w:tcPr>
            <w:tcW w:w="715" w:type="dxa"/>
            <w:shd w:val="clear" w:color="auto" w:fill="E8EDF2"/>
            <w:vAlign w:val="center"/>
          </w:tcPr>
          <w:p>
            <w:pPr>
              <w:spacing w:before="20" w:after="20" w:line="252" w:lineRule="auto"/>
              <w:ind w:firstLine="0"/>
            </w:pPr>
            <w:r>
              <w:rPr>
                <w:rFonts w:ascii="Times New Roman" w:hAnsi="Times New Roman" w:eastAsia="宋体"/>
                <w:b/>
                <w:sz w:val="15"/>
              </w:rPr>
              <w:t>OA</w:t>
            </w:r>
          </w:p>
        </w:tc>
        <w:tc>
          <w:tcPr>
            <w:tcW w:w="715" w:type="dxa"/>
            <w:shd w:val="clear" w:color="auto" w:fill="E8EDF2"/>
            <w:vAlign w:val="center"/>
          </w:tcPr>
          <w:p>
            <w:pPr>
              <w:spacing w:before="20" w:after="20" w:line="252" w:lineRule="auto"/>
              <w:ind w:firstLine="0"/>
            </w:pPr>
            <w:r>
              <w:rPr>
                <w:rFonts w:ascii="Times New Roman" w:hAnsi="Times New Roman" w:eastAsia="宋体"/>
                <w:b/>
                <w:sz w:val="15"/>
              </w:rPr>
              <w:t>四类mIoU</w:t>
            </w:r>
          </w:p>
        </w:tc>
        <w:tc>
          <w:tcPr>
            <w:tcW w:w="715" w:type="dxa"/>
            <w:shd w:val="clear" w:color="auto" w:fill="E8EDF2"/>
            <w:vAlign w:val="center"/>
          </w:tcPr>
          <w:p>
            <w:pPr>
              <w:spacing w:before="20" w:after="20" w:line="252" w:lineRule="auto"/>
              <w:ind w:firstLine="0"/>
            </w:pPr>
            <w:r>
              <w:rPr>
                <w:rFonts w:ascii="Times New Roman" w:hAnsi="Times New Roman" w:eastAsia="宋体"/>
                <w:b/>
                <w:sz w:val="15"/>
              </w:rPr>
              <w:t>前景mIoU</w:t>
            </w:r>
          </w:p>
        </w:tc>
        <w:tc>
          <w:tcPr>
            <w:tcW w:w="715" w:type="dxa"/>
            <w:shd w:val="clear" w:color="auto" w:fill="E8EDF2"/>
            <w:vAlign w:val="center"/>
          </w:tcPr>
          <w:p>
            <w:pPr>
              <w:spacing w:before="20" w:after="20" w:line="252" w:lineRule="auto"/>
              <w:ind w:firstLine="0"/>
            </w:pPr>
            <w:r>
              <w:rPr>
                <w:rFonts w:ascii="Times New Roman" w:hAnsi="Times New Roman" w:eastAsia="宋体"/>
                <w:b/>
                <w:sz w:val="15"/>
              </w:rPr>
              <w:t>背景IoU</w:t>
            </w:r>
          </w:p>
        </w:tc>
        <w:tc>
          <w:tcPr>
            <w:tcW w:w="715" w:type="dxa"/>
            <w:shd w:val="clear" w:color="auto" w:fill="E8EDF2"/>
            <w:vAlign w:val="center"/>
          </w:tcPr>
          <w:p>
            <w:pPr>
              <w:spacing w:before="20" w:after="20" w:line="252" w:lineRule="auto"/>
              <w:ind w:firstLine="0"/>
            </w:pPr>
            <w:r>
              <w:rPr>
                <w:rFonts w:ascii="Times New Roman" w:hAnsi="Times New Roman" w:eastAsia="宋体"/>
                <w:b/>
                <w:sz w:val="15"/>
              </w:rPr>
              <w:t>完好IoU</w:t>
            </w:r>
          </w:p>
        </w:tc>
        <w:tc>
          <w:tcPr>
            <w:tcW w:w="715" w:type="dxa"/>
            <w:shd w:val="clear" w:color="auto" w:fill="E8EDF2"/>
            <w:vAlign w:val="center"/>
          </w:tcPr>
          <w:p>
            <w:pPr>
              <w:spacing w:before="20" w:after="20" w:line="252" w:lineRule="auto"/>
              <w:ind w:firstLine="0"/>
            </w:pPr>
            <w:r>
              <w:rPr>
                <w:rFonts w:ascii="Times New Roman" w:hAnsi="Times New Roman" w:eastAsia="宋体"/>
                <w:b/>
                <w:sz w:val="15"/>
              </w:rPr>
              <w:t>受损IoU</w:t>
            </w:r>
          </w:p>
        </w:tc>
        <w:tc>
          <w:tcPr>
            <w:tcW w:w="715" w:type="dxa"/>
            <w:shd w:val="clear" w:color="auto" w:fill="E8EDF2"/>
            <w:vAlign w:val="center"/>
          </w:tcPr>
          <w:p>
            <w:pPr>
              <w:spacing w:before="20" w:after="20" w:line="252" w:lineRule="auto"/>
              <w:ind w:firstLine="0"/>
            </w:pPr>
            <w:r>
              <w:rPr>
                <w:rFonts w:ascii="Times New Roman" w:hAnsi="Times New Roman" w:eastAsia="宋体"/>
                <w:b/>
                <w:sz w:val="15"/>
              </w:rPr>
              <w:t>毁坏IoU</w:t>
            </w:r>
          </w:p>
        </w:tc>
      </w:tr>
      <w:tr>
        <w:trPr>
          <w:cantSplit/>
        </w:trPr>
        <w:tc>
          <w:tcPr>
            <w:tcW w:type="dxa" w:w="1698"/>
            <w:vAlign w:val="center"/>
          </w:tcPr>
          <w:p>
            <w:pPr>
              <w:spacing w:before="20" w:after="20" w:line="252" w:lineRule="auto"/>
              <w:ind w:firstLine="0"/>
            </w:pPr>
            <w:r>
              <w:rPr>
                <w:rFonts w:ascii="Times New Roman" w:hAnsi="Times New Roman" w:eastAsia="宋体"/>
                <w:b w:val="0"/>
                <w:sz w:val="15"/>
              </w:rPr>
              <w:t>U-Net</w:t>
            </w:r>
          </w:p>
        </w:tc>
        <w:tc>
          <w:tcPr>
            <w:tcW w:type="dxa" w:w="894"/>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r>
      <w:tr>
        <w:trPr>
          <w:cantSplit/>
        </w:trPr>
        <w:tc>
          <w:tcPr>
            <w:tcW w:type="dxa" w:w="1698"/>
            <w:vAlign w:val="center"/>
          </w:tcPr>
          <w:p>
            <w:pPr>
              <w:spacing w:before="20" w:after="20" w:line="252" w:lineRule="auto"/>
              <w:ind w:firstLine="0"/>
            </w:pPr>
            <w:r>
              <w:rPr>
                <w:rFonts w:ascii="Times New Roman" w:hAnsi="Times New Roman" w:eastAsia="宋体"/>
                <w:b w:val="0"/>
                <w:sz w:val="15"/>
              </w:rPr>
              <w:t>DeepLabv3+</w:t>
            </w:r>
          </w:p>
        </w:tc>
        <w:tc>
          <w:tcPr>
            <w:tcW w:type="dxa" w:w="894"/>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r>
      <w:tr>
        <w:trPr>
          <w:cantSplit/>
        </w:trPr>
        <w:tc>
          <w:tcPr>
            <w:tcW w:type="dxa" w:w="1698"/>
            <w:vAlign w:val="center"/>
          </w:tcPr>
          <w:p>
            <w:pPr>
              <w:spacing w:before="20" w:after="20" w:line="252" w:lineRule="auto"/>
              <w:ind w:firstLine="0"/>
            </w:pPr>
            <w:r>
              <w:rPr>
                <w:rFonts w:ascii="Times New Roman" w:hAnsi="Times New Roman" w:eastAsia="宋体"/>
                <w:b w:val="0"/>
                <w:sz w:val="15"/>
              </w:rPr>
              <w:t>SiamAttnUNet</w:t>
            </w:r>
          </w:p>
        </w:tc>
        <w:tc>
          <w:tcPr>
            <w:tcW w:type="dxa" w:w="894"/>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r>
      <w:tr>
        <w:trPr>
          <w:cantSplit/>
        </w:trPr>
        <w:tc>
          <w:tcPr>
            <w:tcW w:type="dxa" w:w="1698"/>
            <w:vAlign w:val="center"/>
          </w:tcPr>
          <w:p>
            <w:pPr>
              <w:spacing w:before="20" w:after="20" w:line="252" w:lineRule="auto"/>
              <w:ind w:firstLine="0"/>
            </w:pPr>
            <w:r>
              <w:rPr>
                <w:rFonts w:ascii="Times New Roman" w:hAnsi="Times New Roman" w:eastAsia="宋体"/>
                <w:b w:val="0"/>
                <w:sz w:val="15"/>
              </w:rPr>
              <w:t>SiamCRNN</w:t>
            </w:r>
          </w:p>
        </w:tc>
        <w:tc>
          <w:tcPr>
            <w:tcW w:type="dxa" w:w="894"/>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r>
      <w:tr>
        <w:trPr>
          <w:cantSplit/>
        </w:trPr>
        <w:tc>
          <w:tcPr>
            <w:tcW w:type="dxa" w:w="1698"/>
            <w:vAlign w:val="center"/>
          </w:tcPr>
          <w:p>
            <w:pPr>
              <w:spacing w:before="20" w:after="20" w:line="252" w:lineRule="auto"/>
              <w:ind w:firstLine="0"/>
            </w:pPr>
            <w:r>
              <w:rPr>
                <w:rFonts w:ascii="Times New Roman" w:hAnsi="Times New Roman" w:eastAsia="宋体"/>
                <w:b w:val="0"/>
                <w:sz w:val="15"/>
              </w:rPr>
              <w:t>ChangeOS</w:t>
            </w:r>
          </w:p>
        </w:tc>
        <w:tc>
          <w:tcPr>
            <w:tcW w:type="dxa" w:w="894"/>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r>
      <w:tr>
        <w:trPr>
          <w:cantSplit/>
        </w:trPr>
        <w:tc>
          <w:tcPr>
            <w:tcW w:type="dxa" w:w="1698"/>
            <w:vAlign w:val="center"/>
          </w:tcPr>
          <w:p>
            <w:pPr>
              <w:spacing w:before="20" w:after="20" w:line="252" w:lineRule="auto"/>
              <w:ind w:firstLine="0"/>
            </w:pPr>
            <w:r>
              <w:rPr>
                <w:rFonts w:ascii="Times New Roman" w:hAnsi="Times New Roman" w:eastAsia="宋体"/>
                <w:b w:val="0"/>
                <w:sz w:val="15"/>
              </w:rPr>
              <w:t>DamageFormer</w:t>
            </w:r>
          </w:p>
        </w:tc>
        <w:tc>
          <w:tcPr>
            <w:tcW w:type="dxa" w:w="894"/>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r>
      <w:tr>
        <w:trPr>
          <w:cantSplit/>
        </w:trPr>
        <w:tc>
          <w:tcPr>
            <w:tcW w:type="dxa" w:w="1698"/>
            <w:vAlign w:val="center"/>
          </w:tcPr>
          <w:p>
            <w:pPr>
              <w:spacing w:before="20" w:after="20" w:line="252" w:lineRule="auto"/>
              <w:ind w:firstLine="0"/>
            </w:pPr>
            <w:r>
              <w:rPr>
                <w:rFonts w:ascii="Times New Roman" w:hAnsi="Times New Roman" w:eastAsia="宋体"/>
                <w:b w:val="0"/>
                <w:sz w:val="15"/>
              </w:rPr>
              <w:t>ChangeMamba</w:t>
            </w:r>
          </w:p>
        </w:tc>
        <w:tc>
          <w:tcPr>
            <w:tcW w:type="dxa" w:w="894"/>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r>
      <w:tr>
        <w:trPr>
          <w:cantSplit/>
        </w:trPr>
        <w:tc>
          <w:tcPr>
            <w:tcW w:type="dxa" w:w="1698"/>
            <w:vAlign w:val="center"/>
          </w:tcPr>
          <w:p>
            <w:pPr>
              <w:spacing w:before="20" w:after="20" w:line="252" w:lineRule="auto"/>
              <w:ind w:firstLine="0"/>
            </w:pPr>
            <w:r>
              <w:rPr>
                <w:rFonts w:ascii="Times New Roman" w:hAnsi="Times New Roman" w:eastAsia="宋体"/>
                <w:b w:val="0"/>
                <w:sz w:val="15"/>
              </w:rPr>
              <w:t>MPF</w:t>
            </w:r>
          </w:p>
        </w:tc>
        <w:tc>
          <w:tcPr>
            <w:tcW w:type="dxa" w:w="894"/>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r>
      <w:tr>
        <w:trPr>
          <w:cantSplit/>
        </w:trPr>
        <w:tc>
          <w:tcPr>
            <w:tcW w:type="dxa" w:w="1698"/>
            <w:vAlign w:val="center"/>
          </w:tcPr>
          <w:p>
            <w:pPr>
              <w:spacing w:before="20" w:after="20" w:line="252" w:lineRule="auto"/>
              <w:ind w:firstLine="0"/>
            </w:pPr>
            <w:r>
              <w:rPr>
                <w:rFonts w:ascii="Times New Roman" w:hAnsi="Times New Roman" w:eastAsia="宋体"/>
                <w:b w:val="0"/>
                <w:sz w:val="15"/>
              </w:rPr>
              <w:t>Ours</w:t>
            </w:r>
          </w:p>
        </w:tc>
        <w:tc>
          <w:tcPr>
            <w:tcW w:type="dxa" w:w="894"/>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c>
          <w:tcPr>
            <w:tcW w:type="dxa" w:w="715"/>
            <w:vAlign w:val="center"/>
          </w:tcPr>
          <w:p>
            <w:pPr>
              <w:spacing w:before="20" w:after="20" w:line="252" w:lineRule="auto"/>
              <w:ind w:firstLine="0"/>
            </w:pPr>
          </w:p>
        </w:tc>
      </w:tr>
    </w:tbl>
    <w:p>
      <w:pPr/>
      <w:r>
        <w:t>表注：MPF为既有像素前端，Ours为包含区域编码、支持读取和监督检索的完整配置。MPF-HA及其他内部变体列于表5。“同预算训练”是实验条件，不是方法名。U-Net等旧图对照没有可核对的总体计数时，结果单元格保持空白；定性图不能补出整个测试集成绩。</w:t>
      </w:r>
    </w:p>
    <w:p w14:paraId="390B618B">
      <w:pPr>
        <w:widowControl/>
      </w:pPr>
    </w:p>
    <w:p w14:paraId="50F67DF8">
      <w:pPr>
        <w:widowControl/>
      </w:pPr>
      <w:r>
        <w:rPr>
          <w:rFonts w:ascii="Times New Roman" w:hAnsi="Times New Roman" w:eastAsia="宋体"/>
        </w:rPr>
        <w:t>完整模型四类mIoU为</w:t>
      </w:r>
      <w:r>
        <w:rPr>
          <w:rFonts w:ascii="Times New Roman" w:hAnsi="Times New Roman" w:eastAsia="宋体"/>
          <w:u w:val="single"/>
        </w:rPr>
        <w:t>    </w:t>
      </w:r>
      <w:r>
        <w:rPr>
          <w:rFonts w:ascii="Times New Roman" w:hAnsi="Times New Roman" w:eastAsia="宋体"/>
        </w:rPr>
        <w:t>，前景mIoU为</w:t>
      </w:r>
      <w:r>
        <w:rPr>
          <w:rFonts w:ascii="Times New Roman" w:hAnsi="Times New Roman" w:eastAsia="宋体"/>
          <w:u w:val="single"/>
        </w:rPr>
        <w:t>    </w:t>
      </w:r>
      <w:r>
        <w:rPr>
          <w:rFonts w:ascii="Times New Roman" w:hAnsi="Times New Roman" w:eastAsia="宋体"/>
        </w:rPr>
        <w:t>；相对同协议基础像素模型的差值分别为</w:t>
      </w:r>
      <w:r>
        <w:rPr>
          <w:rFonts w:ascii="Times New Roman" w:hAnsi="Times New Roman" w:eastAsia="宋体"/>
          <w:u w:val="single"/>
        </w:rPr>
        <w:t>    </w:t>
      </w:r>
      <w:r>
        <w:rPr>
          <w:rFonts w:ascii="Times New Roman" w:hAnsi="Times New Roman" w:eastAsia="宋体"/>
        </w:rPr>
        <w:t>和</w:t>
      </w:r>
      <w:r>
        <w:rPr>
          <w:rFonts w:ascii="Times New Roman" w:hAnsi="Times New Roman" w:eastAsia="宋体"/>
          <w:u w:val="single"/>
        </w:rPr>
        <w:t>    </w:t>
      </w:r>
      <w:r>
        <w:rPr>
          <w:rFonts w:ascii="Times New Roman" w:hAnsi="Times New Roman" w:eastAsia="宋体"/>
        </w:rPr>
        <w:t>个百分点。受损与毁坏IoU分别为</w:t>
      </w:r>
      <w:r>
        <w:rPr>
          <w:rFonts w:ascii="Times New Roman" w:hAnsi="Times New Roman" w:eastAsia="宋体"/>
          <w:u w:val="single"/>
        </w:rPr>
        <w:t>    </w:t>
      </w:r>
      <w:r>
        <w:rPr>
          <w:rFonts w:ascii="Times New Roman" w:hAnsi="Times New Roman" w:eastAsia="宋体"/>
        </w:rPr>
        <w:t>和</w:t>
      </w:r>
      <w:r>
        <w:rPr>
          <w:rFonts w:ascii="Times New Roman" w:hAnsi="Times New Roman" w:eastAsia="宋体"/>
          <w:u w:val="single"/>
        </w:rPr>
        <w:t>    </w:t>
      </w:r>
      <w:r>
        <w:rPr>
          <w:rFonts w:ascii="Times New Roman" w:hAnsi="Times New Roman" w:eastAsia="宋体"/>
        </w:rPr>
        <w:t>，相应变化为</w:t>
      </w:r>
      <w:r>
        <w:rPr>
          <w:rFonts w:ascii="Times New Roman" w:hAnsi="Times New Roman" w:eastAsia="宋体"/>
          <w:u w:val="single"/>
        </w:rPr>
        <w:t>    </w:t>
      </w:r>
      <w:r>
        <w:rPr>
          <w:rFonts w:ascii="Times New Roman" w:hAnsi="Times New Roman" w:eastAsia="宋体"/>
        </w:rPr>
        <w:t>和</w:t>
      </w:r>
      <w:r>
        <w:rPr>
          <w:rFonts w:ascii="Times New Roman" w:hAnsi="Times New Roman" w:eastAsia="宋体"/>
          <w:u w:val="single"/>
        </w:rPr>
        <w:t>    </w:t>
      </w:r>
      <w:r>
        <w:rPr>
          <w:rFonts w:ascii="Times New Roman" w:hAnsi="Times New Roman" w:eastAsia="宋体"/>
        </w:rPr>
        <w:t>个百分点。</w:t>
      </w:r>
    </w:p>
    <w:p w14:paraId="29582D7F">
      <w:pPr>
        <w:widowControl/>
      </w:pPr>
      <w:r>
        <w:rPr>
          <w:rFonts w:ascii="Times New Roman" w:hAnsi="Times New Roman" w:eastAsia="宋体"/>
        </w:rPr>
        <w:t>结果解释以各类TP、FP和FN为依据，分别分析背景范围变化、完好到受损误报，以及受损/毁坏漏判。若不同类别存在取舍，需同时报告；不从单一mIoU推断所有类别都改善，也不从OA接近推断少数损毁类别没有变化。</w:t>
      </w:r>
    </w:p>
    <w:p w14:paraId="2F6BAD30">
      <w:pPr>
        <w:widowControl/>
      </w:pPr>
      <w:r>
        <w:rPr>
          <w:rFonts w:ascii="Times New Roman" w:hAnsi="Times New Roman" w:eastAsia="宋体"/>
        </w:rPr>
        <w:t>图5由表2同源的已核对记录绘制，分别展示四类IoU与总体指标。图11–图13保留旧稿中的像素前端定性样例，其方法列是表2的一个子集，不要求所有定量对照都在定性图中出现。图中UNet对应表中的U-Net，DeepLabV3+对应DeepLabv3+，Ours (A1)对应MPF，而非完整方法Ours。已有模型清单记录该MPF使用best_val_miou.pth及其SHA256；各列权重、模型参数与裁窗信息详见配套核对表。只有全量评测记录使用相同模型身份和协议，才能将图列与总体表某行关联。</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6"/>
      </w:tblGrid>
      <w:tr w14:paraId="7B8CA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trPr>
        <w:tc>
          <w:tcPr>
            <w:tcW w:w="9026" w:type="dxa"/>
          </w:tcPr>
          <w:p w14:paraId="7A98A350"/>
        </w:tc>
      </w:tr>
    </w:tbl>
    <w:p w14:paraId="5592733A">
      <w:pPr>
        <w:pStyle w:val="15"/>
        <w:keepNext/>
      </w:pPr>
      <w:r>
        <w:rPr>
          <w:rFonts w:ascii="Times New Roman" w:hAnsi="Times New Roman" w:eastAsia="宋体"/>
        </w:rPr>
        <w:t>图5　各类IoU与总体mIoU的模型比较</w:t>
      </w:r>
    </w:p>
    <w:p w14:paraId="785C2D59">
      <w:pPr>
        <w:pStyle w:val="4"/>
        <w:keepNext/>
      </w:pPr>
      <w:r>
        <w:rPr>
          <w:rFonts w:ascii="Times New Roman" w:hAnsi="Times New Roman" w:eastAsia="宋体"/>
        </w:rPr>
        <w:t>C. 建筑概率约束与结构适配的控制实验</w:t>
      </w:r>
    </w:p>
    <w:p w14:paraId="10E26BB5">
      <w:pPr>
        <w:widowControl/>
      </w:pPr>
      <w:r>
        <w:rPr>
          <w:rFonts w:ascii="Times New Roman" w:hAnsi="Times New Roman" w:eastAsia="宋体"/>
        </w:rPr>
        <w:t>首先采用表3的二因素设计。建筑概率进入Q的开关仅指式（2）中建筑相容项权重λB设为0或统一默认值；基础前端已有的建筑调制及其他共同路径保持不变，不能称为完全不使用建筑概率。各组使用同一MPF、候选范围、区域预算、训练步数与区域—像素读出，关闭真实历史支持，以减少库和Reader变化的干扰。“无Adapter”仍保留相同的基础内容投影和输出维度。</w:t>
      </w:r>
    </w:p>
    <w:p w14:paraId="491ECD26">
      <w:pPr>
        <w:pStyle w:val="15"/>
        <w:keepNext/>
      </w:pPr>
      <w:r>
        <w:rPr>
          <w:rFonts w:ascii="Times New Roman" w:hAnsi="Times New Roman" w:eastAsia="宋体"/>
        </w:rPr>
        <w:t>表3　建筑相容项与结构残差适配的二因素实验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2"/>
        <w:gridCol w:w="912"/>
        <w:gridCol w:w="912"/>
        <w:gridCol w:w="912"/>
        <w:gridCol w:w="912"/>
        <w:gridCol w:w="912"/>
        <w:gridCol w:w="912"/>
        <w:gridCol w:w="912"/>
        <w:gridCol w:w="912"/>
      </w:tblGrid>
      <w:tr w14:paraId="407C0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32" w:type="dxa"/>
            <w:shd w:val="clear" w:color="auto" w:fill="E8EDF2"/>
            <w:vAlign w:val="center"/>
          </w:tcPr>
          <w:p w14:paraId="7A8DECC1">
            <w:pPr>
              <w:spacing w:before="20" w:after="20" w:line="252" w:lineRule="auto"/>
              <w:ind w:firstLine="0"/>
            </w:pPr>
            <w:r>
              <w:rPr>
                <w:rFonts w:ascii="Times New Roman" w:hAnsi="Times New Roman" w:eastAsia="宋体"/>
                <w:b/>
                <w:sz w:val="15"/>
              </w:rPr>
              <w:t>配置</w:t>
            </w:r>
          </w:p>
        </w:tc>
        <w:tc>
          <w:tcPr>
            <w:tcW w:w="912" w:type="dxa"/>
            <w:shd w:val="clear" w:color="auto" w:fill="E8EDF2"/>
            <w:vAlign w:val="center"/>
          </w:tcPr>
          <w:p w14:paraId="0039255D">
            <w:pPr>
              <w:spacing w:before="20" w:after="20" w:line="252" w:lineRule="auto"/>
              <w:ind w:firstLine="0"/>
            </w:pPr>
            <w:r>
              <w:rPr>
                <w:rFonts w:ascii="Times New Roman" w:hAnsi="Times New Roman" w:eastAsia="宋体"/>
                <w:b/>
                <w:sz w:val="15"/>
              </w:rPr>
              <w:t>B→Q</w:t>
            </w:r>
          </w:p>
        </w:tc>
        <w:tc>
          <w:tcPr>
            <w:tcW w:w="912" w:type="dxa"/>
            <w:shd w:val="clear" w:color="auto" w:fill="E8EDF2"/>
            <w:vAlign w:val="center"/>
          </w:tcPr>
          <w:p w14:paraId="31809C2F">
            <w:pPr>
              <w:spacing w:before="20" w:after="20" w:line="252" w:lineRule="auto"/>
              <w:ind w:firstLine="0"/>
            </w:pPr>
            <w:r>
              <w:rPr>
                <w:rFonts w:ascii="Times New Roman" w:hAnsi="Times New Roman" w:eastAsia="宋体"/>
                <w:b/>
                <w:sz w:val="15"/>
              </w:rPr>
              <w:t>Adapter</w:t>
            </w:r>
          </w:p>
        </w:tc>
        <w:tc>
          <w:tcPr>
            <w:tcW w:w="912" w:type="dxa"/>
            <w:shd w:val="clear" w:color="auto" w:fill="E8EDF2"/>
            <w:vAlign w:val="center"/>
          </w:tcPr>
          <w:p w14:paraId="70701DC0">
            <w:pPr>
              <w:spacing w:before="20" w:after="20" w:line="252" w:lineRule="auto"/>
              <w:ind w:firstLine="0"/>
            </w:pPr>
            <w:r>
              <w:rPr>
                <w:rFonts w:ascii="Times New Roman" w:hAnsi="Times New Roman" w:eastAsia="宋体"/>
                <w:b/>
                <w:sz w:val="15"/>
              </w:rPr>
              <w:t>四类mIoU</w:t>
            </w:r>
          </w:p>
        </w:tc>
        <w:tc>
          <w:tcPr>
            <w:tcW w:w="912" w:type="dxa"/>
            <w:shd w:val="clear" w:color="auto" w:fill="E8EDF2"/>
            <w:vAlign w:val="center"/>
          </w:tcPr>
          <w:p w14:paraId="1798BA68">
            <w:pPr>
              <w:spacing w:before="20" w:after="20" w:line="252" w:lineRule="auto"/>
              <w:ind w:firstLine="0"/>
            </w:pPr>
            <w:r>
              <w:rPr>
                <w:rFonts w:ascii="Times New Roman" w:hAnsi="Times New Roman" w:eastAsia="宋体"/>
                <w:b/>
                <w:sz w:val="15"/>
              </w:rPr>
              <w:t>前景mIoU</w:t>
            </w:r>
          </w:p>
        </w:tc>
        <w:tc>
          <w:tcPr>
            <w:tcW w:w="912" w:type="dxa"/>
            <w:shd w:val="clear" w:color="auto" w:fill="E8EDF2"/>
            <w:vAlign w:val="center"/>
          </w:tcPr>
          <w:p w14:paraId="0534A07D">
            <w:pPr>
              <w:spacing w:before="20" w:after="20" w:line="252" w:lineRule="auto"/>
              <w:ind w:firstLine="0"/>
            </w:pPr>
            <w:r>
              <w:rPr>
                <w:rFonts w:ascii="Times New Roman" w:hAnsi="Times New Roman" w:eastAsia="宋体"/>
                <w:b/>
                <w:sz w:val="15"/>
              </w:rPr>
              <w:t>受损IoU</w:t>
            </w:r>
          </w:p>
        </w:tc>
        <w:tc>
          <w:tcPr>
            <w:tcW w:w="912" w:type="dxa"/>
            <w:shd w:val="clear" w:color="auto" w:fill="E8EDF2"/>
            <w:vAlign w:val="center"/>
          </w:tcPr>
          <w:p w14:paraId="45DF1A2C">
            <w:pPr>
              <w:spacing w:before="20" w:after="20" w:line="252" w:lineRule="auto"/>
              <w:ind w:firstLine="0"/>
            </w:pPr>
            <w:r>
              <w:rPr>
                <w:rFonts w:ascii="Times New Roman" w:hAnsi="Times New Roman" w:eastAsia="宋体"/>
                <w:b/>
                <w:sz w:val="15"/>
              </w:rPr>
              <w:t>毁坏IoU</w:t>
            </w:r>
          </w:p>
        </w:tc>
        <w:tc>
          <w:tcPr>
            <w:tcW w:w="912" w:type="dxa"/>
            <w:shd w:val="clear" w:color="auto" w:fill="E8EDF2"/>
            <w:vAlign w:val="center"/>
          </w:tcPr>
          <w:p w14:paraId="4FD94F9E">
            <w:pPr>
              <w:spacing w:before="20" w:after="20" w:line="252" w:lineRule="auto"/>
              <w:ind w:firstLine="0"/>
            </w:pPr>
            <w:r>
              <w:rPr>
                <w:rFonts w:ascii="Times New Roman" w:hAnsi="Times New Roman" w:eastAsia="宋体"/>
                <w:b/>
                <w:sz w:val="15"/>
              </w:rPr>
              <w:t>混合区域率</w:t>
            </w:r>
          </w:p>
        </w:tc>
        <w:tc>
          <w:tcPr>
            <w:tcW w:w="912" w:type="dxa"/>
            <w:shd w:val="clear" w:color="auto" w:fill="E8EDF2"/>
            <w:vAlign w:val="center"/>
          </w:tcPr>
          <w:p w14:paraId="454D8686">
            <w:pPr>
              <w:spacing w:before="20" w:after="20" w:line="252" w:lineRule="auto"/>
              <w:ind w:firstLine="0"/>
            </w:pPr>
            <w:r>
              <w:rPr>
                <w:rFonts w:ascii="Times New Roman" w:hAnsi="Times New Roman" w:eastAsia="宋体"/>
                <w:b/>
                <w:sz w:val="15"/>
              </w:rPr>
              <w:t>边缘错误率</w:t>
            </w:r>
          </w:p>
        </w:tc>
      </w:tr>
      <w:tr w14:paraId="1B15C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32" w:type="dxa"/>
            <w:vAlign w:val="center"/>
          </w:tcPr>
          <w:p>
            <w:pPr>
              <w:spacing w:before="20" w:after="20" w:line="252" w:lineRule="auto"/>
              <w:ind w:firstLine="0"/>
            </w:pPr>
            <w:r>
              <w:rPr>
                <w:rFonts w:ascii="Times New Roman" w:hAnsi="Times New Roman" w:eastAsia="宋体"/>
                <w:b w:val="0"/>
                <w:sz w:val="15"/>
              </w:rPr>
              <w:t>基准</w:t>
            </w:r>
          </w:p>
        </w:tc>
        <w:tc>
          <w:tcPr>
            <w:tcW w:w="912" w:type="dxa"/>
            <w:vAlign w:val="center"/>
          </w:tcPr>
          <w:p w14:paraId="5222FB70">
            <w:pPr>
              <w:spacing w:before="20" w:after="20" w:line="252" w:lineRule="auto"/>
              <w:ind w:firstLine="0"/>
            </w:pPr>
            <w:r>
              <w:rPr>
                <w:rFonts w:ascii="Times New Roman" w:hAnsi="Times New Roman" w:eastAsia="宋体"/>
                <w:b w:val="0"/>
                <w:sz w:val="15"/>
              </w:rPr>
              <w:t>关</w:t>
            </w:r>
          </w:p>
        </w:tc>
        <w:tc>
          <w:tcPr>
            <w:tcW w:w="912" w:type="dxa"/>
            <w:vAlign w:val="center"/>
          </w:tcPr>
          <w:p w14:paraId="03E7B17D">
            <w:pPr>
              <w:spacing w:before="20" w:after="20" w:line="252" w:lineRule="auto"/>
              <w:ind w:firstLine="0"/>
            </w:pPr>
            <w:r>
              <w:rPr>
                <w:rFonts w:ascii="Times New Roman" w:hAnsi="Times New Roman" w:eastAsia="宋体"/>
                <w:b w:val="0"/>
                <w:sz w:val="15"/>
              </w:rPr>
              <w:t>无残差</w:t>
            </w:r>
          </w:p>
        </w:tc>
        <w:tc>
          <w:tcPr>
            <w:tcW w:w="912" w:type="dxa"/>
            <w:vAlign w:val="center"/>
          </w:tcPr>
          <w:p w14:paraId="0F9D61A5">
            <w:pPr>
              <w:spacing w:before="20" w:after="20" w:line="252" w:lineRule="auto"/>
              <w:ind w:firstLine="0"/>
            </w:pPr>
          </w:p>
        </w:tc>
        <w:tc>
          <w:tcPr>
            <w:tcW w:w="912" w:type="dxa"/>
            <w:vAlign w:val="center"/>
          </w:tcPr>
          <w:p w14:paraId="77A972B0">
            <w:pPr>
              <w:spacing w:before="20" w:after="20" w:line="252" w:lineRule="auto"/>
              <w:ind w:firstLine="0"/>
            </w:pPr>
          </w:p>
        </w:tc>
        <w:tc>
          <w:tcPr>
            <w:tcW w:w="912" w:type="dxa"/>
            <w:vAlign w:val="center"/>
          </w:tcPr>
          <w:p w14:paraId="3500578B">
            <w:pPr>
              <w:spacing w:before="20" w:after="20" w:line="252" w:lineRule="auto"/>
              <w:ind w:firstLine="0"/>
            </w:pPr>
          </w:p>
        </w:tc>
        <w:tc>
          <w:tcPr>
            <w:tcW w:w="912" w:type="dxa"/>
            <w:vAlign w:val="center"/>
          </w:tcPr>
          <w:p w14:paraId="05C59FAD">
            <w:pPr>
              <w:spacing w:before="20" w:after="20" w:line="252" w:lineRule="auto"/>
              <w:ind w:firstLine="0"/>
            </w:pPr>
          </w:p>
        </w:tc>
        <w:tc>
          <w:tcPr>
            <w:tcW w:w="912" w:type="dxa"/>
            <w:vAlign w:val="center"/>
          </w:tcPr>
          <w:p w14:paraId="7548F9F9">
            <w:pPr>
              <w:spacing w:before="20" w:after="20" w:line="252" w:lineRule="auto"/>
              <w:ind w:firstLine="0"/>
            </w:pPr>
          </w:p>
        </w:tc>
        <w:tc>
          <w:tcPr>
            <w:tcW w:w="912" w:type="dxa"/>
            <w:vAlign w:val="center"/>
          </w:tcPr>
          <w:p w14:paraId="7B912722">
            <w:pPr>
              <w:spacing w:before="20" w:after="20" w:line="252" w:lineRule="auto"/>
              <w:ind w:firstLine="0"/>
            </w:pPr>
          </w:p>
        </w:tc>
      </w:tr>
      <w:tr w14:paraId="1AACF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32" w:type="dxa"/>
            <w:vAlign w:val="center"/>
          </w:tcPr>
          <w:p>
            <w:pPr>
              <w:spacing w:before="20" w:after="20" w:line="252" w:lineRule="auto"/>
              <w:ind w:firstLine="0"/>
            </w:pPr>
            <w:r>
              <w:rPr>
                <w:rFonts w:ascii="Times New Roman" w:hAnsi="Times New Roman" w:eastAsia="宋体"/>
                <w:b w:val="0"/>
                <w:sz w:val="15"/>
              </w:rPr>
              <w:t>仅建筑相容项</w:t>
            </w:r>
          </w:p>
        </w:tc>
        <w:tc>
          <w:tcPr>
            <w:tcW w:w="912" w:type="dxa"/>
            <w:vAlign w:val="center"/>
          </w:tcPr>
          <w:p w14:paraId="30773289">
            <w:pPr>
              <w:spacing w:before="20" w:after="20" w:line="252" w:lineRule="auto"/>
              <w:ind w:firstLine="0"/>
            </w:pPr>
            <w:r>
              <w:rPr>
                <w:rFonts w:ascii="Times New Roman" w:hAnsi="Times New Roman" w:eastAsia="宋体"/>
                <w:b w:val="0"/>
                <w:sz w:val="15"/>
              </w:rPr>
              <w:t>开</w:t>
            </w:r>
          </w:p>
        </w:tc>
        <w:tc>
          <w:tcPr>
            <w:tcW w:w="912" w:type="dxa"/>
            <w:vAlign w:val="center"/>
          </w:tcPr>
          <w:p w14:paraId="01142CCE">
            <w:pPr>
              <w:spacing w:before="20" w:after="20" w:line="252" w:lineRule="auto"/>
              <w:ind w:firstLine="0"/>
            </w:pPr>
            <w:r>
              <w:rPr>
                <w:rFonts w:ascii="Times New Roman" w:hAnsi="Times New Roman" w:eastAsia="宋体"/>
                <w:b w:val="0"/>
                <w:sz w:val="15"/>
              </w:rPr>
              <w:t>无残差</w:t>
            </w:r>
          </w:p>
        </w:tc>
        <w:tc>
          <w:tcPr>
            <w:tcW w:w="912" w:type="dxa"/>
            <w:vAlign w:val="center"/>
          </w:tcPr>
          <w:p w14:paraId="00DF5812">
            <w:pPr>
              <w:spacing w:before="20" w:after="20" w:line="252" w:lineRule="auto"/>
              <w:ind w:firstLine="0"/>
            </w:pPr>
          </w:p>
        </w:tc>
        <w:tc>
          <w:tcPr>
            <w:tcW w:w="912" w:type="dxa"/>
            <w:vAlign w:val="center"/>
          </w:tcPr>
          <w:p w14:paraId="629F8FE8">
            <w:pPr>
              <w:spacing w:before="20" w:after="20" w:line="252" w:lineRule="auto"/>
              <w:ind w:firstLine="0"/>
            </w:pPr>
          </w:p>
        </w:tc>
        <w:tc>
          <w:tcPr>
            <w:tcW w:w="912" w:type="dxa"/>
            <w:vAlign w:val="center"/>
          </w:tcPr>
          <w:p w14:paraId="6504E344">
            <w:pPr>
              <w:spacing w:before="20" w:after="20" w:line="252" w:lineRule="auto"/>
              <w:ind w:firstLine="0"/>
            </w:pPr>
          </w:p>
        </w:tc>
        <w:tc>
          <w:tcPr>
            <w:tcW w:w="912" w:type="dxa"/>
            <w:vAlign w:val="center"/>
          </w:tcPr>
          <w:p w14:paraId="159B4058">
            <w:pPr>
              <w:spacing w:before="20" w:after="20" w:line="252" w:lineRule="auto"/>
              <w:ind w:firstLine="0"/>
            </w:pPr>
          </w:p>
        </w:tc>
        <w:tc>
          <w:tcPr>
            <w:tcW w:w="912" w:type="dxa"/>
            <w:vAlign w:val="center"/>
          </w:tcPr>
          <w:p w14:paraId="484DAB5B">
            <w:pPr>
              <w:spacing w:before="20" w:after="20" w:line="252" w:lineRule="auto"/>
              <w:ind w:firstLine="0"/>
            </w:pPr>
          </w:p>
        </w:tc>
        <w:tc>
          <w:tcPr>
            <w:tcW w:w="912" w:type="dxa"/>
            <w:vAlign w:val="center"/>
          </w:tcPr>
          <w:p w14:paraId="67CB6A43">
            <w:pPr>
              <w:spacing w:before="20" w:after="20" w:line="252" w:lineRule="auto"/>
              <w:ind w:firstLine="0"/>
            </w:pPr>
          </w:p>
        </w:tc>
      </w:tr>
      <w:tr w14:paraId="6C386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32" w:type="dxa"/>
            <w:vAlign w:val="center"/>
          </w:tcPr>
          <w:p>
            <w:pPr>
              <w:spacing w:before="20" w:after="20" w:line="252" w:lineRule="auto"/>
              <w:ind w:firstLine="0"/>
            </w:pPr>
            <w:r>
              <w:rPr>
                <w:rFonts w:ascii="Times New Roman" w:hAnsi="Times New Roman" w:eastAsia="宋体"/>
                <w:b w:val="0"/>
                <w:sz w:val="15"/>
              </w:rPr>
              <w:t>仅结构适配</w:t>
            </w:r>
          </w:p>
        </w:tc>
        <w:tc>
          <w:tcPr>
            <w:tcW w:w="912" w:type="dxa"/>
            <w:vAlign w:val="center"/>
          </w:tcPr>
          <w:p w14:paraId="2181E6EA">
            <w:pPr>
              <w:spacing w:before="20" w:after="20" w:line="252" w:lineRule="auto"/>
              <w:ind w:firstLine="0"/>
            </w:pPr>
            <w:r>
              <w:rPr>
                <w:rFonts w:ascii="Times New Roman" w:hAnsi="Times New Roman" w:eastAsia="宋体"/>
                <w:b w:val="0"/>
                <w:sz w:val="15"/>
              </w:rPr>
              <w:t>关</w:t>
            </w:r>
          </w:p>
        </w:tc>
        <w:tc>
          <w:tcPr>
            <w:tcW w:w="912" w:type="dxa"/>
            <w:vAlign w:val="center"/>
          </w:tcPr>
          <w:p w14:paraId="337DA03C">
            <w:pPr>
              <w:spacing w:before="20" w:after="20" w:line="252" w:lineRule="auto"/>
              <w:ind w:firstLine="0"/>
            </w:pPr>
            <w:r>
              <w:rPr>
                <w:rFonts w:ascii="Times New Roman" w:hAnsi="Times New Roman" w:eastAsia="宋体"/>
                <w:b w:val="0"/>
                <w:sz w:val="15"/>
              </w:rPr>
              <w:t>完整条件</w:t>
            </w:r>
          </w:p>
        </w:tc>
        <w:tc>
          <w:tcPr>
            <w:tcW w:w="912" w:type="dxa"/>
            <w:vAlign w:val="center"/>
          </w:tcPr>
          <w:p w14:paraId="1EED6A51">
            <w:pPr>
              <w:spacing w:before="20" w:after="20" w:line="252" w:lineRule="auto"/>
              <w:ind w:firstLine="0"/>
            </w:pPr>
          </w:p>
        </w:tc>
        <w:tc>
          <w:tcPr>
            <w:tcW w:w="912" w:type="dxa"/>
            <w:vAlign w:val="center"/>
          </w:tcPr>
          <w:p w14:paraId="3043CC48">
            <w:pPr>
              <w:spacing w:before="20" w:after="20" w:line="252" w:lineRule="auto"/>
              <w:ind w:firstLine="0"/>
            </w:pPr>
          </w:p>
        </w:tc>
        <w:tc>
          <w:tcPr>
            <w:tcW w:w="912" w:type="dxa"/>
            <w:vAlign w:val="center"/>
          </w:tcPr>
          <w:p w14:paraId="2766FA95">
            <w:pPr>
              <w:spacing w:before="20" w:after="20" w:line="252" w:lineRule="auto"/>
              <w:ind w:firstLine="0"/>
            </w:pPr>
          </w:p>
        </w:tc>
        <w:tc>
          <w:tcPr>
            <w:tcW w:w="912" w:type="dxa"/>
            <w:vAlign w:val="center"/>
          </w:tcPr>
          <w:p w14:paraId="5ABA9137">
            <w:pPr>
              <w:spacing w:before="20" w:after="20" w:line="252" w:lineRule="auto"/>
              <w:ind w:firstLine="0"/>
            </w:pPr>
          </w:p>
        </w:tc>
        <w:tc>
          <w:tcPr>
            <w:tcW w:w="912" w:type="dxa"/>
            <w:vAlign w:val="center"/>
          </w:tcPr>
          <w:p w14:paraId="15C08021">
            <w:pPr>
              <w:spacing w:before="20" w:after="20" w:line="252" w:lineRule="auto"/>
              <w:ind w:firstLine="0"/>
            </w:pPr>
          </w:p>
        </w:tc>
        <w:tc>
          <w:tcPr>
            <w:tcW w:w="912" w:type="dxa"/>
            <w:vAlign w:val="center"/>
          </w:tcPr>
          <w:p w14:paraId="03EBA6E5">
            <w:pPr>
              <w:spacing w:before="20" w:after="20" w:line="252" w:lineRule="auto"/>
              <w:ind w:firstLine="0"/>
            </w:pPr>
          </w:p>
        </w:tc>
      </w:tr>
      <w:tr w14:paraId="3856D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32" w:type="dxa"/>
            <w:vAlign w:val="center"/>
          </w:tcPr>
          <w:p>
            <w:pPr>
              <w:spacing w:before="20" w:after="20" w:line="252" w:lineRule="auto"/>
              <w:ind w:firstLine="0"/>
            </w:pPr>
            <w:r>
              <w:rPr>
                <w:rFonts w:ascii="Times New Roman" w:hAnsi="Times New Roman" w:eastAsia="宋体"/>
                <w:b w:val="0"/>
                <w:sz w:val="15"/>
              </w:rPr>
              <w:t>二者联用</w:t>
            </w:r>
          </w:p>
        </w:tc>
        <w:tc>
          <w:tcPr>
            <w:tcW w:w="912" w:type="dxa"/>
            <w:vAlign w:val="center"/>
          </w:tcPr>
          <w:p w14:paraId="7E115E38">
            <w:pPr>
              <w:spacing w:before="20" w:after="20" w:line="252" w:lineRule="auto"/>
              <w:ind w:firstLine="0"/>
            </w:pPr>
            <w:r>
              <w:rPr>
                <w:rFonts w:ascii="Times New Roman" w:hAnsi="Times New Roman" w:eastAsia="宋体"/>
                <w:b w:val="0"/>
                <w:sz w:val="15"/>
              </w:rPr>
              <w:t>开</w:t>
            </w:r>
          </w:p>
        </w:tc>
        <w:tc>
          <w:tcPr>
            <w:tcW w:w="912" w:type="dxa"/>
            <w:vAlign w:val="center"/>
          </w:tcPr>
          <w:p w14:paraId="059F4808">
            <w:pPr>
              <w:spacing w:before="20" w:after="20" w:line="252" w:lineRule="auto"/>
              <w:ind w:firstLine="0"/>
            </w:pPr>
            <w:r>
              <w:rPr>
                <w:rFonts w:ascii="Times New Roman" w:hAnsi="Times New Roman" w:eastAsia="宋体"/>
                <w:b w:val="0"/>
                <w:sz w:val="15"/>
              </w:rPr>
              <w:t>完整条件</w:t>
            </w:r>
          </w:p>
        </w:tc>
        <w:tc>
          <w:tcPr>
            <w:tcW w:w="912" w:type="dxa"/>
            <w:vAlign w:val="center"/>
          </w:tcPr>
          <w:p w14:paraId="29AC6360">
            <w:pPr>
              <w:spacing w:before="20" w:after="20" w:line="252" w:lineRule="auto"/>
              <w:ind w:firstLine="0"/>
            </w:pPr>
          </w:p>
        </w:tc>
        <w:tc>
          <w:tcPr>
            <w:tcW w:w="912" w:type="dxa"/>
            <w:vAlign w:val="center"/>
          </w:tcPr>
          <w:p w14:paraId="5E9BB678">
            <w:pPr>
              <w:spacing w:before="20" w:after="20" w:line="252" w:lineRule="auto"/>
              <w:ind w:firstLine="0"/>
            </w:pPr>
          </w:p>
        </w:tc>
        <w:tc>
          <w:tcPr>
            <w:tcW w:w="912" w:type="dxa"/>
            <w:vAlign w:val="center"/>
          </w:tcPr>
          <w:p w14:paraId="2C6DAD7A">
            <w:pPr>
              <w:spacing w:before="20" w:after="20" w:line="252" w:lineRule="auto"/>
              <w:ind w:firstLine="0"/>
            </w:pPr>
          </w:p>
        </w:tc>
        <w:tc>
          <w:tcPr>
            <w:tcW w:w="912" w:type="dxa"/>
            <w:vAlign w:val="center"/>
          </w:tcPr>
          <w:p w14:paraId="7FC368F2">
            <w:pPr>
              <w:spacing w:before="20" w:after="20" w:line="252" w:lineRule="auto"/>
              <w:ind w:firstLine="0"/>
            </w:pPr>
          </w:p>
        </w:tc>
        <w:tc>
          <w:tcPr>
            <w:tcW w:w="912" w:type="dxa"/>
            <w:vAlign w:val="center"/>
          </w:tcPr>
          <w:p w14:paraId="3E138F89">
            <w:pPr>
              <w:spacing w:before="20" w:after="20" w:line="252" w:lineRule="auto"/>
              <w:ind w:firstLine="0"/>
            </w:pPr>
          </w:p>
        </w:tc>
        <w:tc>
          <w:tcPr>
            <w:tcW w:w="912" w:type="dxa"/>
            <w:vAlign w:val="center"/>
          </w:tcPr>
          <w:p w14:paraId="464D81B8">
            <w:pPr>
              <w:spacing w:before="20" w:after="20" w:line="252" w:lineRule="auto"/>
              <w:ind w:firstLine="0"/>
            </w:pPr>
          </w:p>
        </w:tc>
      </w:tr>
    </w:tbl>
    <w:p w14:paraId="2A48FFF7">
      <w:pPr>
        <w:widowControl/>
      </w:pPr>
    </w:p>
    <w:p w14:paraId="5833DDF0">
      <w:pPr>
        <w:widowControl/>
      </w:pPr>
      <w:r>
        <w:rPr>
          <w:rFonts w:ascii="Times New Roman" w:hAnsi="Times New Roman" w:eastAsia="宋体"/>
        </w:rPr>
        <w:t>以同种子差值分别检验建筑相容项、结构适配及二者联用。交互项定义为“联用−仅相容项−仅适配＋基准”。Q改变会影响池化、几何、条件量和回投，因此该表评价结构干预的整体作用，不把全部差值只归因于边界。交互项为    个百分点，两个相容项对照的前景mIoU差值为    和    个百分点。</w:t>
      </w:r>
    </w:p>
    <w:p w14:paraId="47A35B4A">
      <w:pPr>
        <w:widowControl/>
      </w:pPr>
      <w:r>
        <w:rPr>
          <w:rFonts w:ascii="Times New Roman" w:hAnsi="Times New Roman" w:eastAsia="宋体"/>
        </w:rPr>
        <w:t>区域混合率使用Q加权的真实建筑比例p_building,k，在有效区域中统计0.1＜p_building,k＜0.9的区域比例。该指标只描述建筑/背景混合，前景类别混合另行分析；有效区域数和质量/面积分布同时报告，防止仅靠增加小区域提高纯度。边界带由GT建筑掩膜在原图尺度构造，带宽在表1锁定；边缘错误率为带内有效像素的四类错误比例，并报告带内像素数。所有GT只用于事后评价。</w:t>
      </w:r>
    </w:p>
    <w:p w14:paraId="18ABE235">
      <w:pPr>
        <w:widowControl/>
      </w:pPr>
      <w:r>
        <w:rPr>
          <w:rFonts w:ascii="Times New Roman" w:hAnsi="Times New Roman" w:eastAsia="宋体"/>
        </w:rPr>
        <w:t>建筑相容项对应的混合区域率变化为</w:t>
      </w:r>
      <w:r>
        <w:rPr>
          <w:rFonts w:ascii="Times New Roman" w:hAnsi="Times New Roman" w:eastAsia="宋体"/>
          <w:u w:val="single"/>
        </w:rPr>
        <w:t>    </w:t>
      </w:r>
      <w:r>
        <w:rPr>
          <w:rFonts w:ascii="Times New Roman" w:hAnsi="Times New Roman" w:eastAsia="宋体"/>
        </w:rPr>
        <w:t>，区域纯度变化为</w:t>
      </w:r>
      <w:r>
        <w:rPr>
          <w:rFonts w:ascii="Times New Roman" w:hAnsi="Times New Roman" w:eastAsia="宋体"/>
          <w:u w:val="single"/>
        </w:rPr>
        <w:t>    </w:t>
      </w:r>
      <w:r>
        <w:rPr>
          <w:rFonts w:ascii="Times New Roman" w:hAnsi="Times New Roman" w:eastAsia="宋体"/>
        </w:rPr>
        <w:t>，边缘错误率变化为</w:t>
      </w:r>
      <w:r>
        <w:rPr>
          <w:rFonts w:ascii="Times New Roman" w:hAnsi="Times New Roman" w:eastAsia="宋体"/>
          <w:u w:val="single"/>
        </w:rPr>
        <w:t>    </w:t>
      </w:r>
      <w:r>
        <w:rPr>
          <w:rFonts w:ascii="Times New Roman" w:hAnsi="Times New Roman" w:eastAsia="宋体"/>
        </w:rPr>
        <w:t>。结论依据实际方向和稳定性填写；若只有两项联用有效，只说明它们构成相互依赖的结构编码，不预先宣称协同或各自独立有效。</w:t>
      </w:r>
    </w:p>
    <w:p w14:paraId="4F8A1ABD">
      <w:pPr>
        <w:widowControl/>
      </w:pPr>
      <w:r>
        <w:rPr>
          <w:rFonts w:ascii="Times New Roman" w:hAnsi="Times New Roman" w:eastAsia="宋体"/>
        </w:rPr>
        <w:t>图6以四个独立小面板分别展示四类mIoU、受损IoU、毁坏IoU与混合区域率；每个面板均为Q开关×Adapter开关的2×2实际结果。另标配对差值和交互，不以四个格子单独宣称显著性。</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6"/>
      </w:tblGrid>
      <w:tr w14:paraId="5D6EB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trPr>
        <w:tc>
          <w:tcPr>
            <w:tcW w:w="9026" w:type="dxa"/>
          </w:tcPr>
          <w:p w14:paraId="7405E4EB"/>
        </w:tc>
      </w:tr>
    </w:tbl>
    <w:p w14:paraId="7648819F">
      <w:pPr>
        <w:pStyle w:val="15"/>
        <w:keepNext/>
      </w:pPr>
      <w:r>
        <w:rPr>
          <w:rFonts w:ascii="Times New Roman" w:hAnsi="Times New Roman" w:eastAsia="宋体"/>
        </w:rPr>
        <w:t>图6　建筑相容项与结构适配的二因素结果</w:t>
      </w:r>
    </w:p>
    <w:p w14:paraId="64B0E1C5">
      <w:pPr>
        <w:widowControl/>
      </w:pPr>
      <w:r>
        <w:rPr>
          <w:rFonts w:ascii="Times New Roman" w:hAnsi="Times New Roman" w:eastAsia="宋体"/>
        </w:rPr>
        <w:t>为隔离内容条件的作用，表4固定同一Q和输入融合特征，在相同冻结状态、初始化与预算下重新训练Adapter、嵌入及读出；完整条件行也在此协议下训练，不直接复用训练条件不同的表3中“二者联用”配置的成绩。普通内容Adapter使用活跃的内容计算和相近参数/计算规模，不用闲置参数冒充有效容量匹配。去B仅移除Adapter显式B通道，B仍可经Q影响b(Q)、H(Q)。</w:t>
      </w:r>
    </w:p>
    <w:p w14:paraId="77B7EE5F">
      <w:pPr>
        <w:pStyle w:val="15"/>
        <w:keepNext/>
      </w:pPr>
      <w:r>
        <w:rPr>
          <w:rFonts w:ascii="Times New Roman" w:hAnsi="Times New Roman" w:eastAsia="宋体"/>
        </w:rPr>
        <w:t>表4　固定Q的Adapter条件与容量消融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1"/>
        <w:gridCol w:w="1142"/>
        <w:gridCol w:w="1142"/>
        <w:gridCol w:w="1142"/>
        <w:gridCol w:w="1142"/>
        <w:gridCol w:w="1142"/>
        <w:gridCol w:w="1142"/>
      </w:tblGrid>
      <w:tr w14:paraId="7534F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71" w:type="dxa"/>
            <w:shd w:val="clear" w:color="auto" w:fill="E8EDF2"/>
            <w:vAlign w:val="center"/>
          </w:tcPr>
          <w:p w14:paraId="78FD49ED">
            <w:pPr>
              <w:spacing w:before="20" w:after="20" w:line="252" w:lineRule="auto"/>
              <w:ind w:firstLine="0"/>
            </w:pPr>
            <w:r>
              <w:rPr>
                <w:rFonts w:ascii="Times New Roman" w:hAnsi="Times New Roman" w:eastAsia="宋体"/>
                <w:b/>
                <w:sz w:val="17"/>
              </w:rPr>
              <w:t>条件设置</w:t>
            </w:r>
          </w:p>
        </w:tc>
        <w:tc>
          <w:tcPr>
            <w:tcW w:w="1142" w:type="dxa"/>
            <w:shd w:val="clear" w:color="auto" w:fill="E8EDF2"/>
            <w:vAlign w:val="center"/>
          </w:tcPr>
          <w:p w14:paraId="75BF8777">
            <w:pPr>
              <w:spacing w:before="20" w:after="20" w:line="252" w:lineRule="auto"/>
              <w:ind w:firstLine="0"/>
            </w:pPr>
            <w:r>
              <w:rPr>
                <w:rFonts w:ascii="Times New Roman" w:hAnsi="Times New Roman" w:eastAsia="宋体"/>
                <w:b/>
                <w:sz w:val="17"/>
              </w:rPr>
              <w:t>参数量</w:t>
            </w:r>
          </w:p>
        </w:tc>
        <w:tc>
          <w:tcPr>
            <w:tcW w:w="1142" w:type="dxa"/>
            <w:shd w:val="clear" w:color="auto" w:fill="E8EDF2"/>
            <w:vAlign w:val="center"/>
          </w:tcPr>
          <w:p w14:paraId="4D8F6B80">
            <w:pPr>
              <w:spacing w:before="20" w:after="20" w:line="252" w:lineRule="auto"/>
              <w:ind w:firstLine="0"/>
            </w:pPr>
            <w:r>
              <w:rPr>
                <w:rFonts w:ascii="Times New Roman" w:hAnsi="Times New Roman" w:eastAsia="宋体"/>
                <w:b/>
                <w:sz w:val="17"/>
              </w:rPr>
              <w:t>四类mIoU</w:t>
            </w:r>
          </w:p>
        </w:tc>
        <w:tc>
          <w:tcPr>
            <w:tcW w:w="1142" w:type="dxa"/>
            <w:shd w:val="clear" w:color="auto" w:fill="E8EDF2"/>
            <w:vAlign w:val="center"/>
          </w:tcPr>
          <w:p w14:paraId="353E5FC0">
            <w:pPr>
              <w:spacing w:before="20" w:after="20" w:line="252" w:lineRule="auto"/>
              <w:ind w:firstLine="0"/>
            </w:pPr>
            <w:r>
              <w:rPr>
                <w:rFonts w:ascii="Times New Roman" w:hAnsi="Times New Roman" w:eastAsia="宋体"/>
                <w:b/>
                <w:sz w:val="17"/>
              </w:rPr>
              <w:t>前景mIoU</w:t>
            </w:r>
          </w:p>
        </w:tc>
        <w:tc>
          <w:tcPr>
            <w:tcW w:w="1142" w:type="dxa"/>
            <w:shd w:val="clear" w:color="auto" w:fill="E8EDF2"/>
            <w:vAlign w:val="center"/>
          </w:tcPr>
          <w:p w14:paraId="6ADDC3F6">
            <w:pPr>
              <w:spacing w:before="20" w:after="20" w:line="252" w:lineRule="auto"/>
              <w:ind w:firstLine="0"/>
            </w:pPr>
            <w:r>
              <w:rPr>
                <w:rFonts w:ascii="Times New Roman" w:hAnsi="Times New Roman" w:eastAsia="宋体"/>
                <w:b/>
                <w:sz w:val="17"/>
              </w:rPr>
              <w:t>受损IoU</w:t>
            </w:r>
          </w:p>
        </w:tc>
        <w:tc>
          <w:tcPr>
            <w:tcW w:w="1142" w:type="dxa"/>
            <w:shd w:val="clear" w:color="auto" w:fill="E8EDF2"/>
            <w:vAlign w:val="center"/>
          </w:tcPr>
          <w:p w14:paraId="0C2DCA25">
            <w:pPr>
              <w:spacing w:before="20" w:after="20" w:line="252" w:lineRule="auto"/>
              <w:ind w:firstLine="0"/>
            </w:pPr>
            <w:r>
              <w:rPr>
                <w:rFonts w:ascii="Times New Roman" w:hAnsi="Times New Roman" w:eastAsia="宋体"/>
                <w:b/>
                <w:sz w:val="17"/>
              </w:rPr>
              <w:t>毁坏IoU</w:t>
            </w:r>
          </w:p>
        </w:tc>
        <w:tc>
          <w:tcPr>
            <w:tcW w:w="1142" w:type="dxa"/>
            <w:shd w:val="clear" w:color="auto" w:fill="E8EDF2"/>
            <w:vAlign w:val="center"/>
          </w:tcPr>
          <w:p w14:paraId="3A3AF1BC">
            <w:pPr>
              <w:spacing w:before="20" w:after="20" w:line="252" w:lineRule="auto"/>
              <w:ind w:firstLine="0"/>
            </w:pPr>
            <w:r>
              <w:rPr>
                <w:rFonts w:ascii="Times New Roman" w:hAnsi="Times New Roman" w:eastAsia="宋体"/>
                <w:b/>
                <w:sz w:val="17"/>
              </w:rPr>
              <w:t>边缘错误率</w:t>
            </w:r>
          </w:p>
        </w:tc>
      </w:tr>
      <w:tr w14:paraId="69FB9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71" w:type="dxa"/>
            <w:vAlign w:val="center"/>
          </w:tcPr>
          <w:p w14:paraId="53945816">
            <w:pPr>
              <w:spacing w:before="20" w:after="20" w:line="252" w:lineRule="auto"/>
              <w:ind w:firstLine="0"/>
            </w:pPr>
            <w:r>
              <w:rPr>
                <w:rFonts w:ascii="Times New Roman" w:hAnsi="Times New Roman" w:eastAsia="宋体"/>
                <w:b w:val="0"/>
                <w:sz w:val="17"/>
              </w:rPr>
              <w:t>无残差Adapter</w:t>
            </w:r>
          </w:p>
        </w:tc>
        <w:tc>
          <w:tcPr>
            <w:tcW w:w="1142" w:type="dxa"/>
            <w:vAlign w:val="center"/>
          </w:tcPr>
          <w:p w14:paraId="57C06AFE">
            <w:pPr>
              <w:spacing w:before="20" w:after="20" w:line="252" w:lineRule="auto"/>
              <w:ind w:firstLine="0"/>
            </w:pPr>
          </w:p>
        </w:tc>
        <w:tc>
          <w:tcPr>
            <w:tcW w:w="1142" w:type="dxa"/>
            <w:vAlign w:val="center"/>
          </w:tcPr>
          <w:p w14:paraId="59FE5C5F">
            <w:pPr>
              <w:spacing w:before="20" w:after="20" w:line="252" w:lineRule="auto"/>
              <w:ind w:firstLine="0"/>
            </w:pPr>
          </w:p>
        </w:tc>
        <w:tc>
          <w:tcPr>
            <w:tcW w:w="1142" w:type="dxa"/>
            <w:vAlign w:val="center"/>
          </w:tcPr>
          <w:p w14:paraId="23D115CF">
            <w:pPr>
              <w:spacing w:before="20" w:after="20" w:line="252" w:lineRule="auto"/>
              <w:ind w:firstLine="0"/>
            </w:pPr>
          </w:p>
        </w:tc>
        <w:tc>
          <w:tcPr>
            <w:tcW w:w="1142" w:type="dxa"/>
            <w:vAlign w:val="center"/>
          </w:tcPr>
          <w:p w14:paraId="4DBD6DA0">
            <w:pPr>
              <w:spacing w:before="20" w:after="20" w:line="252" w:lineRule="auto"/>
              <w:ind w:firstLine="0"/>
            </w:pPr>
          </w:p>
        </w:tc>
        <w:tc>
          <w:tcPr>
            <w:tcW w:w="1142" w:type="dxa"/>
            <w:vAlign w:val="center"/>
          </w:tcPr>
          <w:p w14:paraId="13FE9946">
            <w:pPr>
              <w:spacing w:before="20" w:after="20" w:line="252" w:lineRule="auto"/>
              <w:ind w:firstLine="0"/>
            </w:pPr>
          </w:p>
        </w:tc>
        <w:tc>
          <w:tcPr>
            <w:tcW w:w="1142" w:type="dxa"/>
            <w:vAlign w:val="center"/>
          </w:tcPr>
          <w:p w14:paraId="7863CA11">
            <w:pPr>
              <w:spacing w:before="20" w:after="20" w:line="252" w:lineRule="auto"/>
              <w:ind w:firstLine="0"/>
            </w:pPr>
          </w:p>
        </w:tc>
      </w:tr>
      <w:tr w14:paraId="17793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71" w:type="dxa"/>
            <w:vAlign w:val="center"/>
          </w:tcPr>
          <w:p w14:paraId="22B41A07">
            <w:pPr>
              <w:spacing w:before="20" w:after="20" w:line="252" w:lineRule="auto"/>
              <w:ind w:firstLine="0"/>
            </w:pPr>
            <w:r>
              <w:rPr>
                <w:rFonts w:ascii="Times New Roman" w:hAnsi="Times New Roman" w:eastAsia="宋体"/>
                <w:b w:val="0"/>
                <w:sz w:val="17"/>
              </w:rPr>
              <w:t>完整B、b(Q)、H(Q)</w:t>
            </w:r>
          </w:p>
        </w:tc>
        <w:tc>
          <w:tcPr>
            <w:tcW w:w="1142" w:type="dxa"/>
            <w:vAlign w:val="center"/>
          </w:tcPr>
          <w:p w14:paraId="0BE3D5AE">
            <w:pPr>
              <w:spacing w:before="20" w:after="20" w:line="252" w:lineRule="auto"/>
              <w:ind w:firstLine="0"/>
            </w:pPr>
          </w:p>
        </w:tc>
        <w:tc>
          <w:tcPr>
            <w:tcW w:w="1142" w:type="dxa"/>
            <w:vAlign w:val="center"/>
          </w:tcPr>
          <w:p w14:paraId="0F97CE10">
            <w:pPr>
              <w:spacing w:before="20" w:after="20" w:line="252" w:lineRule="auto"/>
              <w:ind w:firstLine="0"/>
            </w:pPr>
          </w:p>
        </w:tc>
        <w:tc>
          <w:tcPr>
            <w:tcW w:w="1142" w:type="dxa"/>
            <w:vAlign w:val="center"/>
          </w:tcPr>
          <w:p w14:paraId="6D6781EB">
            <w:pPr>
              <w:spacing w:before="20" w:after="20" w:line="252" w:lineRule="auto"/>
              <w:ind w:firstLine="0"/>
            </w:pPr>
          </w:p>
        </w:tc>
        <w:tc>
          <w:tcPr>
            <w:tcW w:w="1142" w:type="dxa"/>
            <w:vAlign w:val="center"/>
          </w:tcPr>
          <w:p w14:paraId="1915BB97">
            <w:pPr>
              <w:spacing w:before="20" w:after="20" w:line="252" w:lineRule="auto"/>
              <w:ind w:firstLine="0"/>
            </w:pPr>
          </w:p>
        </w:tc>
        <w:tc>
          <w:tcPr>
            <w:tcW w:w="1142" w:type="dxa"/>
            <w:vAlign w:val="center"/>
          </w:tcPr>
          <w:p w14:paraId="161D1A48">
            <w:pPr>
              <w:spacing w:before="20" w:after="20" w:line="252" w:lineRule="auto"/>
              <w:ind w:firstLine="0"/>
            </w:pPr>
          </w:p>
        </w:tc>
        <w:tc>
          <w:tcPr>
            <w:tcW w:w="1142" w:type="dxa"/>
            <w:vAlign w:val="center"/>
          </w:tcPr>
          <w:p w14:paraId="44F4BA49">
            <w:pPr>
              <w:spacing w:before="20" w:after="20" w:line="252" w:lineRule="auto"/>
              <w:ind w:firstLine="0"/>
            </w:pPr>
          </w:p>
        </w:tc>
      </w:tr>
      <w:tr w14:paraId="2A4A7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71" w:type="dxa"/>
            <w:vAlign w:val="center"/>
          </w:tcPr>
          <w:p w14:paraId="5629655F">
            <w:pPr>
              <w:spacing w:before="20" w:after="20" w:line="252" w:lineRule="auto"/>
              <w:ind w:firstLine="0"/>
            </w:pPr>
            <w:r>
              <w:rPr>
                <w:rFonts w:ascii="Times New Roman" w:hAnsi="Times New Roman" w:eastAsia="宋体"/>
                <w:b w:val="0"/>
                <w:sz w:val="17"/>
              </w:rPr>
              <w:t>去Adapter显式B</w:t>
            </w:r>
          </w:p>
        </w:tc>
        <w:tc>
          <w:tcPr>
            <w:tcW w:w="1142" w:type="dxa"/>
            <w:vAlign w:val="center"/>
          </w:tcPr>
          <w:p w14:paraId="68150827">
            <w:pPr>
              <w:spacing w:before="20" w:after="20" w:line="252" w:lineRule="auto"/>
              <w:ind w:firstLine="0"/>
            </w:pPr>
          </w:p>
        </w:tc>
        <w:tc>
          <w:tcPr>
            <w:tcW w:w="1142" w:type="dxa"/>
            <w:vAlign w:val="center"/>
          </w:tcPr>
          <w:p w14:paraId="72E413B6">
            <w:pPr>
              <w:spacing w:before="20" w:after="20" w:line="252" w:lineRule="auto"/>
              <w:ind w:firstLine="0"/>
            </w:pPr>
          </w:p>
        </w:tc>
        <w:tc>
          <w:tcPr>
            <w:tcW w:w="1142" w:type="dxa"/>
            <w:vAlign w:val="center"/>
          </w:tcPr>
          <w:p w14:paraId="4C1D28C0">
            <w:pPr>
              <w:spacing w:before="20" w:after="20" w:line="252" w:lineRule="auto"/>
              <w:ind w:firstLine="0"/>
            </w:pPr>
          </w:p>
        </w:tc>
        <w:tc>
          <w:tcPr>
            <w:tcW w:w="1142" w:type="dxa"/>
            <w:vAlign w:val="center"/>
          </w:tcPr>
          <w:p w14:paraId="7AF783F7">
            <w:pPr>
              <w:spacing w:before="20" w:after="20" w:line="252" w:lineRule="auto"/>
              <w:ind w:firstLine="0"/>
            </w:pPr>
          </w:p>
        </w:tc>
        <w:tc>
          <w:tcPr>
            <w:tcW w:w="1142" w:type="dxa"/>
            <w:vAlign w:val="center"/>
          </w:tcPr>
          <w:p w14:paraId="32CC1165">
            <w:pPr>
              <w:spacing w:before="20" w:after="20" w:line="252" w:lineRule="auto"/>
              <w:ind w:firstLine="0"/>
            </w:pPr>
          </w:p>
        </w:tc>
        <w:tc>
          <w:tcPr>
            <w:tcW w:w="1142" w:type="dxa"/>
            <w:vAlign w:val="center"/>
          </w:tcPr>
          <w:p w14:paraId="27C5F0E7">
            <w:pPr>
              <w:spacing w:before="20" w:after="20" w:line="252" w:lineRule="auto"/>
              <w:ind w:firstLine="0"/>
            </w:pPr>
          </w:p>
        </w:tc>
      </w:tr>
      <w:tr w14:paraId="4E7E2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71" w:type="dxa"/>
            <w:vAlign w:val="center"/>
          </w:tcPr>
          <w:p w14:paraId="0005B384">
            <w:pPr>
              <w:spacing w:before="20" w:after="20" w:line="252" w:lineRule="auto"/>
              <w:ind w:firstLine="0"/>
            </w:pPr>
            <w:r>
              <w:rPr>
                <w:rFonts w:ascii="Times New Roman" w:hAnsi="Times New Roman" w:eastAsia="宋体"/>
                <w:b w:val="0"/>
                <w:sz w:val="17"/>
              </w:rPr>
              <w:t>去b(Q)</w:t>
            </w:r>
          </w:p>
        </w:tc>
        <w:tc>
          <w:tcPr>
            <w:tcW w:w="1142" w:type="dxa"/>
            <w:vAlign w:val="center"/>
          </w:tcPr>
          <w:p w14:paraId="4C5F6403">
            <w:pPr>
              <w:spacing w:before="20" w:after="20" w:line="252" w:lineRule="auto"/>
              <w:ind w:firstLine="0"/>
            </w:pPr>
          </w:p>
        </w:tc>
        <w:tc>
          <w:tcPr>
            <w:tcW w:w="1142" w:type="dxa"/>
            <w:vAlign w:val="center"/>
          </w:tcPr>
          <w:p w14:paraId="229EC1BF">
            <w:pPr>
              <w:spacing w:before="20" w:after="20" w:line="252" w:lineRule="auto"/>
              <w:ind w:firstLine="0"/>
            </w:pPr>
          </w:p>
        </w:tc>
        <w:tc>
          <w:tcPr>
            <w:tcW w:w="1142" w:type="dxa"/>
            <w:vAlign w:val="center"/>
          </w:tcPr>
          <w:p w14:paraId="747F741F">
            <w:pPr>
              <w:spacing w:before="20" w:after="20" w:line="252" w:lineRule="auto"/>
              <w:ind w:firstLine="0"/>
            </w:pPr>
          </w:p>
        </w:tc>
        <w:tc>
          <w:tcPr>
            <w:tcW w:w="1142" w:type="dxa"/>
            <w:vAlign w:val="center"/>
          </w:tcPr>
          <w:p w14:paraId="52264E7E">
            <w:pPr>
              <w:spacing w:before="20" w:after="20" w:line="252" w:lineRule="auto"/>
              <w:ind w:firstLine="0"/>
            </w:pPr>
          </w:p>
        </w:tc>
        <w:tc>
          <w:tcPr>
            <w:tcW w:w="1142" w:type="dxa"/>
            <w:vAlign w:val="center"/>
          </w:tcPr>
          <w:p w14:paraId="277990F3">
            <w:pPr>
              <w:spacing w:before="20" w:after="20" w:line="252" w:lineRule="auto"/>
              <w:ind w:firstLine="0"/>
            </w:pPr>
          </w:p>
        </w:tc>
        <w:tc>
          <w:tcPr>
            <w:tcW w:w="1142" w:type="dxa"/>
            <w:vAlign w:val="center"/>
          </w:tcPr>
          <w:p w14:paraId="0EC7F065">
            <w:pPr>
              <w:spacing w:before="20" w:after="20" w:line="252" w:lineRule="auto"/>
              <w:ind w:firstLine="0"/>
            </w:pPr>
          </w:p>
        </w:tc>
      </w:tr>
      <w:tr w14:paraId="0E03F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71" w:type="dxa"/>
            <w:vAlign w:val="center"/>
          </w:tcPr>
          <w:p w14:paraId="28021E03">
            <w:pPr>
              <w:spacing w:before="20" w:after="20" w:line="252" w:lineRule="auto"/>
              <w:ind w:firstLine="0"/>
            </w:pPr>
            <w:r>
              <w:rPr>
                <w:rFonts w:ascii="Times New Roman" w:hAnsi="Times New Roman" w:eastAsia="宋体"/>
                <w:b w:val="0"/>
                <w:sz w:val="17"/>
              </w:rPr>
              <w:t>去H(Q)</w:t>
            </w:r>
          </w:p>
        </w:tc>
        <w:tc>
          <w:tcPr>
            <w:tcW w:w="1142" w:type="dxa"/>
            <w:vAlign w:val="center"/>
          </w:tcPr>
          <w:p w14:paraId="55482A0E">
            <w:pPr>
              <w:spacing w:before="20" w:after="20" w:line="252" w:lineRule="auto"/>
              <w:ind w:firstLine="0"/>
            </w:pPr>
          </w:p>
        </w:tc>
        <w:tc>
          <w:tcPr>
            <w:tcW w:w="1142" w:type="dxa"/>
            <w:vAlign w:val="center"/>
          </w:tcPr>
          <w:p w14:paraId="506987BF">
            <w:pPr>
              <w:spacing w:before="20" w:after="20" w:line="252" w:lineRule="auto"/>
              <w:ind w:firstLine="0"/>
            </w:pPr>
          </w:p>
        </w:tc>
        <w:tc>
          <w:tcPr>
            <w:tcW w:w="1142" w:type="dxa"/>
            <w:vAlign w:val="center"/>
          </w:tcPr>
          <w:p w14:paraId="09DC8780">
            <w:pPr>
              <w:spacing w:before="20" w:after="20" w:line="252" w:lineRule="auto"/>
              <w:ind w:firstLine="0"/>
            </w:pPr>
          </w:p>
        </w:tc>
        <w:tc>
          <w:tcPr>
            <w:tcW w:w="1142" w:type="dxa"/>
            <w:vAlign w:val="center"/>
          </w:tcPr>
          <w:p w14:paraId="31ACE71C">
            <w:pPr>
              <w:spacing w:before="20" w:after="20" w:line="252" w:lineRule="auto"/>
              <w:ind w:firstLine="0"/>
            </w:pPr>
          </w:p>
        </w:tc>
        <w:tc>
          <w:tcPr>
            <w:tcW w:w="1142" w:type="dxa"/>
            <w:vAlign w:val="center"/>
          </w:tcPr>
          <w:p w14:paraId="0D5CC47B">
            <w:pPr>
              <w:spacing w:before="20" w:after="20" w:line="252" w:lineRule="auto"/>
              <w:ind w:firstLine="0"/>
            </w:pPr>
          </w:p>
        </w:tc>
        <w:tc>
          <w:tcPr>
            <w:tcW w:w="1142" w:type="dxa"/>
            <w:vAlign w:val="center"/>
          </w:tcPr>
          <w:p w14:paraId="742DB923">
            <w:pPr>
              <w:spacing w:before="20" w:after="20" w:line="252" w:lineRule="auto"/>
              <w:ind w:firstLine="0"/>
            </w:pPr>
          </w:p>
        </w:tc>
      </w:tr>
      <w:tr w14:paraId="5BE20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71" w:type="dxa"/>
            <w:vAlign w:val="center"/>
          </w:tcPr>
          <w:p w14:paraId="356BA20D">
            <w:pPr>
              <w:spacing w:before="20" w:after="20" w:line="252" w:lineRule="auto"/>
              <w:ind w:firstLine="0"/>
            </w:pPr>
            <w:r>
              <w:rPr>
                <w:rFonts w:ascii="Times New Roman" w:hAnsi="Times New Roman" w:eastAsia="宋体"/>
                <w:b w:val="0"/>
                <w:sz w:val="17"/>
              </w:rPr>
              <w:t>同参数普通内容Adapter</w:t>
            </w:r>
          </w:p>
        </w:tc>
        <w:tc>
          <w:tcPr>
            <w:tcW w:w="1142" w:type="dxa"/>
            <w:vAlign w:val="center"/>
          </w:tcPr>
          <w:p w14:paraId="67D78AC8">
            <w:pPr>
              <w:spacing w:before="20" w:after="20" w:line="252" w:lineRule="auto"/>
              <w:ind w:firstLine="0"/>
            </w:pPr>
          </w:p>
        </w:tc>
        <w:tc>
          <w:tcPr>
            <w:tcW w:w="1142" w:type="dxa"/>
            <w:vAlign w:val="center"/>
          </w:tcPr>
          <w:p w14:paraId="371F810B">
            <w:pPr>
              <w:spacing w:before="20" w:after="20" w:line="252" w:lineRule="auto"/>
              <w:ind w:firstLine="0"/>
            </w:pPr>
          </w:p>
        </w:tc>
        <w:tc>
          <w:tcPr>
            <w:tcW w:w="1142" w:type="dxa"/>
            <w:vAlign w:val="center"/>
          </w:tcPr>
          <w:p w14:paraId="7747BBB4">
            <w:pPr>
              <w:spacing w:before="20" w:after="20" w:line="252" w:lineRule="auto"/>
              <w:ind w:firstLine="0"/>
            </w:pPr>
          </w:p>
        </w:tc>
        <w:tc>
          <w:tcPr>
            <w:tcW w:w="1142" w:type="dxa"/>
            <w:vAlign w:val="center"/>
          </w:tcPr>
          <w:p w14:paraId="5CB9CE02">
            <w:pPr>
              <w:spacing w:before="20" w:after="20" w:line="252" w:lineRule="auto"/>
              <w:ind w:firstLine="0"/>
            </w:pPr>
          </w:p>
        </w:tc>
        <w:tc>
          <w:tcPr>
            <w:tcW w:w="1142" w:type="dxa"/>
            <w:vAlign w:val="center"/>
          </w:tcPr>
          <w:p w14:paraId="416C2F13">
            <w:pPr>
              <w:spacing w:before="20" w:after="20" w:line="252" w:lineRule="auto"/>
              <w:ind w:firstLine="0"/>
            </w:pPr>
          </w:p>
        </w:tc>
        <w:tc>
          <w:tcPr>
            <w:tcW w:w="1142" w:type="dxa"/>
            <w:vAlign w:val="center"/>
          </w:tcPr>
          <w:p w14:paraId="3FD5C33C">
            <w:pPr>
              <w:spacing w:before="20" w:after="20" w:line="252" w:lineRule="auto"/>
              <w:ind w:firstLine="0"/>
            </w:pPr>
          </w:p>
        </w:tc>
      </w:tr>
    </w:tbl>
    <w:p w14:paraId="4D419618">
      <w:pPr>
        <w:widowControl/>
      </w:pPr>
    </w:p>
    <w:p w14:paraId="76E6537E">
      <w:pPr>
        <w:widowControl/>
      </w:pPr>
      <w:r>
        <w:rPr>
          <w:rFonts w:ascii="Times New Roman" w:hAnsi="Times New Roman" w:eastAsia="宋体"/>
        </w:rPr>
        <w:t>完整条件相对普通内容Adapter的前景mIoU差值为</w:t>
      </w:r>
      <w:r>
        <w:rPr>
          <w:rFonts w:ascii="Times New Roman" w:hAnsi="Times New Roman" w:eastAsia="宋体"/>
          <w:u w:val="single"/>
        </w:rPr>
        <w:t>    </w:t>
      </w:r>
      <w:r>
        <w:rPr>
          <w:rFonts w:ascii="Times New Roman" w:hAnsi="Times New Roman" w:eastAsia="宋体"/>
        </w:rPr>
        <w:t>；分别去除B、b(Q)、H(Q)后的差值为</w:t>
      </w:r>
      <w:r>
        <w:rPr>
          <w:rFonts w:ascii="Times New Roman" w:hAnsi="Times New Roman" w:eastAsia="宋体"/>
          <w:u w:val="single"/>
        </w:rPr>
        <w:t>    </w:t>
      </w:r>
      <w:r>
        <w:rPr>
          <w:rFonts w:ascii="Times New Roman" w:hAnsi="Times New Roman" w:eastAsia="宋体"/>
        </w:rPr>
        <w:t>、</w:t>
      </w:r>
      <w:r>
        <w:rPr>
          <w:rFonts w:ascii="Times New Roman" w:hAnsi="Times New Roman" w:eastAsia="宋体"/>
          <w:u w:val="single"/>
        </w:rPr>
        <w:t>    </w:t>
      </w:r>
      <w:r>
        <w:rPr>
          <w:rFonts w:ascii="Times New Roman" w:hAnsi="Times New Roman" w:eastAsia="宋体"/>
        </w:rPr>
        <w:t>、</w:t>
      </w:r>
      <w:r>
        <w:rPr>
          <w:rFonts w:ascii="Times New Roman" w:hAnsi="Times New Roman" w:eastAsia="宋体"/>
          <w:u w:val="single"/>
        </w:rPr>
        <w:t>    </w:t>
      </w:r>
      <w:r>
        <w:rPr>
          <w:rFonts w:ascii="Times New Roman" w:hAnsi="Times New Roman" w:eastAsia="宋体"/>
        </w:rPr>
        <w:t>。只有这些对照支持时，才将收益归于对应条件，而不是额外MLP容量。</w:t>
      </w:r>
    </w:p>
    <w:p w14:paraId="62FB9A3E">
      <w:pPr>
        <w:widowControl/>
      </w:pPr>
      <w:r>
        <w:rPr>
          <w:rFonts w:ascii="Times New Roman" w:hAnsi="Times New Roman" w:eastAsia="宋体"/>
        </w:rPr>
        <w:t>图7并列灾前光学、灾后SAR、GT建筑掩膜、预测B、Q相容项关闭/开启、混合区域标记与区域边界；可附b(Q)、H(Q)及固定Q条件消融预测。窗口、颜色和区域预算相同，边界规整仅作观察，须与表3/4计数共同解释。</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6"/>
      </w:tblGrid>
      <w:tr w14:paraId="3B80B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trPr>
        <w:tc>
          <w:tcPr>
            <w:tcW w:w="9026" w:type="dxa"/>
          </w:tcPr>
          <w:p w14:paraId="15839DBE"/>
        </w:tc>
      </w:tr>
    </w:tbl>
    <w:p w14:paraId="77C41085">
      <w:pPr>
        <w:pStyle w:val="15"/>
        <w:keepNext/>
      </w:pPr>
      <w:r>
        <w:rPr>
          <w:rFonts w:ascii="Times New Roman" w:hAnsi="Times New Roman" w:eastAsia="宋体"/>
        </w:rPr>
        <w:t>图7　软区域组织与结构条件的同窗口诊断</w:t>
      </w:r>
    </w:p>
    <w:p w14:paraId="07B98D2E">
      <w:pPr>
        <w:pStyle w:val="4"/>
        <w:keepNext/>
      </w:pPr>
      <w:r>
        <w:rPr>
          <w:rFonts w:ascii="Times New Roman" w:hAnsi="Times New Roman" w:eastAsia="宋体"/>
        </w:rPr>
        <w:t>D. 历史支持与检索排序的分层验证</w:t>
      </w:r>
    </w:p>
    <w:p w14:paraId="004F7BB4">
      <w:pPr>
        <w:widowControl/>
      </w:pPr>
      <w:r>
        <w:rPr>
          <w:rFonts w:ascii="Times New Roman" w:hAnsi="Times New Roman" w:eastAsia="宋体"/>
        </w:rPr>
        <w:t>表5按实际计算路径命名五个配置。MPF-HA只适配像素分类头；Pixel–Region直接回投当前区域，不使用支持读取器；Parametric Support用可学习参考向量控制读取器及其参数化先验；Cosine Retrieval读取原始余弦选出的真实Train案例；Supervised Retrieval读取跨事件类别监督投影选出的同库案例。最后一项是完整方法，在表2中统一写为Ours。共同区域编码与支持成员在本组固定。</w:t>
      </w:r>
    </w:p>
    <w:p w14:paraId="5FB7DA88">
      <w:pPr>
        <w:pStyle w:val="15"/>
        <w:keepNext/>
      </w:pPr>
      <w:r>
        <w:rPr>
          <w:rFonts w:ascii="Times New Roman" w:hAnsi="Times New Roman" w:eastAsia="宋体"/>
        </w:rPr>
        <w:t>表5　像素、当前区域与历史支持的信息来源对照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9"/>
        <w:gridCol w:w="735"/>
        <w:gridCol w:w="1259"/>
        <w:gridCol w:w="1364"/>
        <w:gridCol w:w="892"/>
        <w:gridCol w:w="892"/>
        <w:gridCol w:w="892"/>
        <w:gridCol w:w="892"/>
      </w:tblGrid>
      <w:tr w14:paraId="4C230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99" w:type="dxa"/>
            <w:shd w:val="clear" w:color="auto" w:fill="E8EDF2"/>
            <w:vAlign w:val="center"/>
          </w:tcPr>
          <w:p>
            <w:pPr>
              <w:spacing w:before="20" w:after="20" w:line="252" w:lineRule="auto"/>
              <w:ind w:firstLine="0"/>
            </w:pPr>
            <w:r>
              <w:rPr>
                <w:rFonts w:ascii="Times New Roman" w:hAnsi="Times New Roman" w:eastAsia="宋体"/>
                <w:b/>
                <w:sz w:val="15"/>
              </w:rPr>
              <w:t>配置</w:t>
            </w:r>
          </w:p>
        </w:tc>
        <w:tc>
          <w:tcPr>
            <w:tcW w:w="735" w:type="dxa"/>
            <w:shd w:val="clear" w:color="auto" w:fill="E8EDF2"/>
            <w:vAlign w:val="center"/>
          </w:tcPr>
          <w:p>
            <w:pPr>
              <w:spacing w:before="20" w:after="20" w:line="252" w:lineRule="auto"/>
              <w:ind w:firstLine="0"/>
            </w:pPr>
            <w:r>
              <w:rPr>
                <w:rFonts w:ascii="Times New Roman" w:hAnsi="Times New Roman" w:eastAsia="宋体"/>
                <w:b/>
                <w:sz w:val="15"/>
              </w:rPr>
              <w:t>当前区域</w:t>
            </w:r>
          </w:p>
        </w:tc>
        <w:tc>
          <w:tcPr>
            <w:tcW w:w="1259" w:type="dxa"/>
            <w:shd w:val="clear" w:color="auto" w:fill="E8EDF2"/>
            <w:vAlign w:val="center"/>
          </w:tcPr>
          <w:p>
            <w:pPr>
              <w:spacing w:before="20" w:after="20" w:line="252" w:lineRule="auto"/>
              <w:ind w:firstLine="0"/>
            </w:pPr>
            <w:r>
              <w:rPr>
                <w:rFonts w:ascii="Times New Roman" w:hAnsi="Times New Roman" w:eastAsia="宋体"/>
                <w:b/>
                <w:sz w:val="15"/>
              </w:rPr>
              <w:t>支持读取</w:t>
            </w:r>
          </w:p>
        </w:tc>
        <w:tc>
          <w:tcPr>
            <w:tcW w:w="1364" w:type="dxa"/>
            <w:shd w:val="clear" w:color="auto" w:fill="E8EDF2"/>
            <w:vAlign w:val="center"/>
          </w:tcPr>
          <w:p>
            <w:pPr>
              <w:spacing w:before="20" w:after="20" w:line="252" w:lineRule="auto"/>
              <w:ind w:firstLine="0"/>
            </w:pPr>
            <w:r>
              <w:rPr>
                <w:rFonts w:ascii="Times New Roman" w:hAnsi="Times New Roman" w:eastAsia="宋体"/>
                <w:b/>
                <w:sz w:val="15"/>
              </w:rPr>
              <w:t>选择方式</w:t>
            </w:r>
          </w:p>
        </w:tc>
        <w:tc>
          <w:tcPr>
            <w:tcW w:w="892" w:type="dxa"/>
            <w:shd w:val="clear" w:color="auto" w:fill="E8EDF2"/>
            <w:vAlign w:val="center"/>
          </w:tcPr>
          <w:p>
            <w:pPr>
              <w:spacing w:before="20" w:after="20" w:line="252" w:lineRule="auto"/>
              <w:ind w:firstLine="0"/>
            </w:pPr>
            <w:r>
              <w:rPr>
                <w:rFonts w:ascii="Times New Roman" w:hAnsi="Times New Roman" w:eastAsia="宋体"/>
                <w:b/>
                <w:sz w:val="15"/>
              </w:rPr>
              <w:t>四类mIoU</w:t>
            </w:r>
          </w:p>
        </w:tc>
        <w:tc>
          <w:tcPr>
            <w:tcW w:w="892" w:type="dxa"/>
            <w:shd w:val="clear" w:color="auto" w:fill="E8EDF2"/>
            <w:vAlign w:val="center"/>
          </w:tcPr>
          <w:p>
            <w:pPr>
              <w:spacing w:before="20" w:after="20" w:line="252" w:lineRule="auto"/>
              <w:ind w:firstLine="0"/>
            </w:pPr>
            <w:r>
              <w:rPr>
                <w:rFonts w:ascii="Times New Roman" w:hAnsi="Times New Roman" w:eastAsia="宋体"/>
                <w:b/>
                <w:sz w:val="15"/>
              </w:rPr>
              <w:t>前景mIoU</w:t>
            </w:r>
          </w:p>
        </w:tc>
        <w:tc>
          <w:tcPr>
            <w:tcW w:w="892" w:type="dxa"/>
            <w:shd w:val="clear" w:color="auto" w:fill="E8EDF2"/>
            <w:vAlign w:val="center"/>
          </w:tcPr>
          <w:p>
            <w:pPr>
              <w:spacing w:before="20" w:after="20" w:line="252" w:lineRule="auto"/>
              <w:ind w:firstLine="0"/>
            </w:pPr>
            <w:r>
              <w:rPr>
                <w:rFonts w:ascii="Times New Roman" w:hAnsi="Times New Roman" w:eastAsia="宋体"/>
                <w:b/>
                <w:sz w:val="15"/>
              </w:rPr>
              <w:t>受损IoU</w:t>
            </w:r>
          </w:p>
        </w:tc>
        <w:tc>
          <w:tcPr>
            <w:tcW w:w="892" w:type="dxa"/>
            <w:shd w:val="clear" w:color="auto" w:fill="E8EDF2"/>
            <w:vAlign w:val="center"/>
          </w:tcPr>
          <w:p>
            <w:pPr>
              <w:spacing w:before="20" w:after="20" w:line="252" w:lineRule="auto"/>
              <w:ind w:firstLine="0"/>
            </w:pPr>
            <w:r>
              <w:rPr>
                <w:rFonts w:ascii="Times New Roman" w:hAnsi="Times New Roman" w:eastAsia="宋体"/>
                <w:b/>
                <w:sz w:val="15"/>
              </w:rPr>
              <w:t>毁坏IoU</w:t>
            </w:r>
          </w:p>
        </w:tc>
      </w:tr>
      <w:tr w14:paraId="279DF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9" w:type="dxa"/>
            <w:vAlign w:val="center"/>
          </w:tcPr>
          <w:p>
            <w:pPr>
              <w:spacing w:before="20" w:after="20" w:line="252" w:lineRule="auto"/>
              <w:ind w:firstLine="0"/>
            </w:pPr>
            <w:r>
              <w:rPr>
                <w:rFonts w:ascii="Times New Roman" w:hAnsi="Times New Roman" w:eastAsia="宋体"/>
                <w:b w:val="0"/>
                <w:sz w:val="15"/>
              </w:rPr>
              <w:t>MPF-HA</w:t>
            </w:r>
          </w:p>
        </w:tc>
        <w:tc>
          <w:tcPr>
            <w:tcW w:w="735" w:type="dxa"/>
            <w:vAlign w:val="center"/>
          </w:tcPr>
          <w:p>
            <w:pPr>
              <w:spacing w:before="20" w:after="20" w:line="252" w:lineRule="auto"/>
              <w:ind w:firstLine="0"/>
            </w:pPr>
            <w:r>
              <w:rPr>
                <w:rFonts w:ascii="Times New Roman" w:hAnsi="Times New Roman" w:eastAsia="宋体"/>
                <w:b w:val="0"/>
                <w:sz w:val="15"/>
              </w:rPr>
              <w:t>无</w:t>
            </w:r>
          </w:p>
        </w:tc>
        <w:tc>
          <w:tcPr>
            <w:tcW w:w="1259" w:type="dxa"/>
            <w:vAlign w:val="center"/>
          </w:tcPr>
          <w:p>
            <w:pPr>
              <w:spacing w:before="20" w:after="20" w:line="252" w:lineRule="auto"/>
              <w:ind w:firstLine="0"/>
            </w:pPr>
            <w:r>
              <w:rPr>
                <w:rFonts w:ascii="Times New Roman" w:hAnsi="Times New Roman" w:eastAsia="宋体"/>
                <w:b w:val="0"/>
                <w:sz w:val="15"/>
              </w:rPr>
              <w:t>无</w:t>
            </w:r>
          </w:p>
        </w:tc>
        <w:tc>
          <w:tcPr>
            <w:tcW w:w="1364" w:type="dxa"/>
            <w:vAlign w:val="center"/>
          </w:tcPr>
          <w:p>
            <w:pPr>
              <w:spacing w:before="20" w:after="20" w:line="252" w:lineRule="auto"/>
              <w:ind w:firstLine="0"/>
            </w:pPr>
            <w:r>
              <w:rPr>
                <w:rFonts w:ascii="Times New Roman" w:hAnsi="Times New Roman" w:eastAsia="宋体"/>
                <w:b w:val="0"/>
                <w:sz w:val="15"/>
              </w:rPr>
              <w:t>无</w:t>
            </w:r>
          </w:p>
        </w:tc>
        <w:tc>
          <w:tcPr>
            <w:tcW w:w="892" w:type="dxa"/>
            <w:vAlign w:val="center"/>
          </w:tcPr>
          <w:p w14:paraId="4FE5853D">
            <w:pPr>
              <w:spacing w:before="20" w:after="20" w:line="252" w:lineRule="auto"/>
              <w:ind w:firstLine="0"/>
            </w:pPr>
          </w:p>
        </w:tc>
        <w:tc>
          <w:tcPr>
            <w:tcW w:w="892" w:type="dxa"/>
            <w:vAlign w:val="center"/>
          </w:tcPr>
          <w:p w14:paraId="3488ADD3">
            <w:pPr>
              <w:spacing w:before="20" w:after="20" w:line="252" w:lineRule="auto"/>
              <w:ind w:firstLine="0"/>
            </w:pPr>
          </w:p>
        </w:tc>
        <w:tc>
          <w:tcPr>
            <w:tcW w:w="892" w:type="dxa"/>
            <w:vAlign w:val="center"/>
          </w:tcPr>
          <w:p w14:paraId="6213FDE5">
            <w:pPr>
              <w:spacing w:before="20" w:after="20" w:line="252" w:lineRule="auto"/>
              <w:ind w:firstLine="0"/>
            </w:pPr>
          </w:p>
        </w:tc>
        <w:tc>
          <w:tcPr>
            <w:tcW w:w="892" w:type="dxa"/>
            <w:vAlign w:val="center"/>
          </w:tcPr>
          <w:p w14:paraId="302D3D12">
            <w:pPr>
              <w:spacing w:before="20" w:after="20" w:line="252" w:lineRule="auto"/>
              <w:ind w:firstLine="0"/>
            </w:pPr>
          </w:p>
        </w:tc>
      </w:tr>
      <w:tr w14:paraId="677A8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9" w:type="dxa"/>
            <w:vAlign w:val="center"/>
          </w:tcPr>
          <w:p>
            <w:pPr>
              <w:spacing w:before="20" w:after="20" w:line="252" w:lineRule="auto"/>
              <w:ind w:firstLine="0"/>
            </w:pPr>
            <w:r>
              <w:rPr>
                <w:rFonts w:ascii="Times New Roman" w:hAnsi="Times New Roman" w:eastAsia="宋体"/>
                <w:b w:val="0"/>
                <w:sz w:val="15"/>
              </w:rPr>
              <w:t>Pixel–Region</w:t>
            </w:r>
          </w:p>
        </w:tc>
        <w:tc>
          <w:tcPr>
            <w:tcW w:w="735" w:type="dxa"/>
            <w:vAlign w:val="center"/>
          </w:tcPr>
          <w:p>
            <w:pPr>
              <w:spacing w:before="20" w:after="20" w:line="252" w:lineRule="auto"/>
              <w:ind w:firstLine="0"/>
            </w:pPr>
            <w:r>
              <w:rPr>
                <w:rFonts w:ascii="Times New Roman" w:hAnsi="Times New Roman" w:eastAsia="宋体"/>
                <w:b w:val="0"/>
                <w:sz w:val="15"/>
              </w:rPr>
              <w:t>有</w:t>
            </w:r>
          </w:p>
        </w:tc>
        <w:tc>
          <w:tcPr>
            <w:tcW w:w="1259" w:type="dxa"/>
            <w:vAlign w:val="center"/>
          </w:tcPr>
          <w:p>
            <w:pPr>
              <w:spacing w:before="20" w:after="20" w:line="252" w:lineRule="auto"/>
              <w:ind w:firstLine="0"/>
            </w:pPr>
            <w:r>
              <w:rPr>
                <w:rFonts w:ascii="Times New Roman" w:hAnsi="Times New Roman" w:eastAsia="宋体"/>
                <w:b w:val="0"/>
                <w:sz w:val="15"/>
              </w:rPr>
              <w:t>无读取器</w:t>
            </w:r>
          </w:p>
        </w:tc>
        <w:tc>
          <w:tcPr>
            <w:tcW w:w="1364" w:type="dxa"/>
            <w:vAlign w:val="center"/>
          </w:tcPr>
          <w:p>
            <w:pPr>
              <w:spacing w:before="20" w:after="20" w:line="252" w:lineRule="auto"/>
              <w:ind w:firstLine="0"/>
            </w:pPr>
            <w:r>
              <w:rPr>
                <w:rFonts w:ascii="Times New Roman" w:hAnsi="Times New Roman" w:eastAsia="宋体"/>
                <w:b w:val="0"/>
                <w:sz w:val="15"/>
              </w:rPr>
              <w:t>无</w:t>
            </w:r>
          </w:p>
        </w:tc>
        <w:tc>
          <w:tcPr>
            <w:tcW w:w="892" w:type="dxa"/>
            <w:vAlign w:val="center"/>
          </w:tcPr>
          <w:p w14:paraId="37ED6853">
            <w:pPr>
              <w:spacing w:before="20" w:after="20" w:line="252" w:lineRule="auto"/>
              <w:ind w:firstLine="0"/>
            </w:pPr>
          </w:p>
        </w:tc>
        <w:tc>
          <w:tcPr>
            <w:tcW w:w="892" w:type="dxa"/>
            <w:vAlign w:val="center"/>
          </w:tcPr>
          <w:p w14:paraId="3B956EA8">
            <w:pPr>
              <w:spacing w:before="20" w:after="20" w:line="252" w:lineRule="auto"/>
              <w:ind w:firstLine="0"/>
            </w:pPr>
          </w:p>
        </w:tc>
        <w:tc>
          <w:tcPr>
            <w:tcW w:w="892" w:type="dxa"/>
            <w:vAlign w:val="center"/>
          </w:tcPr>
          <w:p w14:paraId="7A1A51E1">
            <w:pPr>
              <w:spacing w:before="20" w:after="20" w:line="252" w:lineRule="auto"/>
              <w:ind w:firstLine="0"/>
            </w:pPr>
          </w:p>
        </w:tc>
        <w:tc>
          <w:tcPr>
            <w:tcW w:w="892" w:type="dxa"/>
            <w:vAlign w:val="center"/>
          </w:tcPr>
          <w:p w14:paraId="7598F5EC">
            <w:pPr>
              <w:spacing w:before="20" w:after="20" w:line="252" w:lineRule="auto"/>
              <w:ind w:firstLine="0"/>
            </w:pPr>
          </w:p>
        </w:tc>
      </w:tr>
      <w:tr w14:paraId="6B7E6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9" w:type="dxa"/>
            <w:vAlign w:val="center"/>
          </w:tcPr>
          <w:p>
            <w:pPr>
              <w:spacing w:before="20" w:after="20" w:line="252" w:lineRule="auto"/>
              <w:ind w:firstLine="0"/>
            </w:pPr>
            <w:r>
              <w:rPr>
                <w:rFonts w:ascii="Times New Roman" w:hAnsi="Times New Roman" w:eastAsia="宋体"/>
                <w:b w:val="0"/>
                <w:sz w:val="15"/>
              </w:rPr>
              <w:t>Parametric Support</w:t>
            </w:r>
          </w:p>
        </w:tc>
        <w:tc>
          <w:tcPr>
            <w:tcW w:w="735" w:type="dxa"/>
            <w:vAlign w:val="center"/>
          </w:tcPr>
          <w:p>
            <w:pPr>
              <w:spacing w:before="20" w:after="20" w:line="252" w:lineRule="auto"/>
              <w:ind w:firstLine="0"/>
            </w:pPr>
            <w:r>
              <w:rPr>
                <w:rFonts w:ascii="Times New Roman" w:hAnsi="Times New Roman" w:eastAsia="宋体"/>
                <w:b w:val="0"/>
                <w:sz w:val="15"/>
              </w:rPr>
              <w:t>有</w:t>
            </w:r>
          </w:p>
        </w:tc>
        <w:tc>
          <w:tcPr>
            <w:tcW w:w="1259" w:type="dxa"/>
            <w:vAlign w:val="center"/>
          </w:tcPr>
          <w:p>
            <w:pPr>
              <w:spacing w:before="20" w:after="20" w:line="252" w:lineRule="auto"/>
              <w:ind w:firstLine="0"/>
            </w:pPr>
            <w:r>
              <w:rPr>
                <w:rFonts w:ascii="Times New Roman" w:hAnsi="Times New Roman" w:eastAsia="宋体"/>
                <w:b w:val="0"/>
                <w:sz w:val="15"/>
              </w:rPr>
              <w:t>可学习向量</w:t>
            </w:r>
          </w:p>
        </w:tc>
        <w:tc>
          <w:tcPr>
            <w:tcW w:w="1364" w:type="dxa"/>
            <w:vAlign w:val="center"/>
          </w:tcPr>
          <w:p>
            <w:pPr>
              <w:spacing w:before="20" w:after="20" w:line="252" w:lineRule="auto"/>
              <w:ind w:firstLine="0"/>
            </w:pPr>
            <w:r>
              <w:rPr>
                <w:rFonts w:ascii="Times New Roman" w:hAnsi="Times New Roman" w:eastAsia="宋体"/>
                <w:b w:val="0"/>
                <w:sz w:val="15"/>
              </w:rPr>
              <w:t>无真实案例</w:t>
            </w:r>
          </w:p>
        </w:tc>
        <w:tc>
          <w:tcPr>
            <w:tcW w:w="892" w:type="dxa"/>
            <w:vAlign w:val="center"/>
          </w:tcPr>
          <w:p w14:paraId="087556CD">
            <w:pPr>
              <w:spacing w:before="20" w:after="20" w:line="252" w:lineRule="auto"/>
              <w:ind w:firstLine="0"/>
            </w:pPr>
          </w:p>
        </w:tc>
        <w:tc>
          <w:tcPr>
            <w:tcW w:w="892" w:type="dxa"/>
            <w:vAlign w:val="center"/>
          </w:tcPr>
          <w:p w14:paraId="16B47C15">
            <w:pPr>
              <w:spacing w:before="20" w:after="20" w:line="252" w:lineRule="auto"/>
              <w:ind w:firstLine="0"/>
            </w:pPr>
          </w:p>
        </w:tc>
        <w:tc>
          <w:tcPr>
            <w:tcW w:w="892" w:type="dxa"/>
            <w:vAlign w:val="center"/>
          </w:tcPr>
          <w:p w14:paraId="302163D9">
            <w:pPr>
              <w:spacing w:before="20" w:after="20" w:line="252" w:lineRule="auto"/>
              <w:ind w:firstLine="0"/>
            </w:pPr>
          </w:p>
        </w:tc>
        <w:tc>
          <w:tcPr>
            <w:tcW w:w="892" w:type="dxa"/>
            <w:vAlign w:val="center"/>
          </w:tcPr>
          <w:p w14:paraId="6AFEEE57">
            <w:pPr>
              <w:spacing w:before="20" w:after="20" w:line="252" w:lineRule="auto"/>
              <w:ind w:firstLine="0"/>
            </w:pPr>
          </w:p>
        </w:tc>
      </w:tr>
      <w:tr w14:paraId="7460F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9" w:type="dxa"/>
            <w:vAlign w:val="center"/>
          </w:tcPr>
          <w:p>
            <w:pPr>
              <w:spacing w:before="20" w:after="20" w:line="252" w:lineRule="auto"/>
              <w:ind w:firstLine="0"/>
            </w:pPr>
            <w:r>
              <w:rPr>
                <w:rFonts w:ascii="Times New Roman" w:hAnsi="Times New Roman" w:eastAsia="宋体"/>
                <w:b w:val="0"/>
                <w:sz w:val="15"/>
              </w:rPr>
              <w:t>Cosine Retrieval</w:t>
            </w:r>
          </w:p>
        </w:tc>
        <w:tc>
          <w:tcPr>
            <w:tcW w:w="735" w:type="dxa"/>
            <w:vAlign w:val="center"/>
          </w:tcPr>
          <w:p>
            <w:pPr>
              <w:spacing w:before="20" w:after="20" w:line="252" w:lineRule="auto"/>
              <w:ind w:firstLine="0"/>
            </w:pPr>
            <w:r>
              <w:rPr>
                <w:rFonts w:ascii="Times New Roman" w:hAnsi="Times New Roman" w:eastAsia="宋体"/>
                <w:b w:val="0"/>
                <w:sz w:val="15"/>
              </w:rPr>
              <w:t>有</w:t>
            </w:r>
          </w:p>
        </w:tc>
        <w:tc>
          <w:tcPr>
            <w:tcW w:w="1259" w:type="dxa"/>
            <w:vAlign w:val="center"/>
          </w:tcPr>
          <w:p>
            <w:pPr>
              <w:spacing w:before="20" w:after="20" w:line="252" w:lineRule="auto"/>
              <w:ind w:firstLine="0"/>
            </w:pPr>
            <w:r>
              <w:rPr>
                <w:rFonts w:ascii="Times New Roman" w:hAnsi="Times New Roman" w:eastAsia="宋体"/>
                <w:b w:val="0"/>
                <w:sz w:val="15"/>
              </w:rPr>
              <w:t>真实Train记录</w:t>
            </w:r>
          </w:p>
        </w:tc>
        <w:tc>
          <w:tcPr>
            <w:tcW w:w="1364" w:type="dxa"/>
            <w:vAlign w:val="center"/>
          </w:tcPr>
          <w:p>
            <w:pPr>
              <w:spacing w:before="20" w:after="20" w:line="252" w:lineRule="auto"/>
              <w:ind w:firstLine="0"/>
            </w:pPr>
            <w:r>
              <w:rPr>
                <w:rFonts w:ascii="Times New Roman" w:hAnsi="Times New Roman" w:eastAsia="宋体"/>
                <w:b w:val="0"/>
                <w:sz w:val="15"/>
              </w:rPr>
              <w:t>原始余弦</w:t>
            </w:r>
          </w:p>
        </w:tc>
        <w:tc>
          <w:tcPr>
            <w:tcW w:w="892" w:type="dxa"/>
            <w:vAlign w:val="center"/>
          </w:tcPr>
          <w:p w14:paraId="6E8F397A">
            <w:pPr>
              <w:spacing w:before="20" w:after="20" w:line="252" w:lineRule="auto"/>
              <w:ind w:firstLine="0"/>
            </w:pPr>
          </w:p>
        </w:tc>
        <w:tc>
          <w:tcPr>
            <w:tcW w:w="892" w:type="dxa"/>
            <w:vAlign w:val="center"/>
          </w:tcPr>
          <w:p w14:paraId="64A73614">
            <w:pPr>
              <w:spacing w:before="20" w:after="20" w:line="252" w:lineRule="auto"/>
              <w:ind w:firstLine="0"/>
            </w:pPr>
          </w:p>
        </w:tc>
        <w:tc>
          <w:tcPr>
            <w:tcW w:w="892" w:type="dxa"/>
            <w:vAlign w:val="center"/>
          </w:tcPr>
          <w:p w14:paraId="2145D84A">
            <w:pPr>
              <w:spacing w:before="20" w:after="20" w:line="252" w:lineRule="auto"/>
              <w:ind w:firstLine="0"/>
            </w:pPr>
          </w:p>
        </w:tc>
        <w:tc>
          <w:tcPr>
            <w:tcW w:w="892" w:type="dxa"/>
            <w:vAlign w:val="center"/>
          </w:tcPr>
          <w:p w14:paraId="4F2A5A7B">
            <w:pPr>
              <w:spacing w:before="20" w:after="20" w:line="252" w:lineRule="auto"/>
              <w:ind w:firstLine="0"/>
            </w:pPr>
          </w:p>
        </w:tc>
      </w:tr>
      <w:tr w14:paraId="66C24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9" w:type="dxa"/>
            <w:vAlign w:val="center"/>
          </w:tcPr>
          <w:p>
            <w:pPr>
              <w:spacing w:before="20" w:after="20" w:line="252" w:lineRule="auto"/>
              <w:ind w:firstLine="0"/>
            </w:pPr>
            <w:r>
              <w:rPr>
                <w:rFonts w:ascii="Times New Roman" w:hAnsi="Times New Roman" w:eastAsia="宋体"/>
                <w:b w:val="0"/>
                <w:sz w:val="15"/>
              </w:rPr>
              <w:t>Supervised Retrieval</w:t>
            </w:r>
          </w:p>
        </w:tc>
        <w:tc>
          <w:tcPr>
            <w:tcW w:w="735" w:type="dxa"/>
            <w:vAlign w:val="center"/>
          </w:tcPr>
          <w:p>
            <w:pPr>
              <w:spacing w:before="20" w:after="20" w:line="252" w:lineRule="auto"/>
              <w:ind w:firstLine="0"/>
            </w:pPr>
            <w:r>
              <w:rPr>
                <w:rFonts w:ascii="Times New Roman" w:hAnsi="Times New Roman" w:eastAsia="宋体"/>
                <w:b w:val="0"/>
                <w:sz w:val="15"/>
              </w:rPr>
              <w:t>有</w:t>
            </w:r>
          </w:p>
        </w:tc>
        <w:tc>
          <w:tcPr>
            <w:tcW w:w="1259" w:type="dxa"/>
            <w:vAlign w:val="center"/>
          </w:tcPr>
          <w:p>
            <w:pPr>
              <w:spacing w:before="20" w:after="20" w:line="252" w:lineRule="auto"/>
              <w:ind w:firstLine="0"/>
            </w:pPr>
            <w:r>
              <w:rPr>
                <w:rFonts w:ascii="Times New Roman" w:hAnsi="Times New Roman" w:eastAsia="宋体"/>
                <w:b w:val="0"/>
                <w:sz w:val="15"/>
              </w:rPr>
              <w:t>真实Train记录</w:t>
            </w:r>
          </w:p>
        </w:tc>
        <w:tc>
          <w:tcPr>
            <w:tcW w:w="1364" w:type="dxa"/>
            <w:vAlign w:val="center"/>
          </w:tcPr>
          <w:p>
            <w:pPr>
              <w:spacing w:before="20" w:after="20" w:line="252" w:lineRule="auto"/>
              <w:ind w:firstLine="0"/>
            </w:pPr>
            <w:r>
              <w:rPr>
                <w:rFonts w:ascii="Times New Roman" w:hAnsi="Times New Roman" w:eastAsia="宋体"/>
                <w:b w:val="0"/>
                <w:sz w:val="15"/>
              </w:rPr>
              <w:t>跨事件监督投影</w:t>
            </w:r>
          </w:p>
        </w:tc>
        <w:tc>
          <w:tcPr>
            <w:tcW w:w="892" w:type="dxa"/>
            <w:vAlign w:val="center"/>
          </w:tcPr>
          <w:p w14:paraId="1352B438">
            <w:pPr>
              <w:spacing w:before="20" w:after="20" w:line="252" w:lineRule="auto"/>
              <w:ind w:firstLine="0"/>
            </w:pPr>
          </w:p>
        </w:tc>
        <w:tc>
          <w:tcPr>
            <w:tcW w:w="892" w:type="dxa"/>
            <w:vAlign w:val="center"/>
          </w:tcPr>
          <w:p w14:paraId="3D5F327A">
            <w:pPr>
              <w:spacing w:before="20" w:after="20" w:line="252" w:lineRule="auto"/>
              <w:ind w:firstLine="0"/>
            </w:pPr>
          </w:p>
        </w:tc>
        <w:tc>
          <w:tcPr>
            <w:tcW w:w="892" w:type="dxa"/>
            <w:vAlign w:val="center"/>
          </w:tcPr>
          <w:p w14:paraId="06B21C9C">
            <w:pPr>
              <w:spacing w:before="20" w:after="20" w:line="252" w:lineRule="auto"/>
              <w:ind w:firstLine="0"/>
            </w:pPr>
          </w:p>
        </w:tc>
        <w:tc>
          <w:tcPr>
            <w:tcW w:w="892" w:type="dxa"/>
            <w:vAlign w:val="center"/>
          </w:tcPr>
          <w:p w14:paraId="38446D55">
            <w:pPr>
              <w:spacing w:before="20" w:after="20" w:line="252" w:lineRule="auto"/>
              <w:ind w:firstLine="0"/>
            </w:pPr>
          </w:p>
        </w:tc>
      </w:tr>
    </w:tbl>
    <w:p w14:paraId="2336000B">
      <w:pPr>
        <w:widowControl/>
      </w:pPr>
    </w:p>
    <w:p w14:paraId="0428325F">
      <w:pPr>
        <w:widowControl/>
      </w:pPr>
      <w:r>
        <w:rPr>
          <w:rFonts w:ascii="Times New Roman" w:hAnsi="Times New Roman" w:eastAsia="宋体"/>
        </w:rPr>
        <w:t>Pixel–Region与MPF-HA比较当前区域上下文的整体增量；Parametric Support与Pixel–Region比较读取器及参数化先验；Cosine Retrieval与Parametric Support比较真实案例；Supervised Retrieval与Cosine Retrieval比较完整检索配置。可学习向量并非“没有信息”，因此不称“空支持”。这些递进差值仍可能包含容量与适应因素，固定读取器的表6另行检验排序作用。像素头适配只控制预算，不自动控制区域或读取器容量。</w:t>
      </w:r>
    </w:p>
    <w:p w14:paraId="714AFF2C">
      <w:pPr>
        <w:widowControl/>
      </w:pPr>
      <w:r>
        <w:rPr>
          <w:rFonts w:ascii="Times New Roman" w:hAnsi="Times New Roman" w:eastAsia="宋体"/>
        </w:rPr>
        <w:t>真实Train支持相对参数化支持的前景mIoU差值为</w:t>
      </w:r>
      <w:r>
        <w:rPr>
          <w:rFonts w:ascii="Times New Roman" w:hAnsi="Times New Roman" w:eastAsia="宋体"/>
          <w:u w:val="single"/>
        </w:rPr>
        <w:t>    </w:t>
      </w:r>
      <w:r>
        <w:rPr>
          <w:rFonts w:ascii="Times New Roman" w:hAnsi="Times New Roman" w:eastAsia="宋体"/>
        </w:rPr>
        <w:t>；学习检索相对原始余弦配置的差值为</w:t>
      </w:r>
      <w:r>
        <w:rPr>
          <w:rFonts w:ascii="Times New Roman" w:hAnsi="Times New Roman" w:eastAsia="宋体"/>
          <w:u w:val="single"/>
        </w:rPr>
        <w:t>    </w:t>
      </w:r>
      <w:r>
        <w:rPr>
          <w:rFonts w:ascii="Times New Roman" w:hAnsi="Times New Roman" w:eastAsia="宋体"/>
        </w:rPr>
        <w:t>。两个独立训练Reader的差值包含邻居分布、读取器适应和随机性，不单独证明纯排序贡献。</w:t>
      </w:r>
    </w:p>
    <w:p w14:paraId="362EC0D7">
      <w:pPr>
        <w:widowControl/>
      </w:pPr>
      <w:r>
        <w:rPr>
          <w:rFonts w:ascii="Times New Roman" w:hAnsi="Times New Roman" w:eastAsia="宋体"/>
        </w:rPr>
        <w:t>为控制这些因素，使用Train阶段按预先固定比例混合余弦和学习投影邻居训练共同Reader与联合头。评价时固定查询、前端、库、Reader、联合头、K及排除规则，仅替换返回支持ID；实际被选记录的未投影特征、软标签和元数据按ID一致读取。若不用混合训练，则补余弦训练/投影训练×余弦评价/投影评价的完整交叉替换。</w:t>
      </w:r>
    </w:p>
    <w:p w14:paraId="5610577E">
      <w:pPr>
        <w:pStyle w:val="15"/>
        <w:keepNext/>
      </w:pPr>
      <w:r>
        <w:rPr>
          <w:rFonts w:ascii="Times New Roman" w:hAnsi="Times New Roman" w:eastAsia="宋体"/>
        </w:rPr>
        <w:t>表6　固定Reader与联合头的配对邻居替换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1"/>
        <w:gridCol w:w="1142"/>
        <w:gridCol w:w="1142"/>
        <w:gridCol w:w="1142"/>
        <w:gridCol w:w="1142"/>
        <w:gridCol w:w="1142"/>
        <w:gridCol w:w="1142"/>
      </w:tblGrid>
      <w:tr w14:paraId="3AC5D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71" w:type="dxa"/>
            <w:shd w:val="clear" w:color="auto" w:fill="E8EDF2"/>
            <w:vAlign w:val="center"/>
          </w:tcPr>
          <w:p w14:paraId="401AA12F">
            <w:pPr>
              <w:spacing w:before="20" w:after="20" w:line="252" w:lineRule="auto"/>
              <w:ind w:firstLine="0"/>
            </w:pPr>
            <w:r>
              <w:rPr>
                <w:rFonts w:ascii="Times New Roman" w:hAnsi="Times New Roman" w:eastAsia="宋体"/>
                <w:b/>
                <w:sz w:val="17"/>
              </w:rPr>
              <w:t>配置</w:t>
            </w:r>
          </w:p>
        </w:tc>
        <w:tc>
          <w:tcPr>
            <w:tcW w:w="1142" w:type="dxa"/>
            <w:shd w:val="clear" w:color="auto" w:fill="E8EDF2"/>
            <w:vAlign w:val="center"/>
          </w:tcPr>
          <w:p w14:paraId="1BD7FFBD">
            <w:pPr>
              <w:spacing w:before="20" w:after="20" w:line="252" w:lineRule="auto"/>
              <w:ind w:firstLine="0"/>
            </w:pPr>
            <w:r>
              <w:rPr>
                <w:rFonts w:ascii="Times New Roman" w:hAnsi="Times New Roman" w:eastAsia="宋体"/>
                <w:b/>
                <w:sz w:val="17"/>
              </w:rPr>
              <w:t>固定权重</w:t>
            </w:r>
          </w:p>
        </w:tc>
        <w:tc>
          <w:tcPr>
            <w:tcW w:w="1142" w:type="dxa"/>
            <w:shd w:val="clear" w:color="auto" w:fill="E8EDF2"/>
            <w:vAlign w:val="center"/>
          </w:tcPr>
          <w:p w14:paraId="28357651">
            <w:pPr>
              <w:spacing w:before="20" w:after="20" w:line="252" w:lineRule="auto"/>
              <w:ind w:firstLine="0"/>
            </w:pPr>
            <w:r>
              <w:rPr>
                <w:rFonts w:ascii="Times New Roman" w:hAnsi="Times New Roman" w:eastAsia="宋体"/>
                <w:b/>
                <w:sz w:val="17"/>
              </w:rPr>
              <w:t>评价邻居ID</w:t>
            </w:r>
          </w:p>
        </w:tc>
        <w:tc>
          <w:tcPr>
            <w:tcW w:w="1142" w:type="dxa"/>
            <w:shd w:val="clear" w:color="auto" w:fill="E8EDF2"/>
            <w:vAlign w:val="center"/>
          </w:tcPr>
          <w:p w14:paraId="4D5377CD">
            <w:pPr>
              <w:spacing w:before="20" w:after="20" w:line="252" w:lineRule="auto"/>
              <w:ind w:firstLine="0"/>
            </w:pPr>
            <w:r>
              <w:rPr>
                <w:rFonts w:ascii="Times New Roman" w:hAnsi="Times New Roman" w:eastAsia="宋体"/>
                <w:b/>
                <w:sz w:val="17"/>
              </w:rPr>
              <w:t>四类mIoU</w:t>
            </w:r>
          </w:p>
        </w:tc>
        <w:tc>
          <w:tcPr>
            <w:tcW w:w="1142" w:type="dxa"/>
            <w:shd w:val="clear" w:color="auto" w:fill="E8EDF2"/>
            <w:vAlign w:val="center"/>
          </w:tcPr>
          <w:p w14:paraId="6FC7F25E">
            <w:pPr>
              <w:spacing w:before="20" w:after="20" w:line="252" w:lineRule="auto"/>
              <w:ind w:firstLine="0"/>
            </w:pPr>
            <w:r>
              <w:rPr>
                <w:rFonts w:ascii="Times New Roman" w:hAnsi="Times New Roman" w:eastAsia="宋体"/>
                <w:b/>
                <w:sz w:val="17"/>
              </w:rPr>
              <w:t>前景mIoU</w:t>
            </w:r>
          </w:p>
        </w:tc>
        <w:tc>
          <w:tcPr>
            <w:tcW w:w="1142" w:type="dxa"/>
            <w:shd w:val="clear" w:color="auto" w:fill="E8EDF2"/>
            <w:vAlign w:val="center"/>
          </w:tcPr>
          <w:p w14:paraId="39DCC370">
            <w:pPr>
              <w:spacing w:before="20" w:after="20" w:line="252" w:lineRule="auto"/>
              <w:ind w:firstLine="0"/>
            </w:pPr>
            <w:r>
              <w:rPr>
                <w:rFonts w:ascii="Times New Roman" w:hAnsi="Times New Roman" w:eastAsia="宋体"/>
                <w:b/>
                <w:sz w:val="17"/>
              </w:rPr>
              <w:t>受损IoU</w:t>
            </w:r>
          </w:p>
        </w:tc>
        <w:tc>
          <w:tcPr>
            <w:tcW w:w="1142" w:type="dxa"/>
            <w:shd w:val="clear" w:color="auto" w:fill="E8EDF2"/>
            <w:vAlign w:val="center"/>
          </w:tcPr>
          <w:p w14:paraId="315A95BD">
            <w:pPr>
              <w:spacing w:before="20" w:after="20" w:line="252" w:lineRule="auto"/>
              <w:ind w:firstLine="0"/>
            </w:pPr>
            <w:r>
              <w:rPr>
                <w:rFonts w:ascii="Times New Roman" w:hAnsi="Times New Roman" w:eastAsia="宋体"/>
                <w:b/>
                <w:sz w:val="17"/>
              </w:rPr>
              <w:t>毁坏IoU</w:t>
            </w:r>
          </w:p>
        </w:tc>
      </w:tr>
      <w:tr w14:paraId="72209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71" w:type="dxa"/>
            <w:vAlign w:val="center"/>
          </w:tcPr>
          <w:p w14:paraId="5B7F6AD3">
            <w:pPr>
              <w:spacing w:before="20" w:after="20" w:line="252" w:lineRule="auto"/>
              <w:ind w:firstLine="0"/>
            </w:pPr>
            <w:r>
              <w:rPr>
                <w:rFonts w:ascii="Times New Roman" w:hAnsi="Times New Roman" w:eastAsia="宋体"/>
                <w:b w:val="0"/>
                <w:sz w:val="17"/>
              </w:rPr>
              <w:t>余弦邻居</w:t>
            </w:r>
          </w:p>
        </w:tc>
        <w:tc>
          <w:tcPr>
            <w:tcW w:w="1142" w:type="dxa"/>
            <w:vAlign w:val="center"/>
          </w:tcPr>
          <w:p w14:paraId="6214C246">
            <w:pPr>
              <w:spacing w:before="20" w:after="20" w:line="252" w:lineRule="auto"/>
              <w:ind w:firstLine="0"/>
            </w:pPr>
            <w:r>
              <w:rPr>
                <w:rFonts w:ascii="Times New Roman" w:hAnsi="Times New Roman" w:eastAsia="宋体"/>
                <w:b w:val="0"/>
                <w:sz w:val="17"/>
              </w:rPr>
              <w:t>同一共同Reader/头</w:t>
            </w:r>
          </w:p>
        </w:tc>
        <w:tc>
          <w:tcPr>
            <w:tcW w:w="1142" w:type="dxa"/>
            <w:vAlign w:val="center"/>
          </w:tcPr>
          <w:p w14:paraId="6C924D8B">
            <w:pPr>
              <w:spacing w:before="20" w:after="20" w:line="252" w:lineRule="auto"/>
              <w:ind w:firstLine="0"/>
            </w:pPr>
            <w:r>
              <w:rPr>
                <w:rFonts w:ascii="Times New Roman" w:hAnsi="Times New Roman" w:eastAsia="宋体"/>
                <w:b w:val="0"/>
                <w:sz w:val="17"/>
              </w:rPr>
              <w:t>余弦Top-8</w:t>
            </w:r>
          </w:p>
        </w:tc>
        <w:tc>
          <w:tcPr>
            <w:tcW w:w="1142" w:type="dxa"/>
            <w:vAlign w:val="center"/>
          </w:tcPr>
          <w:p w14:paraId="0E014F3E">
            <w:pPr>
              <w:spacing w:before="20" w:after="20" w:line="252" w:lineRule="auto"/>
              <w:ind w:firstLine="0"/>
            </w:pPr>
          </w:p>
        </w:tc>
        <w:tc>
          <w:tcPr>
            <w:tcW w:w="1142" w:type="dxa"/>
            <w:vAlign w:val="center"/>
          </w:tcPr>
          <w:p w14:paraId="73C5AC32">
            <w:pPr>
              <w:spacing w:before="20" w:after="20" w:line="252" w:lineRule="auto"/>
              <w:ind w:firstLine="0"/>
            </w:pPr>
          </w:p>
        </w:tc>
        <w:tc>
          <w:tcPr>
            <w:tcW w:w="1142" w:type="dxa"/>
            <w:vAlign w:val="center"/>
          </w:tcPr>
          <w:p w14:paraId="11E2DFB2">
            <w:pPr>
              <w:spacing w:before="20" w:after="20" w:line="252" w:lineRule="auto"/>
              <w:ind w:firstLine="0"/>
            </w:pPr>
          </w:p>
        </w:tc>
        <w:tc>
          <w:tcPr>
            <w:tcW w:w="1142" w:type="dxa"/>
            <w:vAlign w:val="center"/>
          </w:tcPr>
          <w:p w14:paraId="185522A9">
            <w:pPr>
              <w:spacing w:before="20" w:after="20" w:line="252" w:lineRule="auto"/>
              <w:ind w:firstLine="0"/>
            </w:pPr>
          </w:p>
        </w:tc>
      </w:tr>
      <w:tr w14:paraId="77F11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71" w:type="dxa"/>
            <w:vAlign w:val="center"/>
          </w:tcPr>
          <w:p w14:paraId="501E6734">
            <w:pPr>
              <w:spacing w:before="20" w:after="20" w:line="252" w:lineRule="auto"/>
              <w:ind w:firstLine="0"/>
            </w:pPr>
            <w:r>
              <w:rPr>
                <w:rFonts w:ascii="Times New Roman" w:hAnsi="Times New Roman" w:eastAsia="宋体"/>
                <w:b w:val="0"/>
                <w:sz w:val="17"/>
              </w:rPr>
              <w:t>监督邻居</w:t>
            </w:r>
          </w:p>
        </w:tc>
        <w:tc>
          <w:tcPr>
            <w:tcW w:w="1142" w:type="dxa"/>
            <w:vAlign w:val="center"/>
          </w:tcPr>
          <w:p w14:paraId="01D1BBEC">
            <w:pPr>
              <w:spacing w:before="20" w:after="20" w:line="252" w:lineRule="auto"/>
              <w:ind w:firstLine="0"/>
            </w:pPr>
            <w:r>
              <w:rPr>
                <w:rFonts w:ascii="Times New Roman" w:hAnsi="Times New Roman" w:eastAsia="宋体"/>
                <w:b w:val="0"/>
                <w:sz w:val="17"/>
              </w:rPr>
              <w:t>同一共同Reader/头</w:t>
            </w:r>
          </w:p>
        </w:tc>
        <w:tc>
          <w:tcPr>
            <w:tcW w:w="1142" w:type="dxa"/>
            <w:vAlign w:val="center"/>
          </w:tcPr>
          <w:p w14:paraId="1D25F595">
            <w:pPr>
              <w:spacing w:before="20" w:after="20" w:line="252" w:lineRule="auto"/>
              <w:ind w:firstLine="0"/>
            </w:pPr>
            <w:r>
              <w:rPr>
                <w:rFonts w:ascii="Times New Roman" w:hAnsi="Times New Roman" w:eastAsia="宋体"/>
                <w:b w:val="0"/>
                <w:sz w:val="17"/>
              </w:rPr>
              <w:t>投影Top-8</w:t>
            </w:r>
          </w:p>
        </w:tc>
        <w:tc>
          <w:tcPr>
            <w:tcW w:w="1142" w:type="dxa"/>
            <w:vAlign w:val="center"/>
          </w:tcPr>
          <w:p w14:paraId="74305D75">
            <w:pPr>
              <w:spacing w:before="20" w:after="20" w:line="252" w:lineRule="auto"/>
              <w:ind w:firstLine="0"/>
            </w:pPr>
          </w:p>
        </w:tc>
        <w:tc>
          <w:tcPr>
            <w:tcW w:w="1142" w:type="dxa"/>
            <w:vAlign w:val="center"/>
          </w:tcPr>
          <w:p w14:paraId="0358980A">
            <w:pPr>
              <w:spacing w:before="20" w:after="20" w:line="252" w:lineRule="auto"/>
              <w:ind w:firstLine="0"/>
            </w:pPr>
          </w:p>
        </w:tc>
        <w:tc>
          <w:tcPr>
            <w:tcW w:w="1142" w:type="dxa"/>
            <w:vAlign w:val="center"/>
          </w:tcPr>
          <w:p w14:paraId="7071C4E3">
            <w:pPr>
              <w:spacing w:before="20" w:after="20" w:line="252" w:lineRule="auto"/>
              <w:ind w:firstLine="0"/>
            </w:pPr>
          </w:p>
        </w:tc>
        <w:tc>
          <w:tcPr>
            <w:tcW w:w="1142" w:type="dxa"/>
            <w:vAlign w:val="center"/>
          </w:tcPr>
          <w:p w14:paraId="124A32FC">
            <w:pPr>
              <w:spacing w:before="20" w:after="20" w:line="252" w:lineRule="auto"/>
              <w:ind w:firstLine="0"/>
            </w:pPr>
          </w:p>
        </w:tc>
      </w:tr>
    </w:tbl>
    <w:p w14:paraId="67DF599D">
      <w:pPr>
        <w:widowControl/>
      </w:pPr>
    </w:p>
    <w:p w14:paraId="30ECC19B">
      <w:pPr>
        <w:widowControl/>
      </w:pPr>
      <w:r>
        <w:rPr>
          <w:rFonts w:ascii="Times New Roman" w:hAnsi="Times New Roman" w:eastAsia="宋体"/>
        </w:rPr>
        <w:t>固定Reader下两种排序的前景mIoU差值为</w:t>
      </w:r>
      <w:r>
        <w:rPr>
          <w:rFonts w:ascii="Times New Roman" w:hAnsi="Times New Roman" w:eastAsia="宋体"/>
          <w:u w:val="single"/>
        </w:rPr>
        <w:t>    </w:t>
      </w:r>
      <w:r>
        <w:rPr>
          <w:rFonts w:ascii="Times New Roman" w:hAnsi="Times New Roman" w:eastAsia="宋体"/>
        </w:rPr>
        <w:t>，受损与毁坏IoU差值为</w:t>
      </w:r>
      <w:r>
        <w:rPr>
          <w:rFonts w:ascii="Times New Roman" w:hAnsi="Times New Roman" w:eastAsia="宋体"/>
          <w:u w:val="single"/>
        </w:rPr>
        <w:t>    </w:t>
      </w:r>
      <w:r>
        <w:rPr>
          <w:rFonts w:ascii="Times New Roman" w:hAnsi="Times New Roman" w:eastAsia="宋体"/>
        </w:rPr>
        <w:t>和</w:t>
      </w:r>
      <w:r>
        <w:rPr>
          <w:rFonts w:ascii="Times New Roman" w:hAnsi="Times New Roman" w:eastAsia="宋体"/>
          <w:u w:val="single"/>
        </w:rPr>
        <w:t>    </w:t>
      </w:r>
      <w:r>
        <w:rPr>
          <w:rFonts w:ascii="Times New Roman" w:hAnsi="Times New Roman" w:eastAsia="宋体"/>
        </w:rPr>
        <w:t>。该配对结果用于检验支持选择的作用；如果只有分别训练的配置不同而配对差值不支持，不将其写成纯排序增益。</w:t>
      </w:r>
    </w:p>
    <w:p w14:paraId="7FBB78F6">
      <w:pPr>
        <w:pStyle w:val="4"/>
        <w:keepNext/>
      </w:pPr>
      <w:r>
        <w:rPr>
          <w:rFonts w:ascii="Times New Roman" w:hAnsi="Times New Roman" w:eastAsia="宋体"/>
        </w:rPr>
        <w:t>E. 检索质量与支持内容分析</w:t>
      </w:r>
    </w:p>
    <w:p w14:paraId="460A9AD4">
      <w:pPr>
        <w:widowControl/>
      </w:pPr>
      <w:r>
        <w:rPr>
          <w:rFonts w:ascii="Times New Roman" w:hAnsi="Times New Roman" w:eastAsia="宋体"/>
        </w:rPr>
        <w:t>表7在固定区域表示、成员、K和候选排除规则下比较原始余弦、普通监督投影及跨事件监督投影。普通监督只放宽事件限制，仍排除锚点自身与同图像；两种投影匹配有效锚点、类别采样、正负候选规模与更新预算。所有评价统一排除同事件及同图像支持。</w:t>
      </w:r>
    </w:p>
    <w:p w14:paraId="36D2237F">
      <w:pPr>
        <w:pStyle w:val="15"/>
        <w:keepNext/>
      </w:pPr>
      <w:r>
        <w:rPr>
          <w:rFonts w:ascii="Times New Roman" w:hAnsi="Times New Roman" w:eastAsia="宋体"/>
        </w:rPr>
        <w:t>表7　检索相关性与支持可用性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1"/>
        <w:gridCol w:w="1142"/>
        <w:gridCol w:w="1142"/>
        <w:gridCol w:w="1142"/>
        <w:gridCol w:w="1142"/>
        <w:gridCol w:w="1142"/>
        <w:gridCol w:w="1142"/>
      </w:tblGrid>
      <w:tr w14:paraId="1C680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71" w:type="dxa"/>
            <w:shd w:val="clear" w:color="auto" w:fill="E8EDF2"/>
            <w:vAlign w:val="center"/>
          </w:tcPr>
          <w:p w14:paraId="11AE04D9">
            <w:pPr>
              <w:spacing w:before="20" w:after="20" w:line="252" w:lineRule="auto"/>
              <w:ind w:firstLine="0"/>
            </w:pPr>
            <w:r>
              <w:rPr>
                <w:rFonts w:ascii="Times New Roman" w:hAnsi="Times New Roman" w:eastAsia="宋体"/>
                <w:b/>
                <w:sz w:val="17"/>
              </w:rPr>
              <w:t>排序方式</w:t>
            </w:r>
          </w:p>
        </w:tc>
        <w:tc>
          <w:tcPr>
            <w:tcW w:w="1142" w:type="dxa"/>
            <w:shd w:val="clear" w:color="auto" w:fill="E8EDF2"/>
            <w:vAlign w:val="center"/>
          </w:tcPr>
          <w:p w14:paraId="5809FCFC">
            <w:pPr>
              <w:spacing w:before="20" w:after="20" w:line="252" w:lineRule="auto"/>
              <w:ind w:firstLine="0"/>
            </w:pPr>
            <w:r>
              <w:rPr>
                <w:rFonts w:ascii="Times New Roman" w:hAnsi="Times New Roman" w:eastAsia="宋体"/>
                <w:b/>
                <w:sz w:val="17"/>
              </w:rPr>
              <w:t>宏平均P@8</w:t>
            </w:r>
          </w:p>
        </w:tc>
        <w:tc>
          <w:tcPr>
            <w:tcW w:w="1142" w:type="dxa"/>
            <w:shd w:val="clear" w:color="auto" w:fill="E8EDF2"/>
            <w:vAlign w:val="center"/>
          </w:tcPr>
          <w:p w14:paraId="63728A61">
            <w:pPr>
              <w:spacing w:before="20" w:after="20" w:line="252" w:lineRule="auto"/>
              <w:ind w:firstLine="0"/>
            </w:pPr>
            <w:r>
              <w:rPr>
                <w:rFonts w:ascii="Times New Roman" w:hAnsi="Times New Roman" w:eastAsia="宋体"/>
                <w:b/>
                <w:sz w:val="17"/>
              </w:rPr>
              <w:t>软组成相关度</w:t>
            </w:r>
          </w:p>
        </w:tc>
        <w:tc>
          <w:tcPr>
            <w:tcW w:w="1142" w:type="dxa"/>
            <w:shd w:val="clear" w:color="auto" w:fill="E8EDF2"/>
            <w:vAlign w:val="center"/>
          </w:tcPr>
          <w:p w14:paraId="1A54A417">
            <w:pPr>
              <w:spacing w:before="20" w:after="20" w:line="252" w:lineRule="auto"/>
              <w:ind w:firstLine="0"/>
            </w:pPr>
            <w:r>
              <w:rPr>
                <w:rFonts w:ascii="Times New Roman" w:hAnsi="Times New Roman" w:eastAsia="宋体"/>
                <w:b/>
                <w:sz w:val="17"/>
              </w:rPr>
              <w:t>有效槽位率</w:t>
            </w:r>
          </w:p>
        </w:tc>
        <w:tc>
          <w:tcPr>
            <w:tcW w:w="1142" w:type="dxa"/>
            <w:shd w:val="clear" w:color="auto" w:fill="E8EDF2"/>
            <w:vAlign w:val="center"/>
          </w:tcPr>
          <w:p w14:paraId="436470E6">
            <w:pPr>
              <w:spacing w:before="20" w:after="20" w:line="252" w:lineRule="auto"/>
              <w:ind w:firstLine="0"/>
            </w:pPr>
            <w:r>
              <w:rPr>
                <w:rFonts w:ascii="Times New Roman" w:hAnsi="Times New Roman" w:eastAsia="宋体"/>
                <w:b/>
                <w:sz w:val="17"/>
              </w:rPr>
              <w:t>满8支持查询率</w:t>
            </w:r>
          </w:p>
        </w:tc>
        <w:tc>
          <w:tcPr>
            <w:tcW w:w="1142" w:type="dxa"/>
            <w:shd w:val="clear" w:color="auto" w:fill="E8EDF2"/>
            <w:vAlign w:val="center"/>
          </w:tcPr>
          <w:p w14:paraId="50479172">
            <w:pPr>
              <w:spacing w:before="20" w:after="20" w:line="252" w:lineRule="auto"/>
              <w:ind w:firstLine="0"/>
            </w:pPr>
            <w:r>
              <w:rPr>
                <w:rFonts w:ascii="Times New Roman" w:hAnsi="Times New Roman" w:eastAsia="宋体"/>
                <w:b/>
                <w:sz w:val="17"/>
              </w:rPr>
              <w:t>受损Hit@8</w:t>
            </w:r>
          </w:p>
        </w:tc>
        <w:tc>
          <w:tcPr>
            <w:tcW w:w="1142" w:type="dxa"/>
            <w:shd w:val="clear" w:color="auto" w:fill="E8EDF2"/>
            <w:vAlign w:val="center"/>
          </w:tcPr>
          <w:p w14:paraId="190261C9">
            <w:pPr>
              <w:spacing w:before="20" w:after="20" w:line="252" w:lineRule="auto"/>
              <w:ind w:firstLine="0"/>
            </w:pPr>
            <w:r>
              <w:rPr>
                <w:rFonts w:ascii="Times New Roman" w:hAnsi="Times New Roman" w:eastAsia="宋体"/>
                <w:b/>
                <w:sz w:val="17"/>
              </w:rPr>
              <w:t>毁坏Hit@8</w:t>
            </w:r>
          </w:p>
        </w:tc>
      </w:tr>
      <w:tr w14:paraId="389BE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71" w:type="dxa"/>
            <w:vAlign w:val="center"/>
          </w:tcPr>
          <w:p w14:paraId="0EA18EBC">
            <w:pPr>
              <w:spacing w:before="20" w:after="20" w:line="252" w:lineRule="auto"/>
              <w:ind w:firstLine="0"/>
            </w:pPr>
            <w:r>
              <w:rPr>
                <w:rFonts w:ascii="Times New Roman" w:hAnsi="Times New Roman" w:eastAsia="宋体"/>
                <w:b w:val="0"/>
                <w:sz w:val="17"/>
              </w:rPr>
              <w:t>原始余弦</w:t>
            </w:r>
          </w:p>
        </w:tc>
        <w:tc>
          <w:tcPr>
            <w:tcW w:w="1142" w:type="dxa"/>
            <w:vAlign w:val="center"/>
          </w:tcPr>
          <w:p w14:paraId="7E33A09D">
            <w:pPr>
              <w:spacing w:before="20" w:after="20" w:line="252" w:lineRule="auto"/>
              <w:ind w:firstLine="0"/>
            </w:pPr>
          </w:p>
        </w:tc>
        <w:tc>
          <w:tcPr>
            <w:tcW w:w="1142" w:type="dxa"/>
            <w:vAlign w:val="center"/>
          </w:tcPr>
          <w:p w14:paraId="3AFB8863">
            <w:pPr>
              <w:spacing w:before="20" w:after="20" w:line="252" w:lineRule="auto"/>
              <w:ind w:firstLine="0"/>
            </w:pPr>
          </w:p>
        </w:tc>
        <w:tc>
          <w:tcPr>
            <w:tcW w:w="1142" w:type="dxa"/>
            <w:vAlign w:val="center"/>
          </w:tcPr>
          <w:p w14:paraId="423F7547">
            <w:pPr>
              <w:spacing w:before="20" w:after="20" w:line="252" w:lineRule="auto"/>
              <w:ind w:firstLine="0"/>
            </w:pPr>
          </w:p>
        </w:tc>
        <w:tc>
          <w:tcPr>
            <w:tcW w:w="1142" w:type="dxa"/>
            <w:vAlign w:val="center"/>
          </w:tcPr>
          <w:p w14:paraId="7CEDF726">
            <w:pPr>
              <w:spacing w:before="20" w:after="20" w:line="252" w:lineRule="auto"/>
              <w:ind w:firstLine="0"/>
            </w:pPr>
          </w:p>
        </w:tc>
        <w:tc>
          <w:tcPr>
            <w:tcW w:w="1142" w:type="dxa"/>
            <w:vAlign w:val="center"/>
          </w:tcPr>
          <w:p w14:paraId="6BE4AFA3">
            <w:pPr>
              <w:spacing w:before="20" w:after="20" w:line="252" w:lineRule="auto"/>
              <w:ind w:firstLine="0"/>
            </w:pPr>
          </w:p>
        </w:tc>
        <w:tc>
          <w:tcPr>
            <w:tcW w:w="1142" w:type="dxa"/>
            <w:vAlign w:val="center"/>
          </w:tcPr>
          <w:p w14:paraId="3604D311">
            <w:pPr>
              <w:spacing w:before="20" w:after="20" w:line="252" w:lineRule="auto"/>
              <w:ind w:firstLine="0"/>
            </w:pPr>
          </w:p>
        </w:tc>
      </w:tr>
      <w:tr w14:paraId="1AC1D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71" w:type="dxa"/>
            <w:vAlign w:val="center"/>
          </w:tcPr>
          <w:p w14:paraId="7894890F">
            <w:pPr>
              <w:spacing w:before="20" w:after="20" w:line="252" w:lineRule="auto"/>
              <w:ind w:firstLine="0"/>
            </w:pPr>
            <w:r>
              <w:rPr>
                <w:rFonts w:ascii="Times New Roman" w:hAnsi="Times New Roman" w:eastAsia="宋体"/>
                <w:b w:val="0"/>
                <w:sz w:val="17"/>
              </w:rPr>
              <w:t>不限事件的监督投影</w:t>
            </w:r>
          </w:p>
        </w:tc>
        <w:tc>
          <w:tcPr>
            <w:tcW w:w="1142" w:type="dxa"/>
            <w:vAlign w:val="center"/>
          </w:tcPr>
          <w:p w14:paraId="6ECAF29C">
            <w:pPr>
              <w:spacing w:before="20" w:after="20" w:line="252" w:lineRule="auto"/>
              <w:ind w:firstLine="0"/>
            </w:pPr>
          </w:p>
        </w:tc>
        <w:tc>
          <w:tcPr>
            <w:tcW w:w="1142" w:type="dxa"/>
            <w:vAlign w:val="center"/>
          </w:tcPr>
          <w:p w14:paraId="66F60811">
            <w:pPr>
              <w:spacing w:before="20" w:after="20" w:line="252" w:lineRule="auto"/>
              <w:ind w:firstLine="0"/>
            </w:pPr>
          </w:p>
        </w:tc>
        <w:tc>
          <w:tcPr>
            <w:tcW w:w="1142" w:type="dxa"/>
            <w:vAlign w:val="center"/>
          </w:tcPr>
          <w:p w14:paraId="538B22F6">
            <w:pPr>
              <w:spacing w:before="20" w:after="20" w:line="252" w:lineRule="auto"/>
              <w:ind w:firstLine="0"/>
            </w:pPr>
          </w:p>
        </w:tc>
        <w:tc>
          <w:tcPr>
            <w:tcW w:w="1142" w:type="dxa"/>
            <w:vAlign w:val="center"/>
          </w:tcPr>
          <w:p w14:paraId="3F0887B8">
            <w:pPr>
              <w:spacing w:before="20" w:after="20" w:line="252" w:lineRule="auto"/>
              <w:ind w:firstLine="0"/>
            </w:pPr>
          </w:p>
        </w:tc>
        <w:tc>
          <w:tcPr>
            <w:tcW w:w="1142" w:type="dxa"/>
            <w:vAlign w:val="center"/>
          </w:tcPr>
          <w:p w14:paraId="2B377D8B">
            <w:pPr>
              <w:spacing w:before="20" w:after="20" w:line="252" w:lineRule="auto"/>
              <w:ind w:firstLine="0"/>
            </w:pPr>
          </w:p>
        </w:tc>
        <w:tc>
          <w:tcPr>
            <w:tcW w:w="1142" w:type="dxa"/>
            <w:vAlign w:val="center"/>
          </w:tcPr>
          <w:p w14:paraId="60152516">
            <w:pPr>
              <w:spacing w:before="20" w:after="20" w:line="252" w:lineRule="auto"/>
              <w:ind w:firstLine="0"/>
            </w:pPr>
          </w:p>
        </w:tc>
      </w:tr>
      <w:tr w14:paraId="5DE17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71" w:type="dxa"/>
            <w:vAlign w:val="center"/>
          </w:tcPr>
          <w:p w14:paraId="44A1F031">
            <w:pPr>
              <w:spacing w:before="20" w:after="20" w:line="252" w:lineRule="auto"/>
              <w:ind w:firstLine="0"/>
            </w:pPr>
            <w:r>
              <w:rPr>
                <w:rFonts w:ascii="Times New Roman" w:hAnsi="Times New Roman" w:eastAsia="宋体"/>
                <w:b w:val="0"/>
                <w:sz w:val="17"/>
              </w:rPr>
              <w:t>跨事件监督投影</w:t>
            </w:r>
          </w:p>
        </w:tc>
        <w:tc>
          <w:tcPr>
            <w:tcW w:w="1142" w:type="dxa"/>
            <w:vAlign w:val="center"/>
          </w:tcPr>
          <w:p w14:paraId="687385AA">
            <w:pPr>
              <w:spacing w:before="20" w:after="20" w:line="252" w:lineRule="auto"/>
              <w:ind w:firstLine="0"/>
            </w:pPr>
          </w:p>
        </w:tc>
        <w:tc>
          <w:tcPr>
            <w:tcW w:w="1142" w:type="dxa"/>
            <w:vAlign w:val="center"/>
          </w:tcPr>
          <w:p w14:paraId="27E3A6BD">
            <w:pPr>
              <w:spacing w:before="20" w:after="20" w:line="252" w:lineRule="auto"/>
              <w:ind w:firstLine="0"/>
            </w:pPr>
          </w:p>
        </w:tc>
        <w:tc>
          <w:tcPr>
            <w:tcW w:w="1142" w:type="dxa"/>
            <w:vAlign w:val="center"/>
          </w:tcPr>
          <w:p w14:paraId="779E8411">
            <w:pPr>
              <w:spacing w:before="20" w:after="20" w:line="252" w:lineRule="auto"/>
              <w:ind w:firstLine="0"/>
            </w:pPr>
          </w:p>
        </w:tc>
        <w:tc>
          <w:tcPr>
            <w:tcW w:w="1142" w:type="dxa"/>
            <w:vAlign w:val="center"/>
          </w:tcPr>
          <w:p w14:paraId="6E0FE664">
            <w:pPr>
              <w:spacing w:before="20" w:after="20" w:line="252" w:lineRule="auto"/>
              <w:ind w:firstLine="0"/>
            </w:pPr>
          </w:p>
        </w:tc>
        <w:tc>
          <w:tcPr>
            <w:tcW w:w="1142" w:type="dxa"/>
            <w:vAlign w:val="center"/>
          </w:tcPr>
          <w:p w14:paraId="338D18C0">
            <w:pPr>
              <w:spacing w:before="20" w:after="20" w:line="252" w:lineRule="auto"/>
              <w:ind w:firstLine="0"/>
            </w:pPr>
          </w:p>
        </w:tc>
        <w:tc>
          <w:tcPr>
            <w:tcW w:w="1142" w:type="dxa"/>
            <w:vAlign w:val="center"/>
          </w:tcPr>
          <w:p w14:paraId="29D9E784">
            <w:pPr>
              <w:spacing w:before="20" w:after="20" w:line="252" w:lineRule="auto"/>
              <w:ind w:firstLine="0"/>
            </w:pPr>
          </w:p>
        </w:tc>
      </w:tr>
    </w:tbl>
    <w:p w14:paraId="23E34559">
      <w:pPr>
        <w:widowControl/>
      </w:pPr>
    </w:p>
    <w:p w14:paraId="05B4A622">
      <w:pPr>
        <w:widowControl/>
      </w:pPr>
      <w:r>
        <w:rPr>
          <w:rFonts w:ascii="Times New Roman" w:hAnsi="Times New Roman" w:eastAsia="宋体"/>
        </w:rPr>
        <w:t>对四类主类纯度达到统一阈值的查询，P@8定义为8个返回槽位中支持主类与查询主类一致的比例；无效/替代槽不计为命中。该指标不是“8个邻居投票后是否一致”的准确率。对所有有效查询另报其软标签分布与真实支持分布内积的平均，填槽部分单独屏蔽并报告分母；不静默去背景再归一化。按查询类别和事件分组与宏平均，避免背景或大事件主导。</w:t>
      </w:r>
    </w:p>
    <w:p w14:paraId="2CB55F62">
      <w:pPr>
        <w:widowControl/>
      </w:pPr>
      <w:r>
        <w:rPr>
          <w:rFonts w:ascii="Times New Roman" w:hAnsi="Times New Roman" w:eastAsia="宋体"/>
        </w:rPr>
        <w:t>有效槽位率是返回的真实合格支持数除以8，满8支持查询率是具有8条真实支持的查询比例；因同事件已被排除，这两项主要衡量可用性，不证明语义相关。受损/毁坏Hit@8分别在对应高纯度查询中统计是否至少命中一条同主类支持，同时报告查询数及候选池是否存在同类证据。评测标签只用于评分，不进入检索和读取。</w:t>
      </w:r>
    </w:p>
    <w:p w14:paraId="465DFE59">
      <w:pPr>
        <w:widowControl/>
      </w:pPr>
      <w:r>
        <w:rPr>
          <w:rFonts w:ascii="Times New Roman" w:hAnsi="Times New Roman" w:eastAsia="宋体"/>
        </w:rPr>
        <w:t>学习排序对应的P@8、软组成相关度和受损/毁坏Hit@8分别为</w:t>
      </w:r>
      <w:r>
        <w:rPr>
          <w:rFonts w:ascii="Times New Roman" w:hAnsi="Times New Roman" w:eastAsia="宋体"/>
          <w:u w:val="single"/>
        </w:rPr>
        <w:t>    </w:t>
      </w:r>
      <w:r>
        <w:rPr>
          <w:rFonts w:ascii="Times New Roman" w:hAnsi="Times New Roman" w:eastAsia="宋体"/>
        </w:rPr>
        <w:t>、</w:t>
      </w:r>
      <w:r>
        <w:rPr>
          <w:rFonts w:ascii="Times New Roman" w:hAnsi="Times New Roman" w:eastAsia="宋体"/>
          <w:u w:val="single"/>
        </w:rPr>
        <w:t>    </w:t>
      </w:r>
      <w:r>
        <w:rPr>
          <w:rFonts w:ascii="Times New Roman" w:hAnsi="Times New Roman" w:eastAsia="宋体"/>
        </w:rPr>
        <w:t>、</w:t>
      </w:r>
      <w:r>
        <w:rPr>
          <w:rFonts w:ascii="Times New Roman" w:hAnsi="Times New Roman" w:eastAsia="宋体"/>
          <w:u w:val="single"/>
        </w:rPr>
        <w:t>    </w:t>
      </w:r>
      <w:r>
        <w:rPr>
          <w:rFonts w:ascii="Times New Roman" w:hAnsi="Times New Roman" w:eastAsia="宋体"/>
        </w:rPr>
        <w:t>和</w:t>
      </w:r>
      <w:r>
        <w:rPr>
          <w:rFonts w:ascii="Times New Roman" w:hAnsi="Times New Roman" w:eastAsia="宋体"/>
          <w:u w:val="single"/>
        </w:rPr>
        <w:t>    </w:t>
      </w:r>
      <w:r>
        <w:rPr>
          <w:rFonts w:ascii="Times New Roman" w:hAnsi="Times New Roman" w:eastAsia="宋体"/>
        </w:rPr>
        <w:t>。这些变化与表6最终分类差值分开讨论；若邻居指标改善而分类不改善，结论仅限支持选择。</w:t>
      </w:r>
    </w:p>
    <w:p w14:paraId="6B729D39">
      <w:pPr>
        <w:widowControl/>
      </w:pPr>
      <w:r>
        <w:rPr>
          <w:rFonts w:ascii="Times New Roman" w:hAnsi="Times New Roman" w:eastAsia="宋体"/>
        </w:rPr>
        <w:t>图8(a)在固定排序与候选上统计K=1、2、4、8、16的类别相关性和Hit@K，不为每个K另挑模型；图8(b)显示同一查询在两种排序下的光学/SAR支持裁块、Train标签组成、事件、ID和相似度。至少覆盖改善、持平及退化案例，相似度不能替代损毁相关性判断。</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6"/>
      </w:tblGrid>
      <w:tr w14:paraId="77B7A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trPr>
        <w:tc>
          <w:tcPr>
            <w:tcW w:w="9026" w:type="dxa"/>
          </w:tcPr>
          <w:p w14:paraId="32D6669F"/>
        </w:tc>
      </w:tr>
    </w:tbl>
    <w:p w14:paraId="31F7C1E9">
      <w:pPr>
        <w:pStyle w:val="15"/>
        <w:keepNext/>
      </w:pPr>
      <w:r>
        <w:rPr>
          <w:rFonts w:ascii="Times New Roman" w:hAnsi="Times New Roman" w:eastAsia="宋体"/>
        </w:rPr>
        <w:t>图8　检索相关性曲线与实际训练支持案例</w:t>
      </w:r>
    </w:p>
    <w:p w14:paraId="6EE1E1E7">
      <w:pPr>
        <w:widowControl/>
      </w:pPr>
      <w:r>
        <w:rPr>
          <w:rFonts w:ascii="Times New Roman" w:hAnsi="Times New Roman" w:eastAsia="宋体"/>
        </w:rPr>
        <w:t>表8区分重新训练的输入消融与固定权重推理干预。前者用于检验对应信息的训练增量；后者用于检验已训练模型的依赖与脆弱性。固定邻居ID去标签或元数据后，需按同预算重新训练Reader；随机邻居从相同合格候选池抽样并重复；标签扰动在记录间置换，保留类别边际分布和种子记录。</w:t>
      </w:r>
    </w:p>
    <w:p w14:paraId="779BC3E6">
      <w:pPr>
        <w:pStyle w:val="15"/>
        <w:keepNext/>
      </w:pPr>
      <w:r>
        <w:rPr>
          <w:rFonts w:ascii="Times New Roman" w:hAnsi="Times New Roman" w:eastAsia="宋体"/>
        </w:rPr>
        <w:t>表8　支持标签、元数据与读取依赖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85"/>
        <w:gridCol w:w="1308"/>
        <w:gridCol w:w="1308"/>
        <w:gridCol w:w="1308"/>
        <w:gridCol w:w="1308"/>
        <w:gridCol w:w="1308"/>
      </w:tblGrid>
      <w:tr w14:paraId="7D06F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85" w:type="dxa"/>
            <w:shd w:val="clear" w:color="auto" w:fill="E8EDF2"/>
            <w:vAlign w:val="center"/>
          </w:tcPr>
          <w:p w14:paraId="559270A3">
            <w:pPr>
              <w:spacing w:before="20" w:after="20" w:line="252" w:lineRule="auto"/>
              <w:ind w:firstLine="0"/>
            </w:pPr>
            <w:r>
              <w:rPr>
                <w:rFonts w:ascii="Times New Roman" w:hAnsi="Times New Roman" w:eastAsia="宋体"/>
                <w:b/>
                <w:sz w:val="17"/>
              </w:rPr>
              <w:t>支持设置</w:t>
            </w:r>
          </w:p>
        </w:tc>
        <w:tc>
          <w:tcPr>
            <w:tcW w:w="1308" w:type="dxa"/>
            <w:shd w:val="clear" w:color="auto" w:fill="E8EDF2"/>
            <w:vAlign w:val="center"/>
          </w:tcPr>
          <w:p w14:paraId="1BC07141">
            <w:pPr>
              <w:spacing w:before="20" w:after="20" w:line="252" w:lineRule="auto"/>
              <w:ind w:firstLine="0"/>
            </w:pPr>
            <w:r>
              <w:rPr>
                <w:rFonts w:ascii="Times New Roman" w:hAnsi="Times New Roman" w:eastAsia="宋体"/>
                <w:b/>
                <w:sz w:val="17"/>
              </w:rPr>
              <w:t>操作阶段</w:t>
            </w:r>
          </w:p>
        </w:tc>
        <w:tc>
          <w:tcPr>
            <w:tcW w:w="1308" w:type="dxa"/>
            <w:shd w:val="clear" w:color="auto" w:fill="E8EDF2"/>
            <w:vAlign w:val="center"/>
          </w:tcPr>
          <w:p w14:paraId="385EFFEF">
            <w:pPr>
              <w:spacing w:before="20" w:after="20" w:line="252" w:lineRule="auto"/>
              <w:ind w:firstLine="0"/>
            </w:pPr>
            <w:r>
              <w:rPr>
                <w:rFonts w:ascii="Times New Roman" w:hAnsi="Times New Roman" w:eastAsia="宋体"/>
                <w:b/>
                <w:sz w:val="17"/>
              </w:rPr>
              <w:t>四类mIoU</w:t>
            </w:r>
          </w:p>
        </w:tc>
        <w:tc>
          <w:tcPr>
            <w:tcW w:w="1308" w:type="dxa"/>
            <w:shd w:val="clear" w:color="auto" w:fill="E8EDF2"/>
            <w:vAlign w:val="center"/>
          </w:tcPr>
          <w:p w14:paraId="2A73C26F">
            <w:pPr>
              <w:spacing w:before="20" w:after="20" w:line="252" w:lineRule="auto"/>
              <w:ind w:firstLine="0"/>
            </w:pPr>
            <w:r>
              <w:rPr>
                <w:rFonts w:ascii="Times New Roman" w:hAnsi="Times New Roman" w:eastAsia="宋体"/>
                <w:b/>
                <w:sz w:val="17"/>
              </w:rPr>
              <w:t>前景mIoU</w:t>
            </w:r>
          </w:p>
        </w:tc>
        <w:tc>
          <w:tcPr>
            <w:tcW w:w="1308" w:type="dxa"/>
            <w:shd w:val="clear" w:color="auto" w:fill="E8EDF2"/>
            <w:vAlign w:val="center"/>
          </w:tcPr>
          <w:p w14:paraId="17F95115">
            <w:pPr>
              <w:spacing w:before="20" w:after="20" w:line="252" w:lineRule="auto"/>
              <w:ind w:firstLine="0"/>
            </w:pPr>
            <w:r>
              <w:rPr>
                <w:rFonts w:ascii="Times New Roman" w:hAnsi="Times New Roman" w:eastAsia="宋体"/>
                <w:b/>
                <w:sz w:val="17"/>
              </w:rPr>
              <w:t>受损IoU</w:t>
            </w:r>
          </w:p>
        </w:tc>
        <w:tc>
          <w:tcPr>
            <w:tcW w:w="1308" w:type="dxa"/>
            <w:shd w:val="clear" w:color="auto" w:fill="E8EDF2"/>
            <w:vAlign w:val="center"/>
          </w:tcPr>
          <w:p w14:paraId="0A009469">
            <w:pPr>
              <w:spacing w:before="20" w:after="20" w:line="252" w:lineRule="auto"/>
              <w:ind w:firstLine="0"/>
            </w:pPr>
            <w:r>
              <w:rPr>
                <w:rFonts w:ascii="Times New Roman" w:hAnsi="Times New Roman" w:eastAsia="宋体"/>
                <w:b/>
                <w:sz w:val="17"/>
              </w:rPr>
              <w:t>毁坏IoU</w:t>
            </w:r>
          </w:p>
        </w:tc>
      </w:tr>
      <w:tr w14:paraId="0300C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85" w:type="dxa"/>
            <w:vAlign w:val="center"/>
          </w:tcPr>
          <w:p w14:paraId="46603D68">
            <w:pPr>
              <w:spacing w:before="20" w:after="20" w:line="252" w:lineRule="auto"/>
              <w:ind w:firstLine="0"/>
            </w:pPr>
            <w:r>
              <w:rPr>
                <w:rFonts w:ascii="Times New Roman" w:hAnsi="Times New Roman" w:eastAsia="宋体"/>
                <w:b w:val="0"/>
                <w:sz w:val="17"/>
              </w:rPr>
              <w:t>完整软标签与元数据</w:t>
            </w:r>
          </w:p>
        </w:tc>
        <w:tc>
          <w:tcPr>
            <w:tcW w:w="1308" w:type="dxa"/>
            <w:vAlign w:val="center"/>
          </w:tcPr>
          <w:p w14:paraId="20FAE519">
            <w:pPr>
              <w:spacing w:before="20" w:after="20" w:line="252" w:lineRule="auto"/>
              <w:ind w:firstLine="0"/>
            </w:pPr>
            <w:r>
              <w:rPr>
                <w:rFonts w:ascii="Times New Roman" w:hAnsi="Times New Roman" w:eastAsia="宋体"/>
                <w:b w:val="0"/>
                <w:sz w:val="17"/>
              </w:rPr>
              <w:t>重新训练/基准</w:t>
            </w:r>
          </w:p>
        </w:tc>
        <w:tc>
          <w:tcPr>
            <w:tcW w:w="1308" w:type="dxa"/>
            <w:vAlign w:val="center"/>
          </w:tcPr>
          <w:p w14:paraId="2C6B3DB1">
            <w:pPr>
              <w:spacing w:before="20" w:after="20" w:line="252" w:lineRule="auto"/>
              <w:ind w:firstLine="0"/>
            </w:pPr>
          </w:p>
        </w:tc>
        <w:tc>
          <w:tcPr>
            <w:tcW w:w="1308" w:type="dxa"/>
            <w:vAlign w:val="center"/>
          </w:tcPr>
          <w:p w14:paraId="28AFE246">
            <w:pPr>
              <w:spacing w:before="20" w:after="20" w:line="252" w:lineRule="auto"/>
              <w:ind w:firstLine="0"/>
            </w:pPr>
          </w:p>
        </w:tc>
        <w:tc>
          <w:tcPr>
            <w:tcW w:w="1308" w:type="dxa"/>
            <w:vAlign w:val="center"/>
          </w:tcPr>
          <w:p w14:paraId="2D1F31BF">
            <w:pPr>
              <w:spacing w:before="20" w:after="20" w:line="252" w:lineRule="auto"/>
              <w:ind w:firstLine="0"/>
            </w:pPr>
          </w:p>
        </w:tc>
        <w:tc>
          <w:tcPr>
            <w:tcW w:w="1308" w:type="dxa"/>
            <w:vAlign w:val="center"/>
          </w:tcPr>
          <w:p w14:paraId="3DEB5F16">
            <w:pPr>
              <w:spacing w:before="20" w:after="20" w:line="252" w:lineRule="auto"/>
              <w:ind w:firstLine="0"/>
            </w:pPr>
          </w:p>
        </w:tc>
      </w:tr>
      <w:tr w14:paraId="75D4D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85" w:type="dxa"/>
            <w:vAlign w:val="center"/>
          </w:tcPr>
          <w:p w14:paraId="215E5457">
            <w:pPr>
              <w:spacing w:before="20" w:after="20" w:line="252" w:lineRule="auto"/>
              <w:ind w:firstLine="0"/>
            </w:pPr>
            <w:r>
              <w:rPr>
                <w:rFonts w:ascii="Times New Roman" w:hAnsi="Times New Roman" w:eastAsia="宋体"/>
                <w:b w:val="0"/>
                <w:sz w:val="17"/>
              </w:rPr>
              <w:t>仅多数类标签</w:t>
            </w:r>
          </w:p>
        </w:tc>
        <w:tc>
          <w:tcPr>
            <w:tcW w:w="1308" w:type="dxa"/>
            <w:vAlign w:val="center"/>
          </w:tcPr>
          <w:p w14:paraId="29243135">
            <w:pPr>
              <w:spacing w:before="20" w:after="20" w:line="252" w:lineRule="auto"/>
              <w:ind w:firstLine="0"/>
            </w:pPr>
            <w:r>
              <w:rPr>
                <w:rFonts w:ascii="Times New Roman" w:hAnsi="Times New Roman" w:eastAsia="宋体"/>
                <w:b w:val="0"/>
                <w:sz w:val="17"/>
              </w:rPr>
              <w:t>重新训练</w:t>
            </w:r>
          </w:p>
        </w:tc>
        <w:tc>
          <w:tcPr>
            <w:tcW w:w="1308" w:type="dxa"/>
            <w:vAlign w:val="center"/>
          </w:tcPr>
          <w:p w14:paraId="7F798619">
            <w:pPr>
              <w:spacing w:before="20" w:after="20" w:line="252" w:lineRule="auto"/>
              <w:ind w:firstLine="0"/>
            </w:pPr>
          </w:p>
        </w:tc>
        <w:tc>
          <w:tcPr>
            <w:tcW w:w="1308" w:type="dxa"/>
            <w:vAlign w:val="center"/>
          </w:tcPr>
          <w:p w14:paraId="74374E51">
            <w:pPr>
              <w:spacing w:before="20" w:after="20" w:line="252" w:lineRule="auto"/>
              <w:ind w:firstLine="0"/>
            </w:pPr>
          </w:p>
        </w:tc>
        <w:tc>
          <w:tcPr>
            <w:tcW w:w="1308" w:type="dxa"/>
            <w:vAlign w:val="center"/>
          </w:tcPr>
          <w:p w14:paraId="17B1A916">
            <w:pPr>
              <w:spacing w:before="20" w:after="20" w:line="252" w:lineRule="auto"/>
              <w:ind w:firstLine="0"/>
            </w:pPr>
          </w:p>
        </w:tc>
        <w:tc>
          <w:tcPr>
            <w:tcW w:w="1308" w:type="dxa"/>
            <w:vAlign w:val="center"/>
          </w:tcPr>
          <w:p w14:paraId="4E0E6ED7">
            <w:pPr>
              <w:spacing w:before="20" w:after="20" w:line="252" w:lineRule="auto"/>
              <w:ind w:firstLine="0"/>
            </w:pPr>
          </w:p>
        </w:tc>
      </w:tr>
      <w:tr w14:paraId="771A6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85" w:type="dxa"/>
            <w:vAlign w:val="center"/>
          </w:tcPr>
          <w:p w14:paraId="16E52891">
            <w:pPr>
              <w:spacing w:before="20" w:after="20" w:line="252" w:lineRule="auto"/>
              <w:ind w:firstLine="0"/>
            </w:pPr>
            <w:r>
              <w:rPr>
                <w:rFonts w:ascii="Times New Roman" w:hAnsi="Times New Roman" w:eastAsia="宋体"/>
                <w:b w:val="0"/>
                <w:sz w:val="17"/>
              </w:rPr>
              <w:t>去标签</w:t>
            </w:r>
          </w:p>
        </w:tc>
        <w:tc>
          <w:tcPr>
            <w:tcW w:w="1308" w:type="dxa"/>
            <w:vAlign w:val="center"/>
          </w:tcPr>
          <w:p w14:paraId="17E5FFFE">
            <w:pPr>
              <w:spacing w:before="20" w:after="20" w:line="252" w:lineRule="auto"/>
              <w:ind w:firstLine="0"/>
            </w:pPr>
            <w:r>
              <w:rPr>
                <w:rFonts w:ascii="Times New Roman" w:hAnsi="Times New Roman" w:eastAsia="宋体"/>
                <w:b w:val="0"/>
                <w:sz w:val="17"/>
              </w:rPr>
              <w:t>重新训练</w:t>
            </w:r>
          </w:p>
        </w:tc>
        <w:tc>
          <w:tcPr>
            <w:tcW w:w="1308" w:type="dxa"/>
            <w:vAlign w:val="center"/>
          </w:tcPr>
          <w:p w14:paraId="52952339">
            <w:pPr>
              <w:spacing w:before="20" w:after="20" w:line="252" w:lineRule="auto"/>
              <w:ind w:firstLine="0"/>
            </w:pPr>
          </w:p>
        </w:tc>
        <w:tc>
          <w:tcPr>
            <w:tcW w:w="1308" w:type="dxa"/>
            <w:vAlign w:val="center"/>
          </w:tcPr>
          <w:p w14:paraId="445E2AB5">
            <w:pPr>
              <w:spacing w:before="20" w:after="20" w:line="252" w:lineRule="auto"/>
              <w:ind w:firstLine="0"/>
            </w:pPr>
          </w:p>
        </w:tc>
        <w:tc>
          <w:tcPr>
            <w:tcW w:w="1308" w:type="dxa"/>
            <w:vAlign w:val="center"/>
          </w:tcPr>
          <w:p w14:paraId="0942E975">
            <w:pPr>
              <w:spacing w:before="20" w:after="20" w:line="252" w:lineRule="auto"/>
              <w:ind w:firstLine="0"/>
            </w:pPr>
          </w:p>
        </w:tc>
        <w:tc>
          <w:tcPr>
            <w:tcW w:w="1308" w:type="dxa"/>
            <w:vAlign w:val="center"/>
          </w:tcPr>
          <w:p w14:paraId="23E11643">
            <w:pPr>
              <w:spacing w:before="20" w:after="20" w:line="252" w:lineRule="auto"/>
              <w:ind w:firstLine="0"/>
            </w:pPr>
          </w:p>
        </w:tc>
      </w:tr>
      <w:tr w14:paraId="19729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85" w:type="dxa"/>
            <w:vAlign w:val="center"/>
          </w:tcPr>
          <w:p w14:paraId="302A19FA">
            <w:pPr>
              <w:spacing w:before="20" w:after="20" w:line="252" w:lineRule="auto"/>
              <w:ind w:firstLine="0"/>
            </w:pPr>
            <w:r>
              <w:rPr>
                <w:rFonts w:ascii="Times New Roman" w:hAnsi="Times New Roman" w:eastAsia="宋体"/>
                <w:b w:val="0"/>
                <w:sz w:val="17"/>
              </w:rPr>
              <w:t>去全部元数据</w:t>
            </w:r>
          </w:p>
        </w:tc>
        <w:tc>
          <w:tcPr>
            <w:tcW w:w="1308" w:type="dxa"/>
            <w:vAlign w:val="center"/>
          </w:tcPr>
          <w:p w14:paraId="3B469205">
            <w:pPr>
              <w:spacing w:before="20" w:after="20" w:line="252" w:lineRule="auto"/>
              <w:ind w:firstLine="0"/>
            </w:pPr>
            <w:r>
              <w:rPr>
                <w:rFonts w:ascii="Times New Roman" w:hAnsi="Times New Roman" w:eastAsia="宋体"/>
                <w:b w:val="0"/>
                <w:sz w:val="17"/>
              </w:rPr>
              <w:t>重新训练</w:t>
            </w:r>
          </w:p>
        </w:tc>
        <w:tc>
          <w:tcPr>
            <w:tcW w:w="1308" w:type="dxa"/>
            <w:vAlign w:val="center"/>
          </w:tcPr>
          <w:p w14:paraId="68039FC6">
            <w:pPr>
              <w:spacing w:before="20" w:after="20" w:line="252" w:lineRule="auto"/>
              <w:ind w:firstLine="0"/>
            </w:pPr>
          </w:p>
        </w:tc>
        <w:tc>
          <w:tcPr>
            <w:tcW w:w="1308" w:type="dxa"/>
            <w:vAlign w:val="center"/>
          </w:tcPr>
          <w:p w14:paraId="2EF0641F">
            <w:pPr>
              <w:spacing w:before="20" w:after="20" w:line="252" w:lineRule="auto"/>
              <w:ind w:firstLine="0"/>
            </w:pPr>
          </w:p>
        </w:tc>
        <w:tc>
          <w:tcPr>
            <w:tcW w:w="1308" w:type="dxa"/>
            <w:vAlign w:val="center"/>
          </w:tcPr>
          <w:p w14:paraId="7C65A020">
            <w:pPr>
              <w:spacing w:before="20" w:after="20" w:line="252" w:lineRule="auto"/>
              <w:ind w:firstLine="0"/>
            </w:pPr>
          </w:p>
        </w:tc>
        <w:tc>
          <w:tcPr>
            <w:tcW w:w="1308" w:type="dxa"/>
            <w:vAlign w:val="center"/>
          </w:tcPr>
          <w:p w14:paraId="28AA9614">
            <w:pPr>
              <w:spacing w:before="20" w:after="20" w:line="252" w:lineRule="auto"/>
              <w:ind w:firstLine="0"/>
            </w:pPr>
          </w:p>
        </w:tc>
      </w:tr>
      <w:tr w14:paraId="2787C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85" w:type="dxa"/>
            <w:vAlign w:val="center"/>
          </w:tcPr>
          <w:p w14:paraId="64EEE6F5">
            <w:pPr>
              <w:spacing w:before="20" w:after="20" w:line="252" w:lineRule="auto"/>
              <w:ind w:firstLine="0"/>
            </w:pPr>
            <w:r>
              <w:rPr>
                <w:rFonts w:ascii="Times New Roman" w:hAnsi="Times New Roman" w:eastAsia="宋体"/>
                <w:b w:val="0"/>
                <w:sz w:val="17"/>
              </w:rPr>
              <w:t>去事件/灾种/几何之一</w:t>
            </w:r>
          </w:p>
        </w:tc>
        <w:tc>
          <w:tcPr>
            <w:tcW w:w="1308" w:type="dxa"/>
            <w:vAlign w:val="center"/>
          </w:tcPr>
          <w:p w14:paraId="75BCC80B">
            <w:pPr>
              <w:spacing w:before="20" w:after="20" w:line="252" w:lineRule="auto"/>
              <w:ind w:firstLine="0"/>
            </w:pPr>
            <w:r>
              <w:rPr>
                <w:rFonts w:ascii="Times New Roman" w:hAnsi="Times New Roman" w:eastAsia="宋体"/>
                <w:b w:val="0"/>
                <w:sz w:val="17"/>
              </w:rPr>
              <w:t>分别重训</w:t>
            </w:r>
          </w:p>
        </w:tc>
        <w:tc>
          <w:tcPr>
            <w:tcW w:w="1308" w:type="dxa"/>
            <w:vAlign w:val="center"/>
          </w:tcPr>
          <w:p w14:paraId="0FC2DBF2">
            <w:pPr>
              <w:spacing w:before="20" w:after="20" w:line="252" w:lineRule="auto"/>
              <w:ind w:firstLine="0"/>
            </w:pPr>
          </w:p>
        </w:tc>
        <w:tc>
          <w:tcPr>
            <w:tcW w:w="1308" w:type="dxa"/>
            <w:vAlign w:val="center"/>
          </w:tcPr>
          <w:p w14:paraId="2A49220F">
            <w:pPr>
              <w:spacing w:before="20" w:after="20" w:line="252" w:lineRule="auto"/>
              <w:ind w:firstLine="0"/>
            </w:pPr>
          </w:p>
        </w:tc>
        <w:tc>
          <w:tcPr>
            <w:tcW w:w="1308" w:type="dxa"/>
            <w:vAlign w:val="center"/>
          </w:tcPr>
          <w:p w14:paraId="577B3BBF">
            <w:pPr>
              <w:spacing w:before="20" w:after="20" w:line="252" w:lineRule="auto"/>
              <w:ind w:firstLine="0"/>
            </w:pPr>
          </w:p>
        </w:tc>
        <w:tc>
          <w:tcPr>
            <w:tcW w:w="1308" w:type="dxa"/>
            <w:vAlign w:val="center"/>
          </w:tcPr>
          <w:p w14:paraId="15106A83">
            <w:pPr>
              <w:spacing w:before="20" w:after="20" w:line="252" w:lineRule="auto"/>
              <w:ind w:firstLine="0"/>
            </w:pPr>
          </w:p>
        </w:tc>
      </w:tr>
      <w:tr w14:paraId="2EF4D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85" w:type="dxa"/>
            <w:vAlign w:val="center"/>
          </w:tcPr>
          <w:p w14:paraId="5C59D3FF">
            <w:pPr>
              <w:spacing w:before="20" w:after="20" w:line="252" w:lineRule="auto"/>
              <w:ind w:firstLine="0"/>
            </w:pPr>
            <w:r>
              <w:rPr>
                <w:rFonts w:ascii="Times New Roman" w:hAnsi="Times New Roman" w:eastAsia="宋体"/>
                <w:b w:val="0"/>
                <w:sz w:val="17"/>
              </w:rPr>
              <w:t>随机合格支持</w:t>
            </w:r>
          </w:p>
        </w:tc>
        <w:tc>
          <w:tcPr>
            <w:tcW w:w="1308" w:type="dxa"/>
            <w:vAlign w:val="center"/>
          </w:tcPr>
          <w:p w14:paraId="541F9AFB">
            <w:pPr>
              <w:spacing w:before="20" w:after="20" w:line="252" w:lineRule="auto"/>
              <w:ind w:firstLine="0"/>
            </w:pPr>
            <w:r>
              <w:rPr>
                <w:rFonts w:ascii="Times New Roman" w:hAnsi="Times New Roman" w:eastAsia="宋体"/>
                <w:b w:val="0"/>
                <w:sz w:val="17"/>
              </w:rPr>
              <w:t>固定权重，多次抽样</w:t>
            </w:r>
          </w:p>
        </w:tc>
        <w:tc>
          <w:tcPr>
            <w:tcW w:w="1308" w:type="dxa"/>
            <w:vAlign w:val="center"/>
          </w:tcPr>
          <w:p w14:paraId="417AA0DF">
            <w:pPr>
              <w:spacing w:before="20" w:after="20" w:line="252" w:lineRule="auto"/>
              <w:ind w:firstLine="0"/>
            </w:pPr>
          </w:p>
        </w:tc>
        <w:tc>
          <w:tcPr>
            <w:tcW w:w="1308" w:type="dxa"/>
            <w:vAlign w:val="center"/>
          </w:tcPr>
          <w:p w14:paraId="3C47E896">
            <w:pPr>
              <w:spacing w:before="20" w:after="20" w:line="252" w:lineRule="auto"/>
              <w:ind w:firstLine="0"/>
            </w:pPr>
          </w:p>
        </w:tc>
        <w:tc>
          <w:tcPr>
            <w:tcW w:w="1308" w:type="dxa"/>
            <w:vAlign w:val="center"/>
          </w:tcPr>
          <w:p w14:paraId="182F3273">
            <w:pPr>
              <w:spacing w:before="20" w:after="20" w:line="252" w:lineRule="auto"/>
              <w:ind w:firstLine="0"/>
            </w:pPr>
          </w:p>
        </w:tc>
        <w:tc>
          <w:tcPr>
            <w:tcW w:w="1308" w:type="dxa"/>
            <w:vAlign w:val="center"/>
          </w:tcPr>
          <w:p w14:paraId="65977FF6">
            <w:pPr>
              <w:spacing w:before="20" w:after="20" w:line="252" w:lineRule="auto"/>
              <w:ind w:firstLine="0"/>
            </w:pPr>
          </w:p>
        </w:tc>
      </w:tr>
      <w:tr w14:paraId="0FF952D6">
        <w:tblPrEx>
          <w:tblCellMar>
            <w:top w:w="0" w:type="dxa"/>
            <w:left w:w="108" w:type="dxa"/>
            <w:bottom w:w="0" w:type="dxa"/>
            <w:right w:w="108" w:type="dxa"/>
          </w:tblCellMar>
        </w:tblPrEx>
        <w:trPr>
          <w:cantSplit/>
          <w:jc w:val="center"/>
        </w:trPr>
        <w:tc>
          <w:tcPr>
            <w:tcW w:w="2485" w:type="dxa"/>
            <w:vAlign w:val="center"/>
          </w:tcPr>
          <w:p w14:paraId="40CEAD1D">
            <w:pPr>
              <w:spacing w:before="20" w:after="20" w:line="252" w:lineRule="auto"/>
              <w:ind w:firstLine="0"/>
            </w:pPr>
            <w:r>
              <w:rPr>
                <w:rFonts w:ascii="Times New Roman" w:hAnsi="Times New Roman" w:eastAsia="宋体"/>
                <w:b w:val="0"/>
                <w:sz w:val="17"/>
              </w:rPr>
              <w:t>标签置换</w:t>
            </w:r>
          </w:p>
        </w:tc>
        <w:tc>
          <w:tcPr>
            <w:tcW w:w="1308" w:type="dxa"/>
            <w:vAlign w:val="center"/>
          </w:tcPr>
          <w:p w14:paraId="15BBF6F6">
            <w:pPr>
              <w:spacing w:before="20" w:after="20" w:line="252" w:lineRule="auto"/>
              <w:ind w:firstLine="0"/>
            </w:pPr>
            <w:r>
              <w:rPr>
                <w:rFonts w:ascii="Times New Roman" w:hAnsi="Times New Roman" w:eastAsia="宋体"/>
                <w:b w:val="0"/>
                <w:sz w:val="17"/>
              </w:rPr>
              <w:t>固定权重，多次置换</w:t>
            </w:r>
          </w:p>
        </w:tc>
        <w:tc>
          <w:tcPr>
            <w:tcW w:w="1308" w:type="dxa"/>
            <w:vAlign w:val="center"/>
          </w:tcPr>
          <w:p w14:paraId="21EBFF67">
            <w:pPr>
              <w:spacing w:before="20" w:after="20" w:line="252" w:lineRule="auto"/>
              <w:ind w:firstLine="0"/>
            </w:pPr>
          </w:p>
        </w:tc>
        <w:tc>
          <w:tcPr>
            <w:tcW w:w="1308" w:type="dxa"/>
            <w:vAlign w:val="center"/>
          </w:tcPr>
          <w:p w14:paraId="52D0D610">
            <w:pPr>
              <w:spacing w:before="20" w:after="20" w:line="252" w:lineRule="auto"/>
              <w:ind w:firstLine="0"/>
            </w:pPr>
          </w:p>
        </w:tc>
        <w:tc>
          <w:tcPr>
            <w:tcW w:w="1308" w:type="dxa"/>
            <w:vAlign w:val="center"/>
          </w:tcPr>
          <w:p w14:paraId="34891D4E">
            <w:pPr>
              <w:spacing w:before="20" w:after="20" w:line="252" w:lineRule="auto"/>
              <w:ind w:firstLine="0"/>
            </w:pPr>
          </w:p>
        </w:tc>
        <w:tc>
          <w:tcPr>
            <w:tcW w:w="1308" w:type="dxa"/>
            <w:vAlign w:val="center"/>
          </w:tcPr>
          <w:p w14:paraId="486FF87C">
            <w:pPr>
              <w:spacing w:before="20" w:after="20" w:line="252" w:lineRule="auto"/>
              <w:ind w:firstLine="0"/>
            </w:pPr>
          </w:p>
        </w:tc>
      </w:tr>
      <w:tr w14:paraId="34C7C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85" w:type="dxa"/>
            <w:vAlign w:val="center"/>
          </w:tcPr>
          <w:p w14:paraId="32EB5D31">
            <w:pPr>
              <w:spacing w:before="20" w:after="20" w:line="252" w:lineRule="auto"/>
              <w:ind w:firstLine="0"/>
            </w:pPr>
            <w:r>
              <w:rPr>
                <w:rFonts w:ascii="Times New Roman" w:hAnsi="Times New Roman" w:eastAsia="宋体"/>
                <w:b w:val="0"/>
                <w:sz w:val="17"/>
              </w:rPr>
              <w:t>关闭真实支持/空槽</w:t>
            </w:r>
          </w:p>
        </w:tc>
        <w:tc>
          <w:tcPr>
            <w:tcW w:w="1308" w:type="dxa"/>
            <w:vAlign w:val="center"/>
          </w:tcPr>
          <w:p w14:paraId="164641E7">
            <w:pPr>
              <w:spacing w:before="20" w:after="20" w:line="252" w:lineRule="auto"/>
              <w:ind w:firstLine="0"/>
            </w:pPr>
            <w:r>
              <w:rPr>
                <w:rFonts w:ascii="Times New Roman" w:hAnsi="Times New Roman" w:eastAsia="宋体"/>
                <w:b w:val="0"/>
                <w:sz w:val="17"/>
              </w:rPr>
              <w:t>固定权重，说明训练覆盖</w:t>
            </w:r>
          </w:p>
        </w:tc>
        <w:tc>
          <w:tcPr>
            <w:tcW w:w="1308" w:type="dxa"/>
            <w:vAlign w:val="center"/>
          </w:tcPr>
          <w:p w14:paraId="2BE2B392">
            <w:pPr>
              <w:spacing w:before="20" w:after="20" w:line="252" w:lineRule="auto"/>
              <w:ind w:firstLine="0"/>
            </w:pPr>
          </w:p>
        </w:tc>
        <w:tc>
          <w:tcPr>
            <w:tcW w:w="1308" w:type="dxa"/>
            <w:vAlign w:val="center"/>
          </w:tcPr>
          <w:p w14:paraId="3CCD42E0">
            <w:pPr>
              <w:spacing w:before="20" w:after="20" w:line="252" w:lineRule="auto"/>
              <w:ind w:firstLine="0"/>
            </w:pPr>
          </w:p>
        </w:tc>
        <w:tc>
          <w:tcPr>
            <w:tcW w:w="1308" w:type="dxa"/>
            <w:vAlign w:val="center"/>
          </w:tcPr>
          <w:p w14:paraId="672396C4">
            <w:pPr>
              <w:spacing w:before="20" w:after="20" w:line="252" w:lineRule="auto"/>
              <w:ind w:firstLine="0"/>
            </w:pPr>
          </w:p>
        </w:tc>
        <w:tc>
          <w:tcPr>
            <w:tcW w:w="1308" w:type="dxa"/>
            <w:vAlign w:val="center"/>
          </w:tcPr>
          <w:p w14:paraId="23323A4A">
            <w:pPr>
              <w:spacing w:before="20" w:after="20" w:line="252" w:lineRule="auto"/>
              <w:ind w:firstLine="0"/>
            </w:pPr>
          </w:p>
        </w:tc>
      </w:tr>
    </w:tbl>
    <w:p w14:paraId="5AEBF517">
      <w:pPr>
        <w:widowControl/>
      </w:pPr>
    </w:p>
    <w:p w14:paraId="5EFD95F4">
      <w:pPr>
        <w:pStyle w:val="4"/>
        <w:keepNext/>
      </w:pPr>
      <w:r>
        <w:rPr>
          <w:rFonts w:ascii="Times New Roman" w:hAnsi="Times New Roman" w:eastAsia="宋体"/>
        </w:rPr>
        <w:t>F. 不同灾害事件的结果</w:t>
      </w:r>
    </w:p>
    <w:p w14:paraId="636C22BF">
      <w:pPr>
        <w:widowControl/>
      </w:pPr>
      <w:r>
        <w:rPr>
          <w:rFonts w:ascii="Times New Roman" w:hAnsi="Times New Roman" w:eastAsia="宋体"/>
        </w:rPr>
        <w:t>表9按事件报告完整方法及同协议对照，优先采用DamageFormer、ChangeMamba和MPF-HA、Pixel–Region、Cosine Retrieval、Ours。若外部模型只有公开事件值，则标记来源并与本地评测区分。某个模型进入总体表但没有对应定性图不构成矛盾；同一模型名却指向不同权重或不同划分才需要纠正。</w:t>
      </w:r>
    </w:p>
    <w:p w14:paraId="5620554E">
      <w:pPr>
        <w:pStyle w:val="15"/>
        <w:keepNext/>
      </w:pPr>
      <w:r>
        <w:rPr>
          <w:rFonts w:ascii="Times New Roman" w:hAnsi="Times New Roman" w:eastAsia="宋体"/>
        </w:rPr>
        <w:t>表9　灾害事件结果与相对像素读出的变化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7"/>
        <w:gridCol w:w="1014"/>
        <w:gridCol w:w="1014"/>
        <w:gridCol w:w="1014"/>
        <w:gridCol w:w="1014"/>
        <w:gridCol w:w="1014"/>
        <w:gridCol w:w="1014"/>
        <w:gridCol w:w="1014"/>
      </w:tblGrid>
      <w:tr w14:paraId="5C0AE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7" w:type="dxa"/>
            <w:shd w:val="clear" w:color="auto" w:fill="E8EDF2"/>
            <w:vAlign w:val="center"/>
          </w:tcPr>
          <w:p>
            <w:pPr>
              <w:spacing w:before="20" w:after="20" w:line="252" w:lineRule="auto"/>
              <w:ind w:firstLine="0"/>
            </w:pPr>
            <w:r>
              <w:rPr>
                <w:rFonts w:ascii="Times New Roman" w:hAnsi="Times New Roman" w:eastAsia="宋体"/>
                <w:b/>
                <w:sz w:val="15"/>
              </w:rPr>
              <w:t>事件</w:t>
            </w:r>
          </w:p>
        </w:tc>
        <w:tc>
          <w:tcPr>
            <w:tcW w:w="1014" w:type="dxa"/>
            <w:shd w:val="clear" w:color="auto" w:fill="E8EDF2"/>
            <w:vAlign w:val="center"/>
          </w:tcPr>
          <w:p>
            <w:pPr>
              <w:spacing w:before="20" w:after="20" w:line="252" w:lineRule="auto"/>
              <w:ind w:firstLine="0"/>
            </w:pPr>
            <w:r>
              <w:rPr>
                <w:rFonts w:ascii="Times New Roman" w:hAnsi="Times New Roman" w:eastAsia="宋体"/>
                <w:b/>
                <w:sz w:val="15"/>
              </w:rPr>
              <w:t>DamageFormer</w:t>
            </w:r>
          </w:p>
        </w:tc>
        <w:tc>
          <w:tcPr>
            <w:tcW w:w="1014" w:type="dxa"/>
            <w:shd w:val="clear" w:color="auto" w:fill="E8EDF2"/>
            <w:vAlign w:val="center"/>
          </w:tcPr>
          <w:p>
            <w:pPr>
              <w:spacing w:before="20" w:after="20" w:line="252" w:lineRule="auto"/>
              <w:ind w:firstLine="0"/>
            </w:pPr>
            <w:r>
              <w:rPr>
                <w:rFonts w:ascii="Times New Roman" w:hAnsi="Times New Roman" w:eastAsia="宋体"/>
                <w:b/>
                <w:sz w:val="15"/>
              </w:rPr>
              <w:t>ChangeMamba</w:t>
            </w:r>
          </w:p>
        </w:tc>
        <w:tc>
          <w:tcPr>
            <w:tcW w:w="1014" w:type="dxa"/>
            <w:shd w:val="clear" w:color="auto" w:fill="E8EDF2"/>
            <w:vAlign w:val="center"/>
          </w:tcPr>
          <w:p>
            <w:pPr>
              <w:spacing w:before="20" w:after="20" w:line="252" w:lineRule="auto"/>
              <w:ind w:firstLine="0"/>
            </w:pPr>
            <w:r>
              <w:rPr>
                <w:rFonts w:ascii="Times New Roman" w:hAnsi="Times New Roman" w:eastAsia="宋体"/>
                <w:b/>
                <w:sz w:val="15"/>
              </w:rPr>
              <w:t>MPF-HA</w:t>
            </w:r>
          </w:p>
        </w:tc>
        <w:tc>
          <w:tcPr>
            <w:tcW w:w="1014" w:type="dxa"/>
            <w:shd w:val="clear" w:color="auto" w:fill="E8EDF2"/>
            <w:vAlign w:val="center"/>
          </w:tcPr>
          <w:p>
            <w:pPr>
              <w:spacing w:before="20" w:after="20" w:line="252" w:lineRule="auto"/>
              <w:ind w:firstLine="0"/>
            </w:pPr>
            <w:r>
              <w:rPr>
                <w:rFonts w:ascii="Times New Roman" w:hAnsi="Times New Roman" w:eastAsia="宋体"/>
                <w:b/>
                <w:sz w:val="15"/>
              </w:rPr>
              <w:t>Pixel–Region</w:t>
            </w:r>
          </w:p>
        </w:tc>
        <w:tc>
          <w:tcPr>
            <w:tcW w:w="1014" w:type="dxa"/>
            <w:shd w:val="clear" w:color="auto" w:fill="E8EDF2"/>
            <w:vAlign w:val="center"/>
          </w:tcPr>
          <w:p>
            <w:pPr>
              <w:spacing w:before="20" w:after="20" w:line="252" w:lineRule="auto"/>
              <w:ind w:firstLine="0"/>
            </w:pPr>
            <w:r>
              <w:rPr>
                <w:rFonts w:ascii="Times New Roman" w:hAnsi="Times New Roman" w:eastAsia="宋体"/>
                <w:b/>
                <w:sz w:val="15"/>
              </w:rPr>
              <w:t>Cosine Retrieval</w:t>
            </w:r>
          </w:p>
        </w:tc>
        <w:tc>
          <w:tcPr>
            <w:tcW w:w="1014" w:type="dxa"/>
            <w:shd w:val="clear" w:color="auto" w:fill="E8EDF2"/>
            <w:vAlign w:val="center"/>
          </w:tcPr>
          <w:p>
            <w:pPr>
              <w:spacing w:before="20" w:after="20" w:line="252" w:lineRule="auto"/>
              <w:ind w:firstLine="0"/>
            </w:pPr>
            <w:r>
              <w:rPr>
                <w:rFonts w:ascii="Times New Roman" w:hAnsi="Times New Roman" w:eastAsia="宋体"/>
                <w:b/>
                <w:sz w:val="15"/>
              </w:rPr>
              <w:t>Ours</w:t>
            </w:r>
          </w:p>
        </w:tc>
        <w:tc>
          <w:tcPr>
            <w:tcW w:w="1014" w:type="dxa"/>
            <w:shd w:val="clear" w:color="auto" w:fill="E8EDF2"/>
            <w:vAlign w:val="center"/>
          </w:tcPr>
          <w:p>
            <w:pPr>
              <w:spacing w:before="20" w:after="20" w:line="252" w:lineRule="auto"/>
              <w:ind w:firstLine="0"/>
            </w:pPr>
            <w:r>
              <w:rPr>
                <w:rFonts w:ascii="Times New Roman" w:hAnsi="Times New Roman" w:eastAsia="宋体"/>
                <w:b/>
                <w:sz w:val="15"/>
              </w:rPr>
              <w:t>Ours−MPF-HA</w:t>
            </w:r>
          </w:p>
        </w:tc>
      </w:tr>
      <w:tr w14:paraId="0631A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7" w:type="dxa"/>
            <w:vAlign w:val="center"/>
          </w:tcPr>
          <w:p>
            <w:pPr>
              <w:spacing w:before="20" w:after="20" w:line="252" w:lineRule="auto"/>
              <w:ind w:firstLine="0"/>
            </w:pPr>
            <w:r>
              <w:rPr>
                <w:rFonts w:ascii="Times New Roman" w:hAnsi="Times New Roman" w:eastAsia="宋体"/>
                <w:b w:val="0"/>
                <w:sz w:val="15"/>
              </w:rPr>
              <w:t>Beirut-EP-2020</w:t>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r>
      <w:tr w14:paraId="106C6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7" w:type="dxa"/>
            <w:vAlign w:val="center"/>
          </w:tcPr>
          <w:p>
            <w:pPr>
              <w:spacing w:before="20" w:after="20" w:line="252" w:lineRule="auto"/>
              <w:ind w:firstLine="0"/>
            </w:pPr>
            <w:r>
              <w:rPr>
                <w:rFonts w:ascii="Times New Roman" w:hAnsi="Times New Roman" w:eastAsia="宋体"/>
                <w:b w:val="0"/>
                <w:sz w:val="15"/>
              </w:rPr>
              <w:t>Bata-EP-2021</w:t>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r>
      <w:tr w14:paraId="29192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7" w:type="dxa"/>
            <w:vAlign w:val="center"/>
          </w:tcPr>
          <w:p>
            <w:pPr>
              <w:spacing w:before="20" w:after="20" w:line="252" w:lineRule="auto"/>
              <w:ind w:firstLine="0"/>
            </w:pPr>
            <w:r>
              <w:rPr>
                <w:rFonts w:ascii="Times New Roman" w:hAnsi="Times New Roman" w:eastAsia="宋体"/>
                <w:b w:val="0"/>
                <w:sz w:val="15"/>
              </w:rPr>
              <w:t>Goma-VE-2021</w:t>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r>
      <w:tr w14:paraId="44B98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7" w:type="dxa"/>
            <w:vAlign w:val="center"/>
          </w:tcPr>
          <w:p>
            <w:pPr>
              <w:spacing w:before="20" w:after="20" w:line="252" w:lineRule="auto"/>
              <w:ind w:firstLine="0"/>
            </w:pPr>
            <w:r>
              <w:rPr>
                <w:rFonts w:ascii="Times New Roman" w:hAnsi="Times New Roman" w:eastAsia="宋体"/>
                <w:b w:val="0"/>
                <w:sz w:val="15"/>
              </w:rPr>
              <w:t>Les Cayes-EQ-2021</w:t>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r>
      <w:tr w14:paraId="448C6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7" w:type="dxa"/>
            <w:vAlign w:val="center"/>
          </w:tcPr>
          <w:p>
            <w:pPr>
              <w:spacing w:before="20" w:after="20" w:line="252" w:lineRule="auto"/>
              <w:ind w:firstLine="0"/>
            </w:pPr>
            <w:r>
              <w:rPr>
                <w:rFonts w:ascii="Times New Roman" w:hAnsi="Times New Roman" w:eastAsia="宋体"/>
                <w:b w:val="0"/>
                <w:sz w:val="15"/>
              </w:rPr>
              <w:t>La Palma-VE-2021</w:t>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r>
      <w:tr w14:paraId="46908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7" w:type="dxa"/>
            <w:vAlign w:val="center"/>
          </w:tcPr>
          <w:p>
            <w:pPr>
              <w:spacing w:before="20" w:after="20" w:line="252" w:lineRule="auto"/>
              <w:ind w:firstLine="0"/>
            </w:pPr>
            <w:r>
              <w:rPr>
                <w:rFonts w:ascii="Times New Roman" w:hAnsi="Times New Roman" w:eastAsia="宋体"/>
                <w:b w:val="0"/>
                <w:sz w:val="15"/>
              </w:rPr>
              <w:t>Marshall-WF-2021</w:t>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r>
      <w:tr w14:paraId="154E7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7" w:type="dxa"/>
            <w:vAlign w:val="center"/>
          </w:tcPr>
          <w:p>
            <w:pPr>
              <w:spacing w:before="20" w:after="20" w:line="252" w:lineRule="auto"/>
              <w:ind w:firstLine="0"/>
            </w:pPr>
            <w:r>
              <w:rPr>
                <w:rFonts w:ascii="Times New Roman" w:hAnsi="Times New Roman" w:eastAsia="宋体"/>
                <w:b w:val="0"/>
                <w:sz w:val="15"/>
              </w:rPr>
              <w:t>Ukraine-AC-2022</w:t>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r>
      <w:tr w14:paraId="22707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7" w:type="dxa"/>
            <w:vAlign w:val="center"/>
          </w:tcPr>
          <w:p>
            <w:pPr>
              <w:spacing w:before="20" w:after="20" w:line="252" w:lineRule="auto"/>
              <w:ind w:firstLine="0"/>
            </w:pPr>
            <w:r>
              <w:rPr>
                <w:rFonts w:ascii="Times New Roman" w:hAnsi="Times New Roman" w:eastAsia="宋体"/>
                <w:b w:val="0"/>
                <w:sz w:val="15"/>
              </w:rPr>
              <w:t>Turkey-EQ-2023</w:t>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r>
      <w:tr w14:paraId="535D0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7" w:type="dxa"/>
            <w:vAlign w:val="center"/>
          </w:tcPr>
          <w:p>
            <w:pPr>
              <w:spacing w:before="20" w:after="20" w:line="252" w:lineRule="auto"/>
              <w:ind w:firstLine="0"/>
            </w:pPr>
            <w:r>
              <w:rPr>
                <w:rFonts w:ascii="Times New Roman" w:hAnsi="Times New Roman" w:eastAsia="宋体"/>
                <w:b w:val="0"/>
                <w:sz w:val="15"/>
              </w:rPr>
              <w:t>Kyaukpyu-CC-2023</w:t>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r>
      <w:tr w14:paraId="197F6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7" w:type="dxa"/>
            <w:vAlign w:val="center"/>
          </w:tcPr>
          <w:p>
            <w:pPr>
              <w:spacing w:before="20" w:after="20" w:line="252" w:lineRule="auto"/>
              <w:ind w:firstLine="0"/>
            </w:pPr>
            <w:r>
              <w:rPr>
                <w:rFonts w:ascii="Times New Roman" w:hAnsi="Times New Roman" w:eastAsia="宋体"/>
                <w:b w:val="0"/>
                <w:sz w:val="15"/>
              </w:rPr>
              <w:t>Hawaii-WF-2023</w:t>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r>
      <w:tr w14:paraId="4DA96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7" w:type="dxa"/>
            <w:vAlign w:val="center"/>
          </w:tcPr>
          <w:p>
            <w:pPr>
              <w:spacing w:before="20" w:after="20" w:line="252" w:lineRule="auto"/>
              <w:ind w:firstLine="0"/>
            </w:pPr>
            <w:r>
              <w:rPr>
                <w:rFonts w:ascii="Times New Roman" w:hAnsi="Times New Roman" w:eastAsia="宋体"/>
                <w:b w:val="0"/>
                <w:sz w:val="15"/>
              </w:rPr>
              <w:t>Morocco-EQ-2023</w:t>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r>
      <w:tr w14:paraId="223F6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7" w:type="dxa"/>
            <w:vAlign w:val="center"/>
          </w:tcPr>
          <w:p>
            <w:pPr>
              <w:spacing w:before="20" w:after="20" w:line="252" w:lineRule="auto"/>
              <w:ind w:firstLine="0"/>
            </w:pPr>
            <w:r>
              <w:rPr>
                <w:rFonts w:ascii="Times New Roman" w:hAnsi="Times New Roman" w:eastAsia="宋体"/>
                <w:b w:val="0"/>
                <w:sz w:val="15"/>
              </w:rPr>
              <w:t>Derna-FL-2023</w:t>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r>
      <w:tr w14:paraId="7234A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7" w:type="dxa"/>
            <w:vAlign w:val="center"/>
          </w:tcPr>
          <w:p>
            <w:pPr>
              <w:spacing w:before="20" w:after="20" w:line="252" w:lineRule="auto"/>
              <w:ind w:firstLine="0"/>
            </w:pPr>
            <w:r>
              <w:rPr>
                <w:rFonts w:ascii="Times New Roman" w:hAnsi="Times New Roman" w:eastAsia="宋体"/>
                <w:b w:val="0"/>
                <w:sz w:val="15"/>
              </w:rPr>
              <w:t>Acapulco-HC-2023</w:t>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r>
      <w:tr w14:paraId="20E41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7" w:type="dxa"/>
            <w:vAlign w:val="center"/>
          </w:tcPr>
          <w:p>
            <w:pPr>
              <w:spacing w:before="20" w:after="20" w:line="252" w:lineRule="auto"/>
              <w:ind w:firstLine="0"/>
            </w:pPr>
            <w:r>
              <w:rPr>
                <w:rFonts w:ascii="Times New Roman" w:hAnsi="Times New Roman" w:eastAsia="宋体"/>
                <w:b w:val="0"/>
                <w:sz w:val="15"/>
              </w:rPr>
              <w:t>Noto-EQ-2024</w:t>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r>
      <w:tr w14:paraId="4F6F8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7" w:type="dxa"/>
            <w:vAlign w:val="center"/>
          </w:tcPr>
          <w:p>
            <w:pPr>
              <w:spacing w:before="20" w:after="20" w:line="252" w:lineRule="auto"/>
              <w:ind w:firstLine="0"/>
            </w:pPr>
            <w:r>
              <w:rPr>
                <w:rFonts w:ascii="Times New Roman" w:hAnsi="Times New Roman" w:eastAsia="宋体"/>
                <w:b w:val="0"/>
                <w:sz w:val="15"/>
              </w:rPr>
              <w:t>事件等权平均</w:t>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r>
      <w:tr w14:paraId="31C26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7" w:type="dxa"/>
            <w:vAlign w:val="center"/>
          </w:tcPr>
          <w:p>
            <w:pPr>
              <w:spacing w:before="20" w:after="20" w:line="252" w:lineRule="auto"/>
              <w:ind w:firstLine="0"/>
            </w:pPr>
            <w:r>
              <w:rPr>
                <w:rFonts w:ascii="Times New Roman" w:hAnsi="Times New Roman" w:eastAsia="宋体"/>
                <w:b w:val="0"/>
                <w:sz w:val="15"/>
              </w:rPr>
              <w:t>全局累计结果</w:t>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r>
    </w:tbl>
    <w:p w14:paraId="73E2D84B">
      <w:pPr>
        <w:widowControl/>
      </w:pPr>
    </w:p>
    <w:p w14:paraId="5370FACA">
      <w:pPr>
        <w:widowControl/>
      </w:pPr>
      <w:r>
        <w:rPr>
          <w:rFonts w:ascii="Times New Roman" w:hAnsi="Times New Roman" w:eastAsia="宋体"/>
        </w:rPr>
        <w:t>完整模型事件等权平均为</w:t>
      </w:r>
      <w:r>
        <w:rPr>
          <w:rFonts w:ascii="Times New Roman" w:hAnsi="Times New Roman" w:eastAsia="宋体"/>
          <w:u w:val="single"/>
        </w:rPr>
        <w:t>    </w:t>
      </w:r>
      <w:r>
        <w:rPr>
          <w:rFonts w:ascii="Times New Roman" w:hAnsi="Times New Roman" w:eastAsia="宋体"/>
        </w:rPr>
        <w:t>，相对MPF-HA变化为</w:t>
      </w:r>
      <w:r>
        <w:rPr>
          <w:rFonts w:ascii="Times New Roman" w:hAnsi="Times New Roman" w:eastAsia="宋体"/>
          <w:u w:val="single"/>
        </w:rPr>
        <w:t>    </w:t>
      </w:r>
      <w:r>
        <w:rPr>
          <w:rFonts w:ascii="Times New Roman" w:hAnsi="Times New Roman" w:eastAsia="宋体"/>
        </w:rPr>
        <w:t>个百分点；提高、接近及下降的事件数量分别为</w:t>
      </w:r>
      <w:r>
        <w:rPr>
          <w:rFonts w:ascii="Times New Roman" w:hAnsi="Times New Roman" w:eastAsia="宋体"/>
          <w:u w:val="single"/>
        </w:rPr>
        <w:t>    </w:t>
      </w:r>
      <w:r>
        <w:rPr>
          <w:rFonts w:ascii="Times New Roman" w:hAnsi="Times New Roman" w:eastAsia="宋体"/>
        </w:rPr>
        <w:t>、</w:t>
      </w:r>
      <w:r>
        <w:rPr>
          <w:rFonts w:ascii="Times New Roman" w:hAnsi="Times New Roman" w:eastAsia="宋体"/>
          <w:u w:val="single"/>
        </w:rPr>
        <w:t>    </w:t>
      </w:r>
      <w:r>
        <w:rPr>
          <w:rFonts w:ascii="Times New Roman" w:hAnsi="Times New Roman" w:eastAsia="宋体"/>
        </w:rPr>
        <w:t>和</w:t>
      </w:r>
      <w:r>
        <w:rPr>
          <w:rFonts w:ascii="Times New Roman" w:hAnsi="Times New Roman" w:eastAsia="宋体"/>
          <w:u w:val="single"/>
        </w:rPr>
        <w:t>    </w:t>
      </w:r>
      <w:r>
        <w:rPr>
          <w:rFonts w:ascii="Times New Roman" w:hAnsi="Times New Roman" w:eastAsia="宋体"/>
        </w:rPr>
        <w:t>。事件差异结合建筑密度、类别组成、区域规模和支持覆盖分析；没有单独控制SAR质量时，不将事件差异直接归因于SAR成像。</w:t>
      </w:r>
    </w:p>
    <w:p w14:paraId="2EEA43BC">
      <w:pPr>
        <w:widowControl/>
      </w:pPr>
      <w:r>
        <w:rPr>
          <w:rFonts w:ascii="Times New Roman" w:hAnsi="Times New Roman" w:eastAsia="宋体"/>
        </w:rPr>
        <w:t>标准划分包含共同灾害事件，因此“支持来自其他事件”不等于“模型没有见过目标事件”。若主张未见事件泛化，须独立使用留事件协议，从MPF、区域训练、支持库、检索投影和选型中全部排除目标事件，并处理未知事件元数据。否则将结论限定为标准划分下的跨事件支持利用。</w:t>
      </w:r>
    </w:p>
    <w:p w14:paraId="74BD4B6E">
      <w:pPr>
        <w:widowControl/>
      </w:pPr>
      <w:r>
        <w:rPr>
          <w:rFonts w:ascii="Times New Roman" w:hAnsi="Times New Roman" w:eastAsia="宋体"/>
        </w:rPr>
        <w:t>图9(a)显示同一指标的事件热图，图9(b)显示Ours相对MPF-HA以及固定读取器下监督邻居相对余弦邻居的差值。事件顺序和缺失类别规则固定，给出样本数与区间；不通过色阶截断隐藏负向事件。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6"/>
      </w:tblGrid>
      <w:tr w14:paraId="423F9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trPr>
        <w:tc>
          <w:tcPr>
            <w:tcW w:w="9026" w:type="dxa"/>
          </w:tcPr>
          <w:p w14:paraId="7467A0EE"/>
        </w:tc>
      </w:tr>
    </w:tbl>
    <w:p w14:paraId="1C092074">
      <w:pPr>
        <w:pStyle w:val="15"/>
        <w:keepNext/>
      </w:pPr>
      <w:r>
        <w:rPr>
          <w:rFonts w:ascii="Times New Roman" w:hAnsi="Times New Roman" w:eastAsia="宋体"/>
        </w:rPr>
        <w:t>图9　逐事件性能与相对基础模型的配对差值</w:t>
      </w:r>
    </w:p>
    <w:p w14:paraId="454CD8C9">
      <w:pPr>
        <w:pStyle w:val="4"/>
        <w:keepNext/>
      </w:pPr>
      <w:r>
        <w:rPr>
          <w:rFonts w:ascii="Times New Roman" w:hAnsi="Times New Roman" w:eastAsia="宋体"/>
        </w:rPr>
        <w:t>G. 混淆矩阵、定性结果与错误分析</w:t>
      </w:r>
    </w:p>
    <w:p w14:paraId="49131988">
      <w:pPr>
        <w:widowControl/>
      </w:pPr>
      <w:r>
        <w:rPr>
          <w:rFonts w:ascii="Times New Roman" w:hAnsi="Times New Roman" w:eastAsia="宋体"/>
        </w:rPr>
        <w:t>图10比较同协议MPF-HA、Pixel–Region与Supervised Retrieval的四类混淆矩阵，采用行归一化展示并另存原始计数。重点检查完好与受损、受损与毁坏之间的转移，以及建筑与背景的错分。按行归一化有助于比较召回方向，类别FP与Precision仍需根据原始矩阵另算。</w:t>
      </w:r>
    </w:p>
    <w:p w14:paraId="2C37FD42">
      <w:pPr>
        <w:widowControl/>
      </w:pPr>
      <w:r>
        <w:rPr>
          <w:rFonts w:ascii="Times New Roman" w:hAnsi="Times New Roman" w:eastAsia="宋体"/>
        </w:rPr>
        <w:t>图10使用相同类别顺序、统一颜色范围及行归一化规则；每行附真实像素数。空缺类别依协议处理。当前版位不放零矩阵或示意热图，待真实混淆矩阵生成后填入。</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6"/>
      </w:tblGrid>
      <w:tr w14:paraId="18989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trPr>
        <w:tc>
          <w:tcPr>
            <w:tcW w:w="9026" w:type="dxa"/>
          </w:tcPr>
          <w:p w14:paraId="1EFFEA26"/>
        </w:tc>
      </w:tr>
    </w:tbl>
    <w:p w14:paraId="603FE065">
      <w:pPr>
        <w:pStyle w:val="15"/>
        <w:keepNext/>
      </w:pPr>
      <w:r>
        <w:rPr>
          <w:rFonts w:ascii="Times New Roman" w:hAnsi="Times New Roman" w:eastAsia="宋体"/>
        </w:rPr>
        <w:t>图10　像素、区域与完整模型的四类混淆矩阵</w:t>
      </w:r>
    </w:p>
    <w:p>
      <w:pPr>
        <w:pStyle w:val="5"/>
      </w:pPr>
      <w:r>
        <w:rPr>
          <w:rFonts w:ascii="Times New Roman" w:hAnsi="Times New Roman" w:eastAsia="宋体"/>
        </w:rPr>
        <w:t>1) 像素前端与已有模型的定性比较</w:t>
      </w:r>
    </w:p>
    <w:p>
      <w:pPr/>
      <w:r>
        <w:rPr>
          <w:rFonts w:ascii="Times New Roman" w:hAnsi="Times New Roman" w:eastAsia="宋体"/>
        </w:rPr>
        <w:t>图11–图13恢复旧稿的18个所选测试样例，保留原始RGB、SAR、GT及预测图。预测列为U-Net、DeepLabv3+、SiamAttnUNet、SiamCRNN、DamageFormer和MPF。原图末列仍印有“Ours (A1)”，本稿按旧稿定义将其解释为MPF；像素内容未作重绘或替换。这些样例用于观察像素前端的类别混淆和背景误报，不作为区域编码或检索模块的独立证据。</w:t>
      </w:r>
    </w:p>
    <w:p>
      <w:pPr/>
      <w:r>
        <w:rPr>
          <w:rFonts w:ascii="Times New Roman" w:hAnsi="Times New Roman" w:eastAsia="宋体"/>
        </w:rPr>
        <w:t>已有生成记录包含六列模型的构造参数、检查点路径及SHA256，以及18个样例的ID和裁窗坐标。MPF记录绑定best_val_miou.pth，ROI权重为0.1，MIL残差尺度为0；因此这里展示的是像素前端配置。保存的所选裁块混淆矩阵与样例标签计数及分析记录相符。当前核对范围为代码、元数据和已保存计数，尚未从原始标签PNG与GT重新执行数组验证；所选样例不代表完整测试集成绩。</w:t>
      </w:r>
    </w:p>
    <w:p>
      <w:pPr>
        <w:sectPr>
          <w:type w:val="nextPage"/>
          <w:footerReference r:id="rId5" w:type="default"/>
          <w:pgSz w:w="11906" w:h="16838"/>
          <w:pgMar w:top="1440" w:right="1440" w:bottom="1440" w:left="1440" w:header="850" w:footer="992" w:gutter="0"/>
          <w:cols w:space="720" w:num="1"/>
          <w:docGrid w:linePitch="360" w:charSpace="0"/>
        </w:sectPr>
      </w:pPr>
    </w:p>
    <w:p>
      <w:pPr>
        <w:keepNext/>
        <w:pageBreakBefore w:val="0"/>
        <w:ind w:firstLine="0"/>
        <w:jc w:val="center"/>
      </w:pPr>
      <w:r>
        <w:drawing>
          <wp:inline xmlns:a="http://schemas.openxmlformats.org/drawingml/2006/main" xmlns:pic="http://schemas.openxmlformats.org/drawingml/2006/picture">
            <wp:extent cx="8748000" cy="4583952"/>
            <wp:docPr id="7" name="Picture 7"/>
            <wp:cNvGraphicFramePr>
              <a:graphicFrameLocks noChangeAspect="1"/>
            </wp:cNvGraphicFramePr>
            <a:graphic>
              <a:graphicData uri="http://schemas.openxmlformats.org/drawingml/2006/picture">
                <pic:pic>
                  <pic:nvPicPr>
                    <pic:cNvPr id="0" name="image5.png"/>
                    <pic:cNvPicPr/>
                  </pic:nvPicPr>
                  <pic:blipFill>
                    <a:blip r:embed="rId14"/>
                    <a:stretch>
                      <a:fillRect/>
                    </a:stretch>
                  </pic:blipFill>
                  <pic:spPr>
                    <a:xfrm>
                      <a:off x="0" y="0"/>
                      <a:ext cx="8748000" cy="4583952"/>
                    </a:xfrm>
                    <a:prstGeom prst="rect"/>
                  </pic:spPr>
                </pic:pic>
              </a:graphicData>
            </a:graphic>
          </wp:inline>
        </w:drawing>
      </w:r>
    </w:p>
    <w:p>
      <w:pPr>
        <w:pStyle w:val="15"/>
        <w:keepNext/>
      </w:pPr>
      <w:r>
        <w:rPr>
          <w:rFonts w:ascii="Times New Roman" w:hAnsi="Times New Roman" w:eastAsia="宋体"/>
        </w:rPr>
        <w:t>图11　地震与冲突事件中像素前端MPF与已有模型的所选测试样例</w:t>
      </w:r>
    </w:p>
    <w:p>
      <w:pPr>
        <w:spacing w:after="0"/>
        <w:ind w:firstLine="0"/>
      </w:pPr>
      <w:r>
        <w:rPr>
          <w:rFonts w:ascii="Times New Roman" w:hAnsi="Times New Roman" w:eastAsia="宋体"/>
          <w:sz w:val="16"/>
        </w:rPr>
        <w:t>列名对应：UNet＝U-Net；DeepLabV3+＝DeepLabv3+；Ours (A1)＝MPF（像素前端），不等于完整方法Ours。白、绿、浅棕、红依次表示背景、完好、受损、毁坏。不同裁窗统一显示尺寸，不表示相同空间尺度；所选样例不是总体性能统计。</w:t>
      </w:r>
    </w:p>
    <w:p>
      <w:pPr>
        <w:keepNext/>
        <w:pageBreakBefore/>
        <w:ind w:firstLine="0"/>
        <w:jc w:val="center"/>
      </w:pPr>
      <w:r>
        <w:drawing>
          <wp:inline xmlns:a="http://schemas.openxmlformats.org/drawingml/2006/main" xmlns:pic="http://schemas.openxmlformats.org/drawingml/2006/picture">
            <wp:extent cx="8748000" cy="4583952"/>
            <wp:docPr id="8" name="Picture 8"/>
            <wp:cNvGraphicFramePr>
              <a:graphicFrameLocks noChangeAspect="1"/>
            </wp:cNvGraphicFramePr>
            <a:graphic>
              <a:graphicData uri="http://schemas.openxmlformats.org/drawingml/2006/picture">
                <pic:pic>
                  <pic:nvPicPr>
                    <pic:cNvPr id="0" name="image6.png"/>
                    <pic:cNvPicPr/>
                  </pic:nvPicPr>
                  <pic:blipFill>
                    <a:blip r:embed="rId15"/>
                    <a:stretch>
                      <a:fillRect/>
                    </a:stretch>
                  </pic:blipFill>
                  <pic:spPr>
                    <a:xfrm>
                      <a:off x="0" y="0"/>
                      <a:ext cx="8748000" cy="4583952"/>
                    </a:xfrm>
                    <a:prstGeom prst="rect"/>
                  </pic:spPr>
                </pic:pic>
              </a:graphicData>
            </a:graphic>
          </wp:inline>
        </w:drawing>
      </w:r>
    </w:p>
    <w:p>
      <w:pPr>
        <w:pStyle w:val="15"/>
        <w:keepNext/>
      </w:pPr>
      <w:r>
        <w:rPr>
          <w:rFonts w:ascii="Times New Roman" w:hAnsi="Times New Roman" w:eastAsia="宋体"/>
        </w:rPr>
        <w:t>图12　火山与山火事件中像素前端MPF与已有模型的所选测试样例</w:t>
      </w:r>
    </w:p>
    <w:p>
      <w:pPr>
        <w:spacing w:after="0"/>
        <w:ind w:firstLine="0"/>
      </w:pPr>
      <w:r>
        <w:rPr>
          <w:rFonts w:ascii="Times New Roman" w:hAnsi="Times New Roman" w:eastAsia="宋体"/>
          <w:sz w:val="16"/>
        </w:rPr>
        <w:t>列名对应：UNet＝U-Net；DeepLabV3+＝DeepLabv3+；Ours (A1)＝MPF（像素前端），不等于完整方法Ours。白、绿、浅棕、红依次表示背景、完好、受损、毁坏。不同裁窗统一显示尺寸，不表示相同空间尺度；所选样例不是总体性能统计。</w:t>
      </w:r>
    </w:p>
    <w:p>
      <w:pPr>
        <w:keepNext/>
        <w:pageBreakBefore/>
        <w:ind w:firstLine="0"/>
        <w:jc w:val="center"/>
      </w:pPr>
      <w:r>
        <w:drawing>
          <wp:inline xmlns:a="http://schemas.openxmlformats.org/drawingml/2006/main" xmlns:pic="http://schemas.openxmlformats.org/drawingml/2006/picture">
            <wp:extent cx="8748000" cy="4583952"/>
            <wp:docPr id="9" name="Picture 9"/>
            <wp:cNvGraphicFramePr>
              <a:graphicFrameLocks noChangeAspect="1"/>
            </wp:cNvGraphicFramePr>
            <a:graphic>
              <a:graphicData uri="http://schemas.openxmlformats.org/drawingml/2006/picture">
                <pic:pic>
                  <pic:nvPicPr>
                    <pic:cNvPr id="0" name="image7.png"/>
                    <pic:cNvPicPr/>
                  </pic:nvPicPr>
                  <pic:blipFill>
                    <a:blip r:embed="rId16"/>
                    <a:stretch>
                      <a:fillRect/>
                    </a:stretch>
                  </pic:blipFill>
                  <pic:spPr>
                    <a:xfrm>
                      <a:off x="0" y="0"/>
                      <a:ext cx="8748000" cy="4583952"/>
                    </a:xfrm>
                    <a:prstGeom prst="rect"/>
                  </pic:spPr>
                </pic:pic>
              </a:graphicData>
            </a:graphic>
          </wp:inline>
        </w:drawing>
      </w:r>
    </w:p>
    <w:p>
      <w:pPr>
        <w:pStyle w:val="15"/>
        <w:keepNext/>
      </w:pPr>
      <w:r>
        <w:rPr>
          <w:rFonts w:ascii="Times New Roman" w:hAnsi="Times New Roman" w:eastAsia="宋体"/>
        </w:rPr>
        <w:t>图13　飓风、洪水与爆炸事件中像素前端MPF与已有模型的所选测试样例</w:t>
      </w:r>
    </w:p>
    <w:p>
      <w:pPr>
        <w:spacing w:after="0"/>
        <w:ind w:firstLine="0"/>
      </w:pPr>
      <w:r>
        <w:rPr>
          <w:rFonts w:ascii="Times New Roman" w:hAnsi="Times New Roman" w:eastAsia="宋体"/>
          <w:sz w:val="16"/>
        </w:rPr>
        <w:t>列名对应：UNet＝U-Net；DeepLabV3+＝DeepLabv3+；Ours (A1)＝MPF（像素前端），不等于完整方法Ours。白、绿、浅棕、红依次表示背景、完好、受损、毁坏。不同裁窗统一显示尺寸，不表示相同空间尺度；所选样例不是总体性能统计。</w:t>
      </w:r>
    </w:p>
    <w:p>
      <w:pPr>
        <w:sectPr>
          <w:type w:val="nextPage"/>
          <w:footerReference r:id="rId5" w:type="default"/>
          <w:pgSz w:w="16838" w:h="11906" w:orient="landscape"/>
          <w:pgMar w:top="1440" w:right="1440" w:bottom="1440" w:left="1440" w:header="850" w:footer="992" w:gutter="0"/>
          <w:cols w:space="720" w:num="1"/>
          <w:docGrid w:linePitch="360" w:charSpace="0"/>
        </w:sectPr>
      </w:pPr>
    </w:p>
    <w:p>
      <w:pPr>
        <w:pStyle w:val="5"/>
      </w:pPr>
      <w:r>
        <w:rPr>
          <w:rFonts w:ascii="Times New Roman" w:hAnsi="Times New Roman" w:eastAsia="宋体"/>
        </w:rPr>
        <w:t>2) 完整框架与内部配置的同窗口对照</w:t>
      </w:r>
    </w:p>
    <w:p w14:paraId="222E70C4">
      <w:pPr>
        <w:widowControl/>
      </w:pPr>
      <w:r>
        <w:rPr>
          <w:rFonts w:ascii="Times New Roman" w:hAnsi="Times New Roman" w:eastAsia="宋体"/>
        </w:rPr>
        <w:t>图14保留完整框架的待填版位。在相同测试影像和窗口内并列光学、SAR、GT、MPF-HA、Pixel–Region、Parametric Support、Cosine Retrieval与Ours，并标注救回和误改。至少包含复杂边缘、受损较多、毁坏较多及完整方法下降的案例，采用统一类别颜色、SAR变换和选样规则。完整方法的像素预测必须来自其实际检查点，不能以图11–图13的MPF列改名替代。</w:t>
      </w:r>
    </w:p>
    <w:p w14:paraId="0DABF3E6">
      <w:pPr>
        <w:widowControl/>
      </w:pPr>
      <w:r>
        <w:rPr>
          <w:rFonts w:ascii="Times New Roman" w:hAnsi="Times New Roman" w:eastAsia="宋体"/>
        </w:rPr>
        <w:t>救回是对照错误且候选正确的像素，误改是对照正确且候选错误的像素。受损类救回和误改数为</w:t>
      </w:r>
      <w:r>
        <w:rPr>
          <w:rFonts w:ascii="Times New Roman" w:hAnsi="Times New Roman" w:eastAsia="宋体"/>
          <w:u w:val="single"/>
        </w:rPr>
        <w:t>    </w:t>
      </w:r>
      <w:r>
        <w:rPr>
          <w:rFonts w:ascii="Times New Roman" w:hAnsi="Times New Roman" w:eastAsia="宋体"/>
        </w:rPr>
        <w:t>与</w:t>
      </w:r>
      <w:r>
        <w:rPr>
          <w:rFonts w:ascii="Times New Roman" w:hAnsi="Times New Roman" w:eastAsia="宋体"/>
          <w:u w:val="single"/>
        </w:rPr>
        <w:t>    </w:t>
      </w:r>
      <w:r>
        <w:rPr>
          <w:rFonts w:ascii="Times New Roman" w:hAnsi="Times New Roman" w:eastAsia="宋体"/>
        </w:rPr>
        <w:t>，毁坏类为</w:t>
      </w:r>
      <w:r>
        <w:rPr>
          <w:rFonts w:ascii="Times New Roman" w:hAnsi="Times New Roman" w:eastAsia="宋体"/>
          <w:u w:val="single"/>
        </w:rPr>
        <w:t>    </w:t>
      </w:r>
      <w:r>
        <w:rPr>
          <w:rFonts w:ascii="Times New Roman" w:hAnsi="Times New Roman" w:eastAsia="宋体"/>
        </w:rPr>
        <w:t>与</w:t>
      </w:r>
      <w:r>
        <w:rPr>
          <w:rFonts w:ascii="Times New Roman" w:hAnsi="Times New Roman" w:eastAsia="宋体"/>
          <w:u w:val="single"/>
        </w:rPr>
        <w:t>    </w:t>
      </w:r>
      <w:r>
        <w:rPr>
          <w:rFonts w:ascii="Times New Roman" w:hAnsi="Times New Roman" w:eastAsia="宋体"/>
        </w:rPr>
        <w:t>；原本正确的完好像素误改数为</w:t>
      </w:r>
      <w:r>
        <w:rPr>
          <w:rFonts w:ascii="Times New Roman" w:hAnsi="Times New Roman" w:eastAsia="宋体"/>
          <w:u w:val="single"/>
        </w:rPr>
        <w:t>    </w:t>
      </w:r>
      <w:r>
        <w:rPr>
          <w:rFonts w:ascii="Times New Roman" w:hAnsi="Times New Roman" w:eastAsia="宋体"/>
        </w:rPr>
        <w:t>。数量以像素为单位，不能解释为建筑数。</w:t>
      </w:r>
    </w:p>
    <w:p w14:paraId="78C4A62F">
      <w:pPr>
        <w:widowControl/>
      </w:pPr>
      <w:r>
        <w:rPr>
          <w:rFonts w:ascii="Times New Roman" w:hAnsi="Times New Roman" w:eastAsia="宋体"/>
        </w:rPr>
        <w:t>区域连贯与建筑实例一致性分开处理。若使用真实建筑多边形或实例ID，可联合报告实例内预测一致性、等级正确率和漏检；只有语义掩膜时，连通块分析明确标为代理。仅更连贯或全部预测为背景并不能证明实例判断更好。</w:t>
      </w:r>
    </w:p>
    <w:p w14:paraId="4DF9D953">
      <w:pPr>
        <w:widowControl/>
      </w:pPr>
      <w:r>
        <w:rPr>
          <w:rFonts w:ascii="Times New Roman" w:hAnsi="Times New Roman" w:eastAsia="宋体"/>
        </w:rPr>
        <w:t>若保留图11–图13的相同裁窗，可直接复用其RGB、SAR、GT和来源匹配的外部模型列，仅补充真实内部配置及Ours预测，不必为排版重跑外部模型。若新模型采用不同裁窗，则所有列按相同坐标重新裁切。旧稿三个局部放大图另存于图件归档；其中印刷的局部分数需由原始预测与GT重新核算后使用，且不代表整个测试集增益。</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6"/>
      </w:tblGrid>
      <w:tr w14:paraId="0ADAF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trPr>
        <w:tc>
          <w:tcPr>
            <w:tcW w:w="9026" w:type="dxa"/>
          </w:tcPr>
          <w:p w14:paraId="775B710F"/>
        </w:tc>
      </w:tr>
    </w:tbl>
    <w:p w14:paraId="5EA4245F">
      <w:pPr>
        <w:pStyle w:val="15"/>
        <w:keepNext/>
      </w:pPr>
      <w:r>
        <w:rPr>
          <w:rFonts w:ascii="Times New Roman" w:hAnsi="Times New Roman" w:eastAsia="宋体"/>
        </w:rPr>
        <w:t>图14　完整框架的同窗口预测、支持证据与失败案例</w:t>
      </w:r>
    </w:p>
    <w:p w14:paraId="2B8014B2">
      <w:pPr>
        <w:pStyle w:val="4"/>
        <w:keepNext/>
      </w:pPr>
      <w:r>
        <w:rPr>
          <w:rFonts w:ascii="Times New Roman" w:hAnsi="Times New Roman" w:eastAsia="宋体"/>
        </w:rPr>
        <w:t>H. 计算开销、稳定性与结果管理</w:t>
      </w:r>
    </w:p>
    <w:p w14:paraId="61374744">
      <w:pPr>
        <w:widowControl/>
      </w:pPr>
      <w:r>
        <w:rPr>
          <w:rFonts w:ascii="Times New Roman" w:hAnsi="Times New Roman" w:eastAsia="宋体"/>
        </w:rPr>
        <w:t>表10区分一次性训练/建库成本与在线推理成本，记录总参数、可训练参数、训练时间、在线编码/检索/读取耗时、峰值显存、CPU峰值内存和支持库规模。计时使用统一硬件、线程、精度、批大小和同步方式，明确是否包括I/O及预热；不能将共享资源下的单次墙钟时间作为模型本身的固定开销。</w:t>
      </w:r>
    </w:p>
    <w:p w14:paraId="6587F01D">
      <w:pPr>
        <w:pStyle w:val="15"/>
        <w:keepNext/>
      </w:pPr>
      <w:r>
        <w:rPr>
          <w:rFonts w:ascii="Times New Roman" w:hAnsi="Times New Roman" w:eastAsia="宋体"/>
        </w:rPr>
        <w:t>表10　资源开销与支持库规模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7"/>
        <w:gridCol w:w="1014"/>
        <w:gridCol w:w="1014"/>
        <w:gridCol w:w="1014"/>
        <w:gridCol w:w="1014"/>
        <w:gridCol w:w="1014"/>
        <w:gridCol w:w="1014"/>
        <w:gridCol w:w="1014"/>
      </w:tblGrid>
      <w:tr w14:paraId="6ED90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27" w:type="dxa"/>
            <w:shd w:val="clear" w:color="auto" w:fill="E8EDF2"/>
            <w:vAlign w:val="center"/>
          </w:tcPr>
          <w:p>
            <w:pPr>
              <w:spacing w:before="20" w:after="20" w:line="252" w:lineRule="auto"/>
              <w:ind w:firstLine="0"/>
            </w:pPr>
            <w:r>
              <w:rPr>
                <w:rFonts w:ascii="Times New Roman" w:hAnsi="Times New Roman" w:eastAsia="宋体"/>
                <w:b/>
                <w:sz w:val="15"/>
              </w:rPr>
              <w:t>配置</w:t>
            </w:r>
          </w:p>
        </w:tc>
        <w:tc>
          <w:tcPr>
            <w:tcW w:w="1014" w:type="dxa"/>
            <w:shd w:val="clear" w:color="auto" w:fill="E8EDF2"/>
            <w:vAlign w:val="center"/>
          </w:tcPr>
          <w:p>
            <w:pPr>
              <w:spacing w:before="20" w:after="20" w:line="252" w:lineRule="auto"/>
              <w:ind w:firstLine="0"/>
            </w:pPr>
            <w:r>
              <w:rPr>
                <w:rFonts w:ascii="Times New Roman" w:hAnsi="Times New Roman" w:eastAsia="宋体"/>
                <w:b/>
                <w:sz w:val="15"/>
              </w:rPr>
              <w:t>总/可训练参数</w:t>
            </w:r>
          </w:p>
        </w:tc>
        <w:tc>
          <w:tcPr>
            <w:tcW w:w="1014" w:type="dxa"/>
            <w:shd w:val="clear" w:color="auto" w:fill="E8EDF2"/>
            <w:vAlign w:val="center"/>
          </w:tcPr>
          <w:p>
            <w:pPr>
              <w:spacing w:before="20" w:after="20" w:line="252" w:lineRule="auto"/>
              <w:ind w:firstLine="0"/>
            </w:pPr>
            <w:r>
              <w:rPr>
                <w:rFonts w:ascii="Times New Roman" w:hAnsi="Times New Roman" w:eastAsia="宋体"/>
                <w:b/>
                <w:sz w:val="15"/>
              </w:rPr>
              <w:t>训练/建库时间</w:t>
            </w:r>
          </w:p>
        </w:tc>
        <w:tc>
          <w:tcPr>
            <w:tcW w:w="1014" w:type="dxa"/>
            <w:shd w:val="clear" w:color="auto" w:fill="E8EDF2"/>
            <w:vAlign w:val="center"/>
          </w:tcPr>
          <w:p>
            <w:pPr>
              <w:spacing w:before="20" w:after="20" w:line="252" w:lineRule="auto"/>
              <w:ind w:firstLine="0"/>
            </w:pPr>
            <w:r>
              <w:rPr>
                <w:rFonts w:ascii="Times New Roman" w:hAnsi="Times New Roman" w:eastAsia="宋体"/>
                <w:b/>
                <w:sz w:val="15"/>
              </w:rPr>
              <w:t>编码/检索/读取时间</w:t>
            </w:r>
          </w:p>
        </w:tc>
        <w:tc>
          <w:tcPr>
            <w:tcW w:w="1014" w:type="dxa"/>
            <w:shd w:val="clear" w:color="auto" w:fill="E8EDF2"/>
            <w:vAlign w:val="center"/>
          </w:tcPr>
          <w:p>
            <w:pPr>
              <w:spacing w:before="20" w:after="20" w:line="252" w:lineRule="auto"/>
              <w:ind w:firstLine="0"/>
            </w:pPr>
            <w:r>
              <w:rPr>
                <w:rFonts w:ascii="Times New Roman" w:hAnsi="Times New Roman" w:eastAsia="宋体"/>
                <w:b/>
                <w:sz w:val="15"/>
              </w:rPr>
              <w:t>总延迟/图</w:t>
            </w:r>
          </w:p>
        </w:tc>
        <w:tc>
          <w:tcPr>
            <w:tcW w:w="1014" w:type="dxa"/>
            <w:shd w:val="clear" w:color="auto" w:fill="E8EDF2"/>
            <w:vAlign w:val="center"/>
          </w:tcPr>
          <w:p>
            <w:pPr>
              <w:spacing w:before="20" w:after="20" w:line="252" w:lineRule="auto"/>
              <w:ind w:firstLine="0"/>
            </w:pPr>
            <w:r>
              <w:rPr>
                <w:rFonts w:ascii="Times New Roman" w:hAnsi="Times New Roman" w:eastAsia="宋体"/>
                <w:b/>
                <w:sz w:val="15"/>
              </w:rPr>
              <w:t>峰值显存</w:t>
            </w:r>
          </w:p>
        </w:tc>
        <w:tc>
          <w:tcPr>
            <w:tcW w:w="1014" w:type="dxa"/>
            <w:shd w:val="clear" w:color="auto" w:fill="E8EDF2"/>
            <w:vAlign w:val="center"/>
          </w:tcPr>
          <w:p>
            <w:pPr>
              <w:spacing w:before="20" w:after="20" w:line="252" w:lineRule="auto"/>
              <w:ind w:firstLine="0"/>
            </w:pPr>
            <w:r>
              <w:rPr>
                <w:rFonts w:ascii="Times New Roman" w:hAnsi="Times New Roman" w:eastAsia="宋体"/>
                <w:b/>
                <w:sz w:val="15"/>
              </w:rPr>
              <w:t>CPU峰值内存</w:t>
            </w:r>
          </w:p>
        </w:tc>
        <w:tc>
          <w:tcPr>
            <w:tcW w:w="1014" w:type="dxa"/>
            <w:shd w:val="clear" w:color="auto" w:fill="E8EDF2"/>
            <w:vAlign w:val="center"/>
          </w:tcPr>
          <w:p>
            <w:pPr>
              <w:spacing w:before="20" w:after="20" w:line="252" w:lineRule="auto"/>
              <w:ind w:firstLine="0"/>
            </w:pPr>
            <w:r>
              <w:rPr>
                <w:rFonts w:ascii="Times New Roman" w:hAnsi="Times New Roman" w:eastAsia="宋体"/>
                <w:b/>
                <w:sz w:val="15"/>
              </w:rPr>
              <w:t>库条目/磁盘</w:t>
            </w:r>
          </w:p>
        </w:tc>
      </w:tr>
      <w:tr w14:paraId="78F47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7" w:type="dxa"/>
            <w:vAlign w:val="center"/>
          </w:tcPr>
          <w:p>
            <w:pPr>
              <w:spacing w:before="20" w:after="20" w:line="252" w:lineRule="auto"/>
              <w:ind w:firstLine="0"/>
            </w:pPr>
            <w:r>
              <w:rPr>
                <w:rFonts w:ascii="Times New Roman" w:hAnsi="Times New Roman" w:eastAsia="宋体"/>
                <w:b w:val="0"/>
                <w:sz w:val="15"/>
              </w:rPr>
              <w:t>MPF-HA</w:t>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r>
      <w:tr w14:paraId="31BAF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7" w:type="dxa"/>
            <w:vAlign w:val="center"/>
          </w:tcPr>
          <w:p>
            <w:pPr>
              <w:spacing w:before="20" w:after="20" w:line="252" w:lineRule="auto"/>
              <w:ind w:firstLine="0"/>
            </w:pPr>
            <w:r>
              <w:rPr>
                <w:rFonts w:ascii="Times New Roman" w:hAnsi="Times New Roman" w:eastAsia="宋体"/>
                <w:b w:val="0"/>
                <w:sz w:val="15"/>
              </w:rPr>
              <w:t>Pixel–Region</w:t>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r>
      <w:tr w14:paraId="17724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7" w:type="dxa"/>
            <w:vAlign w:val="center"/>
          </w:tcPr>
          <w:p>
            <w:pPr>
              <w:spacing w:before="20" w:after="20" w:line="252" w:lineRule="auto"/>
              <w:ind w:firstLine="0"/>
            </w:pPr>
            <w:r>
              <w:rPr>
                <w:rFonts w:ascii="Times New Roman" w:hAnsi="Times New Roman" w:eastAsia="宋体"/>
                <w:b w:val="0"/>
                <w:sz w:val="15"/>
              </w:rPr>
              <w:t>Parametric Support</w:t>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r>
      <w:tr w14:paraId="5D4F6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7" w:type="dxa"/>
            <w:vAlign w:val="center"/>
          </w:tcPr>
          <w:p>
            <w:pPr>
              <w:spacing w:before="20" w:after="20" w:line="252" w:lineRule="auto"/>
              <w:ind w:firstLine="0"/>
            </w:pPr>
            <w:r>
              <w:rPr>
                <w:rFonts w:ascii="Times New Roman" w:hAnsi="Times New Roman" w:eastAsia="宋体"/>
                <w:b w:val="0"/>
                <w:sz w:val="15"/>
              </w:rPr>
              <w:t>Cosine Retrieval</w:t>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r>
      <w:tr w14:paraId="15BC6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27" w:type="dxa"/>
            <w:vAlign w:val="center"/>
          </w:tcPr>
          <w:p>
            <w:pPr>
              <w:spacing w:before="20" w:after="20" w:line="252" w:lineRule="auto"/>
              <w:ind w:firstLine="0"/>
            </w:pPr>
            <w:r>
              <w:rPr>
                <w:rFonts w:ascii="Times New Roman" w:hAnsi="Times New Roman" w:eastAsia="宋体"/>
                <w:b w:val="0"/>
                <w:sz w:val="15"/>
              </w:rPr>
              <w:t>Ours</w:t>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c>
          <w:tcPr>
            <w:tcW w:w="1014" w:type="dxa"/>
            <w:vAlign w:val="center"/>
          </w:tcPr>
          <w:p>
            <w:pPr>
              <w:spacing w:before="20" w:after="20" w:line="252" w:lineRule="auto"/>
              <w:ind w:firstLine="0"/>
            </w:pPr>
            <w:r>
              <w:rPr>
                <w:rFonts w:ascii="Times New Roman" w:hAnsi="Times New Roman" w:eastAsia="宋体"/>
                <w:b w:val="0"/>
                <w:sz w:val="15"/>
              </w:rPr>
            </w:r>
          </w:p>
        </w:tc>
      </w:tr>
    </w:tbl>
    <w:p w14:paraId="7C156807">
      <w:pPr>
        <w:widowControl/>
      </w:pPr>
    </w:p>
    <w:p w14:paraId="3D4CD269">
      <w:pPr>
        <w:widowControl/>
      </w:pPr>
      <w:r>
        <w:rPr>
          <w:rFonts w:ascii="Times New Roman" w:hAnsi="Times New Roman" w:eastAsia="宋体"/>
        </w:rPr>
        <w:t>图15由表10实测绘制，分别展示准确性—延迟和库规模—内存关系；参数量、时间、显存不混用同一纵轴。一次性成本在表中单独说明。</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26"/>
      </w:tblGrid>
      <w:tr w14:paraId="3472A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trPr>
        <w:tc>
          <w:tcPr>
            <w:tcW w:w="9026" w:type="dxa"/>
          </w:tcPr>
          <w:p w14:paraId="42DDDBE7"/>
        </w:tc>
      </w:tr>
    </w:tbl>
    <w:p w14:paraId="37338734">
      <w:pPr>
        <w:pStyle w:val="15"/>
        <w:keepNext/>
      </w:pPr>
      <w:r>
        <w:rPr>
          <w:rFonts w:ascii="Times New Roman" w:hAnsi="Times New Roman" w:eastAsia="宋体"/>
        </w:rPr>
        <w:t>图15　精度与在线推理资源的关系</w:t>
      </w:r>
    </w:p>
    <w:p w14:paraId="056F596C">
      <w:pPr>
        <w:widowControl/>
      </w:pPr>
      <w:r>
        <w:rPr>
          <w:rFonts w:ascii="Times New Roman" w:hAnsi="Times New Roman" w:eastAsia="宋体"/>
        </w:rPr>
        <w:t>核心配置至少采用三个预先指定随机种子，报告均值、标准差及同种子配对差值；若只能进行单次运行，应明确单种子范围，不以微小差值作稳定性结论。数据重采样优先以事件为单位，或明确图像单位的限制；全局mIoU在重采样后累计混淆矩阵再计算。种子间波动和数据重采样区间分开解释，不把数亿像素当作独立显著性样本。</w:t>
      </w:r>
    </w:p>
    <w:p w14:paraId="10611B56">
      <w:pPr>
        <w:pStyle w:val="15"/>
        <w:keepNext/>
      </w:pPr>
      <w:r>
        <w:rPr>
          <w:rFonts w:ascii="Times New Roman" w:hAnsi="Times New Roman" w:eastAsia="宋体"/>
        </w:rPr>
        <w:t>表11　主要配置与配对差值的稳定性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1"/>
        <w:gridCol w:w="1142"/>
        <w:gridCol w:w="1142"/>
        <w:gridCol w:w="1142"/>
        <w:gridCol w:w="1142"/>
        <w:gridCol w:w="1142"/>
        <w:gridCol w:w="1142"/>
      </w:tblGrid>
      <w:tr w14:paraId="6DE96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71" w:type="dxa"/>
            <w:shd w:val="clear" w:color="auto" w:fill="E8EDF2"/>
            <w:vAlign w:val="center"/>
          </w:tcPr>
          <w:p>
            <w:pPr>
              <w:spacing w:before="20" w:after="20" w:line="252" w:lineRule="auto"/>
              <w:ind w:firstLine="0"/>
            </w:pPr>
            <w:r>
              <w:rPr>
                <w:rFonts w:ascii="Times New Roman" w:hAnsi="Times New Roman" w:eastAsia="宋体"/>
                <w:b/>
                <w:sz w:val="17"/>
              </w:rPr>
              <w:t>配置/差值</w:t>
            </w:r>
          </w:p>
        </w:tc>
        <w:tc>
          <w:tcPr>
            <w:tcW w:w="1142" w:type="dxa"/>
            <w:shd w:val="clear" w:color="auto" w:fill="E8EDF2"/>
            <w:vAlign w:val="center"/>
          </w:tcPr>
          <w:p>
            <w:pPr>
              <w:spacing w:before="20" w:after="20" w:line="252" w:lineRule="auto"/>
              <w:ind w:firstLine="0"/>
            </w:pPr>
            <w:r>
              <w:rPr>
                <w:rFonts w:ascii="Times New Roman" w:hAnsi="Times New Roman" w:eastAsia="宋体"/>
                <w:b/>
                <w:sz w:val="17"/>
              </w:rPr>
              <w:t>种子1</w:t>
            </w:r>
          </w:p>
        </w:tc>
        <w:tc>
          <w:tcPr>
            <w:tcW w:w="1142" w:type="dxa"/>
            <w:shd w:val="clear" w:color="auto" w:fill="E8EDF2"/>
            <w:vAlign w:val="center"/>
          </w:tcPr>
          <w:p>
            <w:pPr>
              <w:spacing w:before="20" w:after="20" w:line="252" w:lineRule="auto"/>
              <w:ind w:firstLine="0"/>
            </w:pPr>
            <w:r>
              <w:rPr>
                <w:rFonts w:ascii="Times New Roman" w:hAnsi="Times New Roman" w:eastAsia="宋体"/>
                <w:b/>
                <w:sz w:val="17"/>
              </w:rPr>
              <w:t>种子2</w:t>
            </w:r>
          </w:p>
        </w:tc>
        <w:tc>
          <w:tcPr>
            <w:tcW w:w="1142" w:type="dxa"/>
            <w:shd w:val="clear" w:color="auto" w:fill="E8EDF2"/>
            <w:vAlign w:val="center"/>
          </w:tcPr>
          <w:p>
            <w:pPr>
              <w:spacing w:before="20" w:after="20" w:line="252" w:lineRule="auto"/>
              <w:ind w:firstLine="0"/>
            </w:pPr>
            <w:r>
              <w:rPr>
                <w:rFonts w:ascii="Times New Roman" w:hAnsi="Times New Roman" w:eastAsia="宋体"/>
                <w:b/>
                <w:sz w:val="17"/>
              </w:rPr>
              <w:t>种子3</w:t>
            </w:r>
          </w:p>
        </w:tc>
        <w:tc>
          <w:tcPr>
            <w:tcW w:w="1142" w:type="dxa"/>
            <w:shd w:val="clear" w:color="auto" w:fill="E8EDF2"/>
            <w:vAlign w:val="center"/>
          </w:tcPr>
          <w:p>
            <w:pPr>
              <w:spacing w:before="20" w:after="20" w:line="252" w:lineRule="auto"/>
              <w:ind w:firstLine="0"/>
            </w:pPr>
            <w:r>
              <w:rPr>
                <w:rFonts w:ascii="Times New Roman" w:hAnsi="Times New Roman" w:eastAsia="宋体"/>
                <w:b/>
                <w:sz w:val="17"/>
              </w:rPr>
              <w:t>均值</w:t>
            </w:r>
          </w:p>
        </w:tc>
        <w:tc>
          <w:tcPr>
            <w:tcW w:w="1142" w:type="dxa"/>
            <w:shd w:val="clear" w:color="auto" w:fill="E8EDF2"/>
            <w:vAlign w:val="center"/>
          </w:tcPr>
          <w:p>
            <w:pPr>
              <w:spacing w:before="20" w:after="20" w:line="252" w:lineRule="auto"/>
              <w:ind w:firstLine="0"/>
            </w:pPr>
            <w:r>
              <w:rPr>
                <w:rFonts w:ascii="Times New Roman" w:hAnsi="Times New Roman" w:eastAsia="宋体"/>
                <w:b/>
                <w:sz w:val="17"/>
              </w:rPr>
              <w:t>标准差</w:t>
            </w:r>
          </w:p>
        </w:tc>
        <w:tc>
          <w:tcPr>
            <w:tcW w:w="1142" w:type="dxa"/>
            <w:shd w:val="clear" w:color="auto" w:fill="E8EDF2"/>
            <w:vAlign w:val="center"/>
          </w:tcPr>
          <w:p>
            <w:pPr>
              <w:spacing w:before="20" w:after="20" w:line="252" w:lineRule="auto"/>
              <w:ind w:firstLine="0"/>
            </w:pPr>
            <w:r>
              <w:rPr>
                <w:rFonts w:ascii="Times New Roman" w:hAnsi="Times New Roman" w:eastAsia="宋体"/>
                <w:b/>
                <w:sz w:val="17"/>
              </w:rPr>
              <w:t>事件重采样区间</w:t>
            </w:r>
          </w:p>
        </w:tc>
      </w:tr>
      <w:tr w14:paraId="2E00F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71" w:type="dxa"/>
            <w:vAlign w:val="center"/>
          </w:tcPr>
          <w:p>
            <w:pPr>
              <w:spacing w:before="20" w:after="20" w:line="252" w:lineRule="auto"/>
              <w:ind w:firstLine="0"/>
            </w:pPr>
            <w:r>
              <w:rPr>
                <w:rFonts w:ascii="Times New Roman" w:hAnsi="Times New Roman" w:eastAsia="宋体"/>
                <w:b w:val="0"/>
                <w:sz w:val="17"/>
              </w:rPr>
              <w:t>MPF-HA</w:t>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r>
      <w:tr w14:paraId="662DC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71" w:type="dxa"/>
            <w:vAlign w:val="center"/>
          </w:tcPr>
          <w:p>
            <w:pPr>
              <w:spacing w:before="20" w:after="20" w:line="252" w:lineRule="auto"/>
              <w:ind w:firstLine="0"/>
            </w:pPr>
            <w:r>
              <w:rPr>
                <w:rFonts w:ascii="Times New Roman" w:hAnsi="Times New Roman" w:eastAsia="宋体"/>
                <w:b w:val="0"/>
                <w:sz w:val="17"/>
              </w:rPr>
              <w:t>Pixel–Region</w:t>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r>
      <w:tr w14:paraId="3A884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71" w:type="dxa"/>
            <w:vAlign w:val="center"/>
          </w:tcPr>
          <w:p>
            <w:pPr>
              <w:spacing w:before="20" w:after="20" w:line="252" w:lineRule="auto"/>
              <w:ind w:firstLine="0"/>
            </w:pPr>
            <w:r>
              <w:rPr>
                <w:rFonts w:ascii="Times New Roman" w:hAnsi="Times New Roman" w:eastAsia="宋体"/>
                <w:b w:val="0"/>
                <w:sz w:val="17"/>
              </w:rPr>
              <w:t>Parametric Support</w:t>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r>
      <w:tr w14:paraId="09F73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71" w:type="dxa"/>
            <w:vAlign w:val="center"/>
          </w:tcPr>
          <w:p>
            <w:pPr>
              <w:spacing w:before="20" w:after="20" w:line="252" w:lineRule="auto"/>
              <w:ind w:firstLine="0"/>
            </w:pPr>
            <w:r>
              <w:rPr>
                <w:rFonts w:ascii="Times New Roman" w:hAnsi="Times New Roman" w:eastAsia="宋体"/>
                <w:b w:val="0"/>
                <w:sz w:val="17"/>
              </w:rPr>
              <w:t>Cosine Retrieval</w:t>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r>
      <w:tr w14:paraId="62C73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71" w:type="dxa"/>
            <w:vAlign w:val="center"/>
          </w:tcPr>
          <w:p>
            <w:pPr>
              <w:spacing w:before="20" w:after="20" w:line="252" w:lineRule="auto"/>
              <w:ind w:firstLine="0"/>
            </w:pPr>
            <w:r>
              <w:rPr>
                <w:rFonts w:ascii="Times New Roman" w:hAnsi="Times New Roman" w:eastAsia="宋体"/>
                <w:b w:val="0"/>
                <w:sz w:val="17"/>
              </w:rPr>
              <w:t>Ours</w:t>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r>
      <w:tr w14:paraId="7F858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71" w:type="dxa"/>
            <w:vAlign w:val="center"/>
          </w:tcPr>
          <w:p>
            <w:pPr>
              <w:spacing w:before="20" w:after="20" w:line="252" w:lineRule="auto"/>
              <w:ind w:firstLine="0"/>
            </w:pPr>
            <w:r>
              <w:rPr>
                <w:rFonts w:ascii="Times New Roman" w:hAnsi="Times New Roman" w:eastAsia="宋体"/>
                <w:b w:val="0"/>
                <w:sz w:val="17"/>
              </w:rPr>
              <w:t>Cosine Retrieval−Parametric Support</w:t>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r>
      <w:tr w14:paraId="5EE00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71" w:type="dxa"/>
            <w:vAlign w:val="center"/>
          </w:tcPr>
          <w:p>
            <w:pPr>
              <w:spacing w:before="20" w:after="20" w:line="252" w:lineRule="auto"/>
              <w:ind w:firstLine="0"/>
            </w:pPr>
            <w:r>
              <w:rPr>
                <w:rFonts w:ascii="Times New Roman" w:hAnsi="Times New Roman" w:eastAsia="宋体"/>
                <w:b w:val="0"/>
                <w:sz w:val="17"/>
              </w:rPr>
              <w:t>Supervised Retrieval−Cosine Retrieval</w:t>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r>
      <w:tr w14:paraId="2686B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71" w:type="dxa"/>
            <w:vAlign w:val="center"/>
          </w:tcPr>
          <w:p>
            <w:pPr>
              <w:spacing w:before="20" w:after="20" w:line="252" w:lineRule="auto"/>
              <w:ind w:firstLine="0"/>
            </w:pPr>
            <w:r>
              <w:rPr>
                <w:rFonts w:ascii="Times New Roman" w:hAnsi="Times New Roman" w:eastAsia="宋体"/>
                <w:b w:val="0"/>
                <w:sz w:val="17"/>
              </w:rPr>
              <w:t>监督邻居−余弦邻居</w:t>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c>
          <w:tcPr>
            <w:tcW w:w="1142" w:type="dxa"/>
            <w:vAlign w:val="center"/>
          </w:tcPr>
          <w:p>
            <w:pPr>
              <w:spacing w:before="20" w:after="20" w:line="252" w:lineRule="auto"/>
              <w:ind w:firstLine="0"/>
            </w:pPr>
            <w:r>
              <w:rPr>
                <w:rFonts w:ascii="Times New Roman" w:hAnsi="Times New Roman" w:eastAsia="宋体"/>
                <w:b w:val="0"/>
                <w:sz w:val="17"/>
              </w:rPr>
            </w:r>
          </w:p>
        </w:tc>
      </w:tr>
    </w:tbl>
    <w:p w14:paraId="0A6390CF">
      <w:pPr>
        <w:widowControl/>
      </w:pPr>
    </w:p>
    <w:p w14:paraId="7960EF81">
      <w:pPr>
        <w:widowControl/>
      </w:pPr>
      <w:r>
        <w:rPr>
          <w:rFonts w:ascii="Times New Roman" w:hAnsi="Times New Roman" w:eastAsia="宋体"/>
        </w:rPr>
        <w:t>每个实验以配置、代码提交、检查点清单、划分及库校验、全局/逐类/逐事件原始矩阵、检索诊断、训练摘要和资源记录共同绑定。图表从同一份结果文件生成，不手动拼接不同模型版本。完整预测在结果核对前保留；磁盘有限时优先保留原始计数、身份索引与代表性配对图，并在确认不再依赖后归档大数组。</w:t>
      </w:r>
    </w:p>
    <w:p w14:paraId="1E3B39DB">
      <w:pPr>
        <w:pStyle w:val="3"/>
        <w:keepNext/>
      </w:pPr>
      <w:r>
        <w:rPr>
          <w:rFonts w:ascii="Times New Roman" w:hAnsi="Times New Roman" w:eastAsia="宋体"/>
        </w:rPr>
        <w:t>V. 结论</w:t>
      </w:r>
    </w:p>
    <w:p w14:paraId="79727B30">
      <w:pPr>
        <w:widowControl/>
      </w:pPr>
      <w:r>
        <w:rPr>
          <w:rFonts w:ascii="Times New Roman" w:hAnsi="Times New Roman" w:eastAsia="宋体"/>
        </w:rPr>
        <w:t>本文按区域成员、区域内容和历史支持选择构建光学–SAR建筑损毁评估框架。预测建筑概率软约束区域归属，分区状态条件化融合内容，跨事件类别关系调整Train支持排序；增强区域特征经同一Q回投，与保留的像素路径联合预测。实验通过二因素结构对照、固定Q内容消融、真实/参数化支持及固定Reader排序替换，分别检验各环节及其相互作用。</w:t>
      </w:r>
    </w:p>
    <w:p w14:paraId="086530E0">
      <w:pPr>
        <w:widowControl/>
      </w:pPr>
      <w:r>
        <w:rPr>
          <w:rFonts w:ascii="Times New Roman" w:hAnsi="Times New Roman" w:eastAsia="宋体"/>
        </w:rPr>
        <w:t>完整模型的四类mIoU为</w:t>
      </w:r>
      <w:r>
        <w:rPr>
          <w:rFonts w:ascii="Times New Roman" w:hAnsi="Times New Roman" w:eastAsia="宋体"/>
          <w:u w:val="single"/>
        </w:rPr>
        <w:t>    </w:t>
      </w:r>
      <w:r>
        <w:rPr>
          <w:rFonts w:ascii="Times New Roman" w:hAnsi="Times New Roman" w:eastAsia="宋体"/>
        </w:rPr>
        <w:t>，前景mIoU为</w:t>
      </w:r>
      <w:r>
        <w:rPr>
          <w:rFonts w:ascii="Times New Roman" w:hAnsi="Times New Roman" w:eastAsia="宋体"/>
          <w:u w:val="single"/>
        </w:rPr>
        <w:t>    </w:t>
      </w:r>
      <w:r>
        <w:rPr>
          <w:rFonts w:ascii="Times New Roman" w:hAnsi="Times New Roman" w:eastAsia="宋体"/>
        </w:rPr>
        <w:t>，事件等权平均为</w:t>
      </w:r>
      <w:r>
        <w:rPr>
          <w:rFonts w:ascii="Times New Roman" w:hAnsi="Times New Roman" w:eastAsia="宋体"/>
          <w:u w:val="single"/>
        </w:rPr>
        <w:t>    </w:t>
      </w:r>
      <w:r>
        <w:rPr>
          <w:rFonts w:ascii="Times New Roman" w:hAnsi="Times New Roman" w:eastAsia="宋体"/>
        </w:rPr>
        <w:t>；相对匹配像素基线的变化为</w:t>
      </w:r>
      <w:r>
        <w:rPr>
          <w:rFonts w:ascii="Times New Roman" w:hAnsi="Times New Roman" w:eastAsia="宋体"/>
          <w:u w:val="single"/>
        </w:rPr>
        <w:t>    </w:t>
      </w:r>
      <w:r>
        <w:rPr>
          <w:rFonts w:ascii="Times New Roman" w:hAnsi="Times New Roman" w:eastAsia="宋体"/>
        </w:rPr>
        <w:t>个百分点。上述空白与摘要、表2、表9及稳定性记录使用同一结果来源回填，是否保留某项有效性主张由对应对照决定。</w:t>
      </w:r>
    </w:p>
    <w:p w14:paraId="015BFB8D">
      <w:pPr>
        <w:widowControl/>
      </w:pPr>
      <w:r>
        <w:rPr>
          <w:rFonts w:ascii="Times New Roman" w:hAnsi="Times New Roman" w:eastAsia="宋体"/>
        </w:rPr>
        <w:t>方法仍受预测建筑概率、区域混合、基础融合表征和支持覆盖限制。历史案例提供训练经验而非当前场景的新观测，跨事件支持不保证事件不变或未见灾害泛化，软区域也不自动等于建筑实例。若某项条件或检索改动没有稳定增量，应缩小贡献或简化框架，并如实说明失败条件。</w:t>
      </w:r>
    </w:p>
    <w:p w14:paraId="297C1154">
      <w:pPr>
        <w:pStyle w:val="3"/>
        <w:keepNext/>
        <w:pageBreakBefore/>
        <w:rPr>
          <w:rFonts w:hint="eastAsia" w:ascii="宋体" w:hAnsi="宋体" w:eastAsia="宋体" w:cs="宋体"/>
        </w:rPr>
      </w:pPr>
      <w:r>
        <w:rPr>
          <w:rFonts w:hint="eastAsia" w:ascii="宋体" w:hAnsi="宋体" w:eastAsia="宋体" w:cs="宋体"/>
        </w:rPr>
        <w:t>参考文献</w:t>
      </w:r>
    </w:p>
    <w:p w14:paraId="1AA9C3FD">
      <w:pPr>
        <w:pStyle w:val="165"/>
        <w:rPr>
          <w:rFonts w:hint="eastAsia" w:ascii="宋体" w:hAnsi="宋体" w:eastAsia="宋体" w:cs="宋体"/>
        </w:rPr>
      </w:pPr>
      <w:r>
        <w:rPr>
          <w:rFonts w:hint="eastAsia" w:ascii="宋体" w:hAnsi="宋体" w:eastAsia="宋体" w:cs="宋体"/>
        </w:rPr>
        <w:t>[1] Ritwik Gupta, Bryce Goodman, Nirav Patel, et al. Creating xBD: A Dataset for Assessing Building Damage from Satellite Imagery. CVPR Workshops, 2019.</w:t>
      </w:r>
    </w:p>
    <w:p w14:paraId="09CEA317">
      <w:pPr>
        <w:pStyle w:val="165"/>
        <w:rPr>
          <w:rFonts w:hint="eastAsia" w:ascii="宋体" w:hAnsi="宋体" w:eastAsia="宋体" w:cs="宋体"/>
        </w:rPr>
      </w:pPr>
      <w:r>
        <w:rPr>
          <w:rFonts w:hint="eastAsia" w:ascii="宋体" w:hAnsi="宋体" w:eastAsia="宋体" w:cs="宋体"/>
        </w:rPr>
        <w:t>[2] Hongruixuan Chen, Jian Song, Olivier Dietrich, et al. BRIGHT: a globally distributed multimodal building damage assessment dataset with very-high-resolution for all-weather disaster response. Earth System Science Data, 17: 6217–6253, 2025.</w:t>
      </w:r>
    </w:p>
    <w:p w14:paraId="5D52BC6E">
      <w:pPr>
        <w:pStyle w:val="165"/>
        <w:rPr>
          <w:rFonts w:hint="eastAsia" w:ascii="宋体" w:hAnsi="宋体" w:eastAsia="宋体" w:cs="宋体"/>
        </w:rPr>
      </w:pPr>
      <w:r>
        <w:rPr>
          <w:rFonts w:hint="eastAsia" w:ascii="宋体" w:hAnsi="宋体" w:eastAsia="宋体" w:cs="宋体"/>
        </w:rPr>
        <w:t>[3] Zhuo Zheng, Yanfei Zhong, Junjue Wang, et al. Building damage assessment for rapid disaster response with a deep object-based semantic change detection framework: From natural disasters to man-made disasters. Remote Sensing of Environment, 265: 112636, 2021.</w:t>
      </w:r>
    </w:p>
    <w:p w14:paraId="30C99565">
      <w:pPr>
        <w:pStyle w:val="165"/>
        <w:rPr>
          <w:rFonts w:hint="eastAsia" w:ascii="宋体" w:hAnsi="宋体" w:eastAsia="宋体" w:cs="宋体"/>
        </w:rPr>
      </w:pPr>
      <w:r>
        <w:rPr>
          <w:rFonts w:hint="eastAsia" w:ascii="宋体" w:hAnsi="宋体" w:eastAsia="宋体" w:cs="宋体"/>
        </w:rPr>
        <w:t>[4] Varun Jampani, Deqing Sun, Ming-Yu Liu, et al. Superpixel Sampling Networks. ECCV, 2018.</w:t>
      </w:r>
    </w:p>
    <w:p w14:paraId="03EEADCC">
      <w:pPr>
        <w:pStyle w:val="165"/>
        <w:rPr>
          <w:rFonts w:hint="eastAsia" w:ascii="宋体" w:hAnsi="宋体" w:eastAsia="宋体" w:cs="宋体"/>
        </w:rPr>
      </w:pPr>
      <w:r>
        <w:rPr>
          <w:rFonts w:hint="eastAsia" w:ascii="宋体" w:hAnsi="宋体" w:eastAsia="宋体" w:cs="宋体"/>
        </w:rPr>
        <w:t>[5] Yuhui Yuan, Xilin Chen, Jingdong Wang. Object-Contextual Representations for Semantic Segmentation. ECCV, 2020.</w:t>
      </w:r>
    </w:p>
    <w:p w14:paraId="2F8F2AA5">
      <w:pPr>
        <w:pStyle w:val="165"/>
        <w:rPr>
          <w:rFonts w:hint="eastAsia" w:ascii="宋体" w:hAnsi="宋体" w:eastAsia="宋体" w:cs="宋体"/>
        </w:rPr>
      </w:pPr>
      <w:r>
        <w:rPr>
          <w:rFonts w:hint="eastAsia" w:ascii="宋体" w:hAnsi="宋体" w:eastAsia="宋体" w:cs="宋体"/>
        </w:rPr>
        <w:t>[6] Hongruixuan Chen, Edoardo Nemni, Sofia Vallecorsa, et al. Dual-Tasks Siamese Transformer Framework for Building Damage Assessment. IGARSS, 2022.</w:t>
      </w:r>
    </w:p>
    <w:p w14:paraId="09984AD1">
      <w:pPr>
        <w:pStyle w:val="165"/>
        <w:rPr>
          <w:rFonts w:hint="eastAsia" w:ascii="宋体" w:hAnsi="宋体" w:eastAsia="宋体" w:cs="宋体"/>
        </w:rPr>
      </w:pPr>
      <w:r>
        <w:rPr>
          <w:rFonts w:hint="eastAsia" w:ascii="宋体" w:hAnsi="宋体" w:eastAsia="宋体" w:cs="宋体"/>
        </w:rPr>
        <w:t>[7] Hongruixuan Chen, Jian Song, Chengxi Han, et al. ChangeMamba: Remote Sensing Change Detection With Spatiotemporal State Space Model. IEEE Transactions on Geoscience and Remote Sensing, 62: 4409720, 2024.</w:t>
      </w:r>
    </w:p>
    <w:p w14:paraId="671E99EF">
      <w:pPr>
        <w:pStyle w:val="165"/>
        <w:rPr>
          <w:rFonts w:hint="eastAsia" w:ascii="宋体" w:hAnsi="宋体" w:eastAsia="宋体" w:cs="宋体"/>
        </w:rPr>
      </w:pPr>
      <w:r>
        <w:rPr>
          <w:rFonts w:hint="eastAsia" w:ascii="宋体" w:hAnsi="宋体" w:eastAsia="宋体" w:cs="宋体"/>
        </w:rPr>
        <w:t>[8] Rongping Zhu, Xiaoji Lan. Multimodal Building Damage Assessment Method Fusing Adaptive Attention Mechanism and State-Space Modeling. Sensors, 26(2): 638, 2026.</w:t>
      </w:r>
    </w:p>
    <w:p w14:paraId="669722BF">
      <w:pPr>
        <w:pStyle w:val="165"/>
        <w:rPr>
          <w:rFonts w:hint="eastAsia" w:ascii="宋体" w:hAnsi="宋体" w:eastAsia="宋体" w:cs="宋体"/>
        </w:rPr>
      </w:pPr>
      <w:r>
        <w:rPr>
          <w:rFonts w:hint="eastAsia" w:ascii="宋体" w:hAnsi="宋体" w:eastAsia="宋体" w:cs="宋体"/>
        </w:rPr>
        <w:t>[9] Radhakrishna Achanta, Appu Shaji, Kevin Smith, et al. SLIC Superpixels Compared to State-of-the-Art Superpixel Methods. IEEE Transactions on Pattern Analysis and Machine Intelligence, 34(11): 2274–2282, 2012.</w:t>
      </w:r>
    </w:p>
    <w:p w14:paraId="3D264EA5">
      <w:pPr>
        <w:pStyle w:val="165"/>
        <w:rPr>
          <w:rFonts w:hint="eastAsia" w:ascii="宋体" w:hAnsi="宋体" w:eastAsia="宋体" w:cs="宋体"/>
        </w:rPr>
      </w:pPr>
      <w:r>
        <w:rPr>
          <w:rFonts w:hint="eastAsia" w:ascii="宋体" w:hAnsi="宋体" w:eastAsia="宋体" w:cs="宋体"/>
        </w:rPr>
        <w:t>[10] Fengting Yang, Qian Sun, Hailin Jin, et al. Superpixel Segmentation With Fully Convolutional Networks. CVPR, 2020.</w:t>
      </w:r>
    </w:p>
    <w:p w14:paraId="72F5E359">
      <w:pPr>
        <w:pStyle w:val="165"/>
        <w:rPr>
          <w:rFonts w:hint="eastAsia" w:ascii="宋体" w:hAnsi="宋体" w:eastAsia="宋体" w:cs="宋体"/>
        </w:rPr>
      </w:pPr>
      <w:r>
        <w:rPr>
          <w:rFonts w:hint="eastAsia" w:ascii="宋体" w:hAnsi="宋体" w:eastAsia="宋体" w:cs="宋体"/>
        </w:rPr>
        <w:t>[11] Alex Zihao Zhu, Jieru Mei, Siyuan Qiao, et al. Superpixel Transformers for Efficient Semantic Segmentation. IROS, 2023.</w:t>
      </w:r>
    </w:p>
    <w:p w14:paraId="44C41D55">
      <w:pPr>
        <w:pStyle w:val="165"/>
        <w:rPr>
          <w:rFonts w:hint="eastAsia" w:ascii="宋体" w:hAnsi="宋体" w:eastAsia="宋体" w:cs="宋体"/>
        </w:rPr>
      </w:pPr>
      <w:r>
        <w:rPr>
          <w:rFonts w:hint="eastAsia" w:ascii="宋体" w:hAnsi="宋体" w:eastAsia="宋体" w:cs="宋体"/>
        </w:rPr>
        <w:t>[12] Koji Okabe, Takafumi Koshinaka, Koichi Shinoda. Attentive Statistics Pooling for Deep Speaker Embedding. Interspeech, 2018.</w:t>
      </w:r>
    </w:p>
    <w:p w14:paraId="15CA0064">
      <w:pPr>
        <w:pStyle w:val="165"/>
        <w:rPr>
          <w:rFonts w:hint="eastAsia" w:ascii="宋体" w:hAnsi="宋体" w:eastAsia="宋体" w:cs="宋体"/>
        </w:rPr>
      </w:pPr>
      <w:r>
        <w:rPr>
          <w:rFonts w:hint="eastAsia" w:ascii="宋体" w:hAnsi="宋体" w:eastAsia="宋体" w:cs="宋体"/>
        </w:rPr>
        <w:t>[13] Wenguan Wang, Tianfei Zhou, Fisher Yu, et al. Exploring Cross-Image Pixel Contrast for Semantic Segmentation. ICCV, 2021.</w:t>
      </w:r>
    </w:p>
    <w:p w14:paraId="35AF3D8D">
      <w:pPr>
        <w:pStyle w:val="165"/>
        <w:rPr>
          <w:rFonts w:hint="eastAsia" w:ascii="宋体" w:hAnsi="宋体" w:eastAsia="宋体" w:cs="宋体"/>
        </w:rPr>
      </w:pPr>
      <w:r>
        <w:rPr>
          <w:rFonts w:hint="eastAsia" w:ascii="宋体" w:hAnsi="宋体" w:eastAsia="宋体" w:cs="宋体"/>
        </w:rPr>
        <w:t>[14] Tianfei Zhou, Wenguan Wang, Ender Konukoglu, et al. Rethinking Semantic Segmentation: A Prototype View. CVPR, 2022.</w:t>
      </w:r>
    </w:p>
    <w:p w14:paraId="7727F065">
      <w:pPr>
        <w:pStyle w:val="165"/>
        <w:rPr>
          <w:rFonts w:hint="eastAsia" w:ascii="宋体" w:hAnsi="宋体" w:eastAsia="宋体" w:cs="宋体"/>
        </w:rPr>
      </w:pPr>
      <w:r>
        <w:rPr>
          <w:rFonts w:hint="eastAsia" w:ascii="宋体" w:hAnsi="宋体" w:eastAsia="宋体" w:cs="宋体"/>
        </w:rPr>
        <w:t>[15] Renrui Zhang, Wei Zhang, Rongyao Fang, et al. Tip-Adapter: Training-Free Adaption of CLIP for Few-Shot Classification. ECCV, 2022.</w:t>
      </w:r>
    </w:p>
    <w:p w14:paraId="3842A786">
      <w:pPr>
        <w:pStyle w:val="165"/>
        <w:rPr>
          <w:rFonts w:hint="eastAsia" w:ascii="宋体" w:hAnsi="宋体" w:eastAsia="宋体" w:cs="宋体"/>
        </w:rPr>
      </w:pPr>
      <w:r>
        <w:rPr>
          <w:rFonts w:hint="eastAsia" w:ascii="宋体" w:hAnsi="宋体" w:eastAsia="宋体" w:cs="宋体"/>
        </w:rPr>
        <w:t>[16] Alexander Long, Wei Yin, Thalaiyasingam Ajanthan, et al. Retrieval Augmented Classification for Long-Tail Visual Recognition. CVPR, 2022.</w:t>
      </w:r>
    </w:p>
    <w:p w14:paraId="49C52503">
      <w:pPr>
        <w:pStyle w:val="165"/>
        <w:rPr>
          <w:rFonts w:hint="eastAsia" w:ascii="宋体" w:hAnsi="宋体" w:eastAsia="宋体" w:cs="宋体"/>
        </w:rPr>
      </w:pPr>
      <w:r>
        <w:rPr>
          <w:rFonts w:hint="eastAsia" w:ascii="宋体" w:hAnsi="宋体" w:eastAsia="宋体" w:cs="宋体"/>
        </w:rPr>
        <w:t>[17] Prannay Khosla, Piotr Teterwak, Chen Wang, et al. Supervised Contrastive Learning. NeurIPS, 2020.</w:t>
      </w:r>
    </w:p>
    <w:p w14:paraId="69F32808">
      <w:pPr>
        <w:pStyle w:val="165"/>
        <w:rPr>
          <w:rFonts w:hint="eastAsia" w:ascii="宋体" w:hAnsi="宋体" w:eastAsia="宋体" w:cs="宋体"/>
        </w:rPr>
      </w:pPr>
      <w:r>
        <w:rPr>
          <w:rFonts w:hint="eastAsia" w:ascii="宋体" w:hAnsi="宋体" w:eastAsia="宋体" w:cs="宋体"/>
        </w:rPr>
        <w:t>[18] Ze Liu, Yutong Lin, Yue Cao, et al. Swin Transformer: Hierarchical Vision Transformer Using Shifted Windows. ICCV, 2021.</w:t>
      </w:r>
    </w:p>
    <w:p w14:paraId="2EBA8BF9">
      <w:pPr>
        <w:pStyle w:val="165"/>
        <w:rPr>
          <w:rFonts w:hint="eastAsia" w:ascii="宋体" w:hAnsi="宋体" w:eastAsia="宋体" w:cs="宋体"/>
        </w:rPr>
      </w:pPr>
      <w:r>
        <w:rPr>
          <w:rFonts w:hint="eastAsia" w:ascii="宋体" w:hAnsi="宋体" w:eastAsia="宋体" w:cs="宋体"/>
        </w:rPr>
        <w:t>[19] Maxim Berman, Amal Rannen Triki, Matthew B. Blaschko. The Lovász-Softmax Loss: A Tractable Surrogate for the Optimization of the Intersection-Over-Union Measure in Neural Networks. CVPR, 2018.</w:t>
      </w:r>
    </w:p>
    <w:p w14:paraId="101351B2">
      <w:pPr>
        <w:pStyle w:val="165"/>
      </w:pPr>
      <w:r>
        <w:t>[20] Superpixel Anything: A general object-based framework for accurate yet regular superpixel segmentation. BMVC, 2025. 官方代码：https://github.com/waldo-j/spam 。</w:t>
      </w:r>
    </w:p>
    <w:p w14:paraId="065E3E7D">
      <w:pPr>
        <w:pStyle w:val="165"/>
      </w:pPr>
      <w:r>
        <w:t>[21] Ethan Perez, Florian Strub, Harm de Vries, et al. FiLM: Visual Reasoning with a General Conditioning Layer. AAAI, 2018. 官方代码：https://github.com/ethanjperez/film 。</w:t>
      </w:r>
    </w:p>
    <w:p w14:paraId="3B556AAF">
      <w:pPr>
        <w:pStyle w:val="165"/>
      </w:pPr>
    </w:p>
    <w:p>
      <w:pPr>
        <w:pStyle w:val="165"/>
      </w:pPr>
      <w:r>
        <w:t>[22] Siheng Ning, Yuan Li, Xiaodan Zhang, Jianbin Jiao. SRAC: Superpixel Retrieval-Augmented Classification for Multi-Modal Disaster Building Damage Assessment. IGARSS, 2026, paper MOP2.PA.4（会议目录信息；卷页及DOI待正式书目核对）.</w:t>
      </w:r>
    </w:p>
    <w:p>
      <w:pPr>
        <w:pStyle w:val="3"/>
      </w:pPr>
      <w:r>
        <w:t>附录A　模型名称与图表对应</w:t>
      </w:r>
    </w:p>
    <w:p>
      <w:pPr/>
      <w:r>
        <w:t>短标签描述计算配置，历史编号仅用于寻找代码和日志。MPF-HA的HA仅指分类头适配，不表示整个前端微调；两种真实检索都排除同事件，区别是是否利用跨事件类别监督学习排序。Ours专指完整方法，不再泛指任意本文模型。</w:t>
      </w:r>
    </w:p>
    <w:tbl>
      <w:tblPr>
        <w:tblStyle w:val="33"/>
        <w:tblW w:type="auto" w:w="0"/>
        <w:jc w:val="center"/>
        <w:tblLayout w:type="fixed"/>
        <w:tblLook w:firstColumn="1" w:firstRow="1" w:lastColumn="0" w:lastRow="0" w:noHBand="0" w:noVBand="1" w:val="04A0"/>
      </w:tblPr>
      <w:tblGrid>
        <w:gridCol w:w="903"/>
        <w:gridCol w:w="1934"/>
        <w:gridCol w:w="2063"/>
        <w:gridCol w:w="4126"/>
      </w:tblGrid>
      <w:tr>
        <w:trPr>
          <w:cantSplit/>
          <w:tblHeader/>
        </w:trPr>
        <w:tc>
          <w:tcPr>
            <w:tcW w:type="dxa" w:w="903"/>
            <w:vAlign w:val="center"/>
          </w:tcPr>
          <w:p>
            <w:pPr>
              <w:spacing w:before="20" w:after="20" w:line="252" w:lineRule="auto"/>
              <w:ind w:firstLine="0"/>
            </w:pPr>
            <w:r>
              <w:rPr>
                <w:rFonts w:ascii="Times New Roman" w:hAnsi="Times New Roman" w:eastAsia="宋体"/>
                <w:b/>
                <w:sz w:val="17"/>
              </w:rPr>
              <w:t>历史编号</w:t>
            </w:r>
          </w:p>
        </w:tc>
        <w:tc>
          <w:tcPr>
            <w:tcW w:type="dxa" w:w="1934"/>
            <w:vAlign w:val="center"/>
          </w:tcPr>
          <w:p>
            <w:pPr>
              <w:spacing w:before="20" w:after="20" w:line="252" w:lineRule="auto"/>
              <w:ind w:firstLine="0"/>
            </w:pPr>
            <w:r>
              <w:rPr>
                <w:rFonts w:ascii="Times New Roman" w:hAnsi="Times New Roman" w:eastAsia="宋体"/>
                <w:b/>
                <w:sz w:val="17"/>
              </w:rPr>
              <w:t>表内标签</w:t>
            </w:r>
          </w:p>
        </w:tc>
        <w:tc>
          <w:tcPr>
            <w:tcW w:type="dxa" w:w="2063"/>
            <w:vAlign w:val="center"/>
          </w:tcPr>
          <w:p>
            <w:pPr>
              <w:spacing w:before="20" w:after="20" w:line="252" w:lineRule="auto"/>
              <w:ind w:firstLine="0"/>
            </w:pPr>
            <w:r>
              <w:rPr>
                <w:rFonts w:ascii="Times New Roman" w:hAnsi="Times New Roman" w:eastAsia="宋体"/>
                <w:b/>
                <w:sz w:val="17"/>
              </w:rPr>
              <w:t>中文含义</w:t>
            </w:r>
          </w:p>
        </w:tc>
        <w:tc>
          <w:tcPr>
            <w:tcW w:type="dxa" w:w="4126"/>
            <w:vAlign w:val="center"/>
          </w:tcPr>
          <w:p>
            <w:pPr>
              <w:spacing w:before="20" w:after="20" w:line="252" w:lineRule="auto"/>
              <w:ind w:firstLine="0"/>
            </w:pPr>
            <w:r>
              <w:rPr>
                <w:rFonts w:ascii="Times New Roman" w:hAnsi="Times New Roman" w:eastAsia="宋体"/>
                <w:b/>
                <w:sz w:val="17"/>
              </w:rPr>
              <w:t>实际区别</w:t>
            </w:r>
          </w:p>
        </w:tc>
      </w:tr>
      <w:tr>
        <w:trPr>
          <w:cantSplit/>
        </w:trPr>
        <w:tc>
          <w:tcPr>
            <w:tcW w:type="dxa" w:w="903"/>
            <w:vAlign w:val="center"/>
          </w:tcPr>
          <w:p>
            <w:pPr>
              <w:spacing w:before="20" w:after="20" w:line="252" w:lineRule="auto"/>
              <w:ind w:firstLine="0"/>
            </w:pPr>
            <w:r>
              <w:rPr>
                <w:rFonts w:ascii="Times New Roman" w:hAnsi="Times New Roman" w:eastAsia="宋体"/>
                <w:b w:val="0"/>
                <w:sz w:val="17"/>
              </w:rPr>
              <w:t>A1</w:t>
            </w:r>
          </w:p>
        </w:tc>
        <w:tc>
          <w:tcPr>
            <w:tcW w:type="dxa" w:w="1934"/>
            <w:vAlign w:val="center"/>
          </w:tcPr>
          <w:p>
            <w:pPr>
              <w:spacing w:before="20" w:after="20" w:line="252" w:lineRule="auto"/>
              <w:ind w:firstLine="0"/>
            </w:pPr>
            <w:r>
              <w:rPr>
                <w:rFonts w:ascii="Times New Roman" w:hAnsi="Times New Roman" w:eastAsia="宋体"/>
                <w:b w:val="0"/>
                <w:sz w:val="17"/>
              </w:rPr>
              <w:t>MPF</w:t>
            </w:r>
          </w:p>
        </w:tc>
        <w:tc>
          <w:tcPr>
            <w:tcW w:type="dxa" w:w="2063"/>
            <w:vAlign w:val="center"/>
          </w:tcPr>
          <w:p>
            <w:pPr>
              <w:spacing w:before="20" w:after="20" w:line="252" w:lineRule="auto"/>
              <w:ind w:firstLine="0"/>
            </w:pPr>
            <w:r>
              <w:rPr>
                <w:rFonts w:ascii="Times New Roman" w:hAnsi="Times New Roman" w:eastAsia="宋体"/>
                <w:b w:val="0"/>
                <w:sz w:val="17"/>
              </w:rPr>
              <w:t>多模态像素前端</w:t>
            </w:r>
          </w:p>
        </w:tc>
        <w:tc>
          <w:tcPr>
            <w:tcW w:type="dxa" w:w="4126"/>
            <w:vAlign w:val="center"/>
          </w:tcPr>
          <w:p>
            <w:pPr>
              <w:spacing w:before="20" w:after="20" w:line="252" w:lineRule="auto"/>
              <w:ind w:firstLine="0"/>
            </w:pPr>
            <w:r>
              <w:rPr>
                <w:rFonts w:ascii="Times New Roman" w:hAnsi="Times New Roman" w:eastAsia="宋体"/>
                <w:b w:val="0"/>
                <w:sz w:val="17"/>
              </w:rPr>
              <w:t>直接评价既有像素分类器；不等于完整检索框架</w:t>
            </w:r>
          </w:p>
        </w:tc>
      </w:tr>
      <w:tr>
        <w:trPr>
          <w:cantSplit/>
        </w:trPr>
        <w:tc>
          <w:tcPr>
            <w:tcW w:type="dxa" w:w="903"/>
            <w:vAlign w:val="center"/>
          </w:tcPr>
          <w:p>
            <w:pPr>
              <w:spacing w:before="20" w:after="20" w:line="252" w:lineRule="auto"/>
              <w:ind w:firstLine="0"/>
            </w:pPr>
            <w:r>
              <w:rPr>
                <w:rFonts w:ascii="Times New Roman" w:hAnsi="Times New Roman" w:eastAsia="宋体"/>
                <w:b w:val="0"/>
                <w:sz w:val="17"/>
              </w:rPr>
              <w:t>J0</w:t>
            </w:r>
          </w:p>
        </w:tc>
        <w:tc>
          <w:tcPr>
            <w:tcW w:type="dxa" w:w="1934"/>
            <w:vAlign w:val="center"/>
          </w:tcPr>
          <w:p>
            <w:pPr>
              <w:spacing w:before="20" w:after="20" w:line="252" w:lineRule="auto"/>
              <w:ind w:firstLine="0"/>
            </w:pPr>
            <w:r>
              <w:rPr>
                <w:rFonts w:ascii="Times New Roman" w:hAnsi="Times New Roman" w:eastAsia="宋体"/>
                <w:b w:val="0"/>
                <w:sz w:val="17"/>
              </w:rPr>
              <w:t>MPF-HA</w:t>
            </w:r>
          </w:p>
        </w:tc>
        <w:tc>
          <w:tcPr>
            <w:tcW w:type="dxa" w:w="2063"/>
            <w:vAlign w:val="center"/>
          </w:tcPr>
          <w:p>
            <w:pPr>
              <w:spacing w:before="20" w:after="20" w:line="252" w:lineRule="auto"/>
              <w:ind w:firstLine="0"/>
            </w:pPr>
            <w:r>
              <w:rPr>
                <w:rFonts w:ascii="Times New Roman" w:hAnsi="Times New Roman" w:eastAsia="宋体"/>
                <w:b w:val="0"/>
                <w:sz w:val="17"/>
              </w:rPr>
              <w:t>像素分类头适配</w:t>
            </w:r>
          </w:p>
        </w:tc>
        <w:tc>
          <w:tcPr>
            <w:tcW w:type="dxa" w:w="4126"/>
            <w:vAlign w:val="center"/>
          </w:tcPr>
          <w:p>
            <w:pPr>
              <w:spacing w:before="20" w:after="20" w:line="252" w:lineRule="auto"/>
              <w:ind w:firstLine="0"/>
            </w:pPr>
            <w:r>
              <w:rPr>
                <w:rFonts w:ascii="Times New Roman" w:hAnsi="Times New Roman" w:eastAsia="宋体"/>
                <w:b w:val="0"/>
                <w:sz w:val="17"/>
              </w:rPr>
              <w:t>固定同一前端，只按匹配预算训练像素分类头</w:t>
            </w:r>
          </w:p>
        </w:tc>
      </w:tr>
      <w:tr>
        <w:trPr>
          <w:cantSplit/>
        </w:trPr>
        <w:tc>
          <w:tcPr>
            <w:tcW w:type="dxa" w:w="903"/>
            <w:vAlign w:val="center"/>
          </w:tcPr>
          <w:p>
            <w:pPr>
              <w:spacing w:before="20" w:after="20" w:line="252" w:lineRule="auto"/>
              <w:ind w:firstLine="0"/>
            </w:pPr>
            <w:r>
              <w:rPr>
                <w:rFonts w:ascii="Times New Roman" w:hAnsi="Times New Roman" w:eastAsia="宋体"/>
                <w:b w:val="0"/>
                <w:sz w:val="17"/>
              </w:rPr>
              <w:t>Jcur</w:t>
            </w:r>
          </w:p>
        </w:tc>
        <w:tc>
          <w:tcPr>
            <w:tcW w:type="dxa" w:w="1934"/>
            <w:vAlign w:val="center"/>
          </w:tcPr>
          <w:p>
            <w:pPr>
              <w:spacing w:before="20" w:after="20" w:line="252" w:lineRule="auto"/>
              <w:ind w:firstLine="0"/>
            </w:pPr>
            <w:r>
              <w:rPr>
                <w:rFonts w:ascii="Times New Roman" w:hAnsi="Times New Roman" w:eastAsia="宋体"/>
                <w:b w:val="0"/>
                <w:sz w:val="17"/>
              </w:rPr>
              <w:t>Pixel–Region</w:t>
            </w:r>
          </w:p>
        </w:tc>
        <w:tc>
          <w:tcPr>
            <w:tcW w:type="dxa" w:w="2063"/>
            <w:vAlign w:val="center"/>
          </w:tcPr>
          <w:p>
            <w:pPr>
              <w:spacing w:before="20" w:after="20" w:line="252" w:lineRule="auto"/>
              <w:ind w:firstLine="0"/>
            </w:pPr>
            <w:r>
              <w:rPr>
                <w:rFonts w:ascii="Times New Roman" w:hAnsi="Times New Roman" w:eastAsia="宋体"/>
                <w:b w:val="0"/>
                <w:sz w:val="17"/>
              </w:rPr>
              <w:t>像素–区域融合</w:t>
            </w:r>
          </w:p>
        </w:tc>
        <w:tc>
          <w:tcPr>
            <w:tcW w:type="dxa" w:w="4126"/>
            <w:vAlign w:val="center"/>
          </w:tcPr>
          <w:p>
            <w:pPr>
              <w:spacing w:before="20" w:after="20" w:line="252" w:lineRule="auto"/>
              <w:ind w:firstLine="0"/>
            </w:pPr>
            <w:r>
              <w:rPr>
                <w:rFonts w:ascii="Times New Roman" w:hAnsi="Times New Roman" w:eastAsia="宋体"/>
                <w:b w:val="0"/>
                <w:sz w:val="17"/>
              </w:rPr>
              <w:t>当前区域特征直接回投，不使用支持读取器</w:t>
            </w:r>
          </w:p>
        </w:tc>
      </w:tr>
      <w:tr>
        <w:trPr>
          <w:cantSplit/>
        </w:trPr>
        <w:tc>
          <w:tcPr>
            <w:tcW w:type="dxa" w:w="903"/>
            <w:vAlign w:val="center"/>
          </w:tcPr>
          <w:p>
            <w:pPr>
              <w:spacing w:before="20" w:after="20" w:line="252" w:lineRule="auto"/>
              <w:ind w:firstLine="0"/>
            </w:pPr>
            <w:r>
              <w:rPr>
                <w:rFonts w:ascii="Times New Roman" w:hAnsi="Times New Roman" w:eastAsia="宋体"/>
                <w:b w:val="0"/>
                <w:sz w:val="17"/>
              </w:rPr>
              <w:t>J1</w:t>
            </w:r>
          </w:p>
        </w:tc>
        <w:tc>
          <w:tcPr>
            <w:tcW w:type="dxa" w:w="1934"/>
            <w:vAlign w:val="center"/>
          </w:tcPr>
          <w:p>
            <w:pPr>
              <w:spacing w:before="20" w:after="20" w:line="252" w:lineRule="auto"/>
              <w:ind w:firstLine="0"/>
            </w:pPr>
            <w:r>
              <w:rPr>
                <w:rFonts w:ascii="Times New Roman" w:hAnsi="Times New Roman" w:eastAsia="宋体"/>
                <w:b w:val="0"/>
                <w:sz w:val="17"/>
              </w:rPr>
              <w:t>Parametric Support</w:t>
            </w:r>
          </w:p>
        </w:tc>
        <w:tc>
          <w:tcPr>
            <w:tcW w:type="dxa" w:w="2063"/>
            <w:vAlign w:val="center"/>
          </w:tcPr>
          <w:p>
            <w:pPr>
              <w:spacing w:before="20" w:after="20" w:line="252" w:lineRule="auto"/>
              <w:ind w:firstLine="0"/>
            </w:pPr>
            <w:r>
              <w:rPr>
                <w:rFonts w:ascii="Times New Roman" w:hAnsi="Times New Roman" w:eastAsia="宋体"/>
                <w:b w:val="0"/>
                <w:sz w:val="17"/>
              </w:rPr>
              <w:t>参数化支持对照</w:t>
            </w:r>
          </w:p>
        </w:tc>
        <w:tc>
          <w:tcPr>
            <w:tcW w:type="dxa" w:w="4126"/>
            <w:vAlign w:val="center"/>
          </w:tcPr>
          <w:p>
            <w:pPr>
              <w:spacing w:before="20" w:after="20" w:line="252" w:lineRule="auto"/>
              <w:ind w:firstLine="0"/>
            </w:pPr>
            <w:r>
              <w:rPr>
                <w:rFonts w:ascii="Times New Roman" w:hAnsi="Times New Roman" w:eastAsia="宋体"/>
                <w:b w:val="0"/>
                <w:sz w:val="17"/>
              </w:rPr>
              <w:t>读取器使用可学习参考向量，不读取真实Train案例</w:t>
            </w:r>
          </w:p>
        </w:tc>
      </w:tr>
      <w:tr>
        <w:trPr>
          <w:cantSplit/>
        </w:trPr>
        <w:tc>
          <w:tcPr>
            <w:tcW w:type="dxa" w:w="903"/>
            <w:vAlign w:val="center"/>
          </w:tcPr>
          <w:p>
            <w:pPr>
              <w:spacing w:before="20" w:after="20" w:line="252" w:lineRule="auto"/>
              <w:ind w:firstLine="0"/>
            </w:pPr>
            <w:r>
              <w:rPr>
                <w:rFonts w:ascii="Times New Roman" w:hAnsi="Times New Roman" w:eastAsia="宋体"/>
                <w:b w:val="0"/>
                <w:sz w:val="17"/>
              </w:rPr>
              <w:t>J2</w:t>
            </w:r>
          </w:p>
        </w:tc>
        <w:tc>
          <w:tcPr>
            <w:tcW w:type="dxa" w:w="1934"/>
            <w:vAlign w:val="center"/>
          </w:tcPr>
          <w:p>
            <w:pPr>
              <w:spacing w:before="20" w:after="20" w:line="252" w:lineRule="auto"/>
              <w:ind w:firstLine="0"/>
            </w:pPr>
            <w:r>
              <w:rPr>
                <w:rFonts w:ascii="Times New Roman" w:hAnsi="Times New Roman" w:eastAsia="宋体"/>
                <w:b w:val="0"/>
                <w:sz w:val="17"/>
              </w:rPr>
              <w:t>Cosine Retrieval</w:t>
            </w:r>
          </w:p>
        </w:tc>
        <w:tc>
          <w:tcPr>
            <w:tcW w:type="dxa" w:w="2063"/>
            <w:vAlign w:val="center"/>
          </w:tcPr>
          <w:p>
            <w:pPr>
              <w:spacing w:before="20" w:after="20" w:line="252" w:lineRule="auto"/>
              <w:ind w:firstLine="0"/>
            </w:pPr>
            <w:r>
              <w:rPr>
                <w:rFonts w:ascii="Times New Roman" w:hAnsi="Times New Roman" w:eastAsia="宋体"/>
                <w:b w:val="0"/>
                <w:sz w:val="17"/>
              </w:rPr>
              <w:t>余弦检索增强</w:t>
            </w:r>
          </w:p>
        </w:tc>
        <w:tc>
          <w:tcPr>
            <w:tcW w:type="dxa" w:w="4126"/>
            <w:vAlign w:val="center"/>
          </w:tcPr>
          <w:p>
            <w:pPr>
              <w:spacing w:before="20" w:after="20" w:line="252" w:lineRule="auto"/>
              <w:ind w:firstLine="0"/>
            </w:pPr>
            <w:r>
              <w:rPr>
                <w:rFonts w:ascii="Times New Roman" w:hAnsi="Times New Roman" w:eastAsia="宋体"/>
                <w:b w:val="0"/>
                <w:sz w:val="17"/>
              </w:rPr>
              <w:t>固定Train库，按原始区域特征的余弦相似度选择支持</w:t>
            </w:r>
          </w:p>
        </w:tc>
      </w:tr>
      <w:tr>
        <w:trPr>
          <w:cantSplit/>
        </w:trPr>
        <w:tc>
          <w:tcPr>
            <w:tcW w:type="dxa" w:w="903"/>
            <w:vAlign w:val="center"/>
          </w:tcPr>
          <w:p>
            <w:pPr>
              <w:spacing w:before="20" w:after="20" w:line="252" w:lineRule="auto"/>
              <w:ind w:firstLine="0"/>
            </w:pPr>
            <w:r>
              <w:rPr>
                <w:rFonts w:ascii="Times New Roman" w:hAnsi="Times New Roman" w:eastAsia="宋体"/>
                <w:b w:val="0"/>
                <w:sz w:val="17"/>
              </w:rPr>
              <w:t>J3</w:t>
            </w:r>
          </w:p>
        </w:tc>
        <w:tc>
          <w:tcPr>
            <w:tcW w:type="dxa" w:w="1934"/>
            <w:vAlign w:val="center"/>
          </w:tcPr>
          <w:p>
            <w:pPr>
              <w:spacing w:before="20" w:after="20" w:line="252" w:lineRule="auto"/>
              <w:ind w:firstLine="0"/>
            </w:pPr>
            <w:r>
              <w:rPr>
                <w:rFonts w:ascii="Times New Roman" w:hAnsi="Times New Roman" w:eastAsia="宋体"/>
                <w:b w:val="0"/>
                <w:sz w:val="17"/>
              </w:rPr>
              <w:t>Supervised Retrieval</w:t>
            </w:r>
          </w:p>
        </w:tc>
        <w:tc>
          <w:tcPr>
            <w:tcW w:type="dxa" w:w="2063"/>
            <w:vAlign w:val="center"/>
          </w:tcPr>
          <w:p>
            <w:pPr>
              <w:spacing w:before="20" w:after="20" w:line="252" w:lineRule="auto"/>
              <w:ind w:firstLine="0"/>
            </w:pPr>
            <w:r>
              <w:rPr>
                <w:rFonts w:ascii="Times New Roman" w:hAnsi="Times New Roman" w:eastAsia="宋体"/>
                <w:b w:val="0"/>
                <w:sz w:val="17"/>
              </w:rPr>
              <w:t>跨事件监督检索增强（完整方法）</w:t>
            </w:r>
          </w:p>
        </w:tc>
        <w:tc>
          <w:tcPr>
            <w:tcW w:type="dxa" w:w="4126"/>
            <w:vAlign w:val="center"/>
          </w:tcPr>
          <w:p>
            <w:pPr>
              <w:spacing w:before="20" w:after="20" w:line="252" w:lineRule="auto"/>
              <w:ind w:firstLine="0"/>
            </w:pPr>
            <w:r>
              <w:rPr>
                <w:rFonts w:ascii="Times New Roman" w:hAnsi="Times New Roman" w:eastAsia="宋体"/>
                <w:b w:val="0"/>
                <w:sz w:val="17"/>
              </w:rPr>
              <w:t>同一Train库，通过跨事件类别监督投影选择支持；总体比较写Ours</w:t>
            </w:r>
          </w:p>
        </w:tc>
      </w:tr>
    </w:tbl>
    <w:p>
      <w:pPr>
        <w:pStyle w:val="15"/>
      </w:pPr>
      <w:r>
        <w:t>表A1　历史编号与正式配置名称对照</w:t>
      </w:r>
    </w:p>
    <w:tbl>
      <w:tblPr>
        <w:tblStyle w:val="33"/>
        <w:tblW w:type="auto" w:w="0"/>
        <w:jc w:val="center"/>
        <w:tblLayout w:type="fixed"/>
        <w:tblLook w:firstColumn="1" w:firstRow="1" w:lastColumn="0" w:lastRow="0" w:noHBand="0" w:noVBand="1" w:val="04A0"/>
      </w:tblPr>
      <w:tblGrid>
        <w:gridCol w:w="1934"/>
        <w:gridCol w:w="1547"/>
        <w:gridCol w:w="1676"/>
        <w:gridCol w:w="3868"/>
      </w:tblGrid>
      <w:tr>
        <w:trPr>
          <w:cantSplit/>
          <w:tblHeader/>
        </w:trPr>
        <w:tc>
          <w:tcPr>
            <w:tcW w:type="dxa" w:w="1934"/>
            <w:vAlign w:val="center"/>
          </w:tcPr>
          <w:p>
            <w:pPr>
              <w:spacing w:before="20" w:after="20" w:line="252" w:lineRule="auto"/>
              <w:ind w:firstLine="0"/>
            </w:pPr>
            <w:r>
              <w:rPr>
                <w:rFonts w:ascii="Times New Roman" w:hAnsi="Times New Roman" w:eastAsia="宋体"/>
                <w:b/>
                <w:sz w:val="17"/>
              </w:rPr>
              <w:t>原图或记录</w:t>
            </w:r>
          </w:p>
        </w:tc>
        <w:tc>
          <w:tcPr>
            <w:tcW w:type="dxa" w:w="1547"/>
            <w:vAlign w:val="center"/>
          </w:tcPr>
          <w:p>
            <w:pPr>
              <w:spacing w:before="20" w:after="20" w:line="252" w:lineRule="auto"/>
              <w:ind w:firstLine="0"/>
            </w:pPr>
            <w:r>
              <w:rPr>
                <w:rFonts w:ascii="Times New Roman" w:hAnsi="Times New Roman" w:eastAsia="宋体"/>
                <w:b/>
                <w:sz w:val="17"/>
              </w:rPr>
              <w:t>本稿对应</w:t>
            </w:r>
          </w:p>
        </w:tc>
        <w:tc>
          <w:tcPr>
            <w:tcW w:type="dxa" w:w="1676"/>
            <w:vAlign w:val="center"/>
          </w:tcPr>
          <w:p>
            <w:pPr>
              <w:spacing w:before="20" w:after="20" w:line="252" w:lineRule="auto"/>
              <w:ind w:firstLine="0"/>
            </w:pPr>
            <w:r>
              <w:rPr>
                <w:rFonts w:ascii="Times New Roman" w:hAnsi="Times New Roman" w:eastAsia="宋体"/>
                <w:b/>
                <w:sz w:val="17"/>
              </w:rPr>
              <w:t>位置</w:t>
            </w:r>
          </w:p>
        </w:tc>
        <w:tc>
          <w:tcPr>
            <w:tcW w:type="dxa" w:w="3868"/>
            <w:vAlign w:val="center"/>
          </w:tcPr>
          <w:p>
            <w:pPr>
              <w:spacing w:before="20" w:after="20" w:line="252" w:lineRule="auto"/>
              <w:ind w:firstLine="0"/>
            </w:pPr>
            <w:r>
              <w:rPr>
                <w:rFonts w:ascii="Times New Roman" w:hAnsi="Times New Roman" w:eastAsia="宋体"/>
                <w:b/>
                <w:sz w:val="17"/>
              </w:rPr>
              <w:t>使用范围</w:t>
            </w:r>
          </w:p>
        </w:tc>
      </w:tr>
      <w:tr>
        <w:trPr>
          <w:cantSplit/>
        </w:trPr>
        <w:tc>
          <w:tcPr>
            <w:tcW w:type="dxa" w:w="1934"/>
            <w:vAlign w:val="center"/>
          </w:tcPr>
          <w:p>
            <w:pPr>
              <w:spacing w:before="20" w:after="20" w:line="252" w:lineRule="auto"/>
              <w:ind w:firstLine="0"/>
            </w:pPr>
            <w:r>
              <w:rPr>
                <w:rFonts w:ascii="Times New Roman" w:hAnsi="Times New Roman" w:eastAsia="宋体"/>
                <w:b w:val="0"/>
                <w:sz w:val="17"/>
              </w:rPr>
              <w:t>旧图5–7的UNet</w:t>
            </w:r>
          </w:p>
        </w:tc>
        <w:tc>
          <w:tcPr>
            <w:tcW w:type="dxa" w:w="1547"/>
            <w:vAlign w:val="center"/>
          </w:tcPr>
          <w:p>
            <w:pPr>
              <w:spacing w:before="20" w:after="20" w:line="252" w:lineRule="auto"/>
              <w:ind w:firstLine="0"/>
            </w:pPr>
            <w:r>
              <w:rPr>
                <w:rFonts w:ascii="Times New Roman" w:hAnsi="Times New Roman" w:eastAsia="宋体"/>
                <w:b w:val="0"/>
                <w:sz w:val="17"/>
              </w:rPr>
              <w:t>U-Net</w:t>
            </w:r>
          </w:p>
        </w:tc>
        <w:tc>
          <w:tcPr>
            <w:tcW w:type="dxa" w:w="1676"/>
            <w:vAlign w:val="center"/>
          </w:tcPr>
          <w:p>
            <w:pPr>
              <w:spacing w:before="20" w:after="20" w:line="252" w:lineRule="auto"/>
              <w:ind w:firstLine="0"/>
            </w:pPr>
            <w:r>
              <w:rPr>
                <w:rFonts w:ascii="Times New Roman" w:hAnsi="Times New Roman" w:eastAsia="宋体"/>
                <w:b w:val="0"/>
                <w:sz w:val="17"/>
              </w:rPr>
              <w:t>表2；图11–13</w:t>
            </w:r>
          </w:p>
        </w:tc>
        <w:tc>
          <w:tcPr>
            <w:tcW w:type="dxa" w:w="3868"/>
            <w:vAlign w:val="center"/>
          </w:tcPr>
          <w:p>
            <w:pPr>
              <w:spacing w:before="20" w:after="20" w:line="252" w:lineRule="auto"/>
              <w:ind w:firstLine="0"/>
            </w:pPr>
            <w:r>
              <w:rPr>
                <w:rFonts w:ascii="Times New Roman" w:hAnsi="Times New Roman" w:eastAsia="宋体"/>
                <w:b w:val="0"/>
                <w:sz w:val="17"/>
              </w:rPr>
              <w:t>定性图原列名按书写规范统一；没有总体计数时不填分数</w:t>
            </w:r>
          </w:p>
        </w:tc>
      </w:tr>
      <w:tr>
        <w:trPr>
          <w:cantSplit/>
        </w:trPr>
        <w:tc>
          <w:tcPr>
            <w:tcW w:type="dxa" w:w="1934"/>
            <w:vAlign w:val="center"/>
          </w:tcPr>
          <w:p>
            <w:pPr>
              <w:spacing w:before="20" w:after="20" w:line="252" w:lineRule="auto"/>
              <w:ind w:firstLine="0"/>
            </w:pPr>
            <w:r>
              <w:rPr>
                <w:rFonts w:ascii="Times New Roman" w:hAnsi="Times New Roman" w:eastAsia="宋体"/>
                <w:b w:val="0"/>
                <w:sz w:val="17"/>
              </w:rPr>
              <w:t>旧图5–7的DeepLabV3+</w:t>
            </w:r>
          </w:p>
        </w:tc>
        <w:tc>
          <w:tcPr>
            <w:tcW w:type="dxa" w:w="1547"/>
            <w:vAlign w:val="center"/>
          </w:tcPr>
          <w:p>
            <w:pPr>
              <w:spacing w:before="20" w:after="20" w:line="252" w:lineRule="auto"/>
              <w:ind w:firstLine="0"/>
            </w:pPr>
            <w:r>
              <w:rPr>
                <w:rFonts w:ascii="Times New Roman" w:hAnsi="Times New Roman" w:eastAsia="宋体"/>
                <w:b w:val="0"/>
                <w:sz w:val="17"/>
              </w:rPr>
              <w:t>DeepLabv3+</w:t>
            </w:r>
          </w:p>
        </w:tc>
        <w:tc>
          <w:tcPr>
            <w:tcW w:type="dxa" w:w="1676"/>
            <w:vAlign w:val="center"/>
          </w:tcPr>
          <w:p>
            <w:pPr>
              <w:spacing w:before="20" w:after="20" w:line="252" w:lineRule="auto"/>
              <w:ind w:firstLine="0"/>
            </w:pPr>
            <w:r>
              <w:rPr>
                <w:rFonts w:ascii="Times New Roman" w:hAnsi="Times New Roman" w:eastAsia="宋体"/>
                <w:b w:val="0"/>
                <w:sz w:val="17"/>
              </w:rPr>
              <w:t>表2；图11–13</w:t>
            </w:r>
          </w:p>
        </w:tc>
        <w:tc>
          <w:tcPr>
            <w:tcW w:type="dxa" w:w="3868"/>
            <w:vAlign w:val="center"/>
          </w:tcPr>
          <w:p>
            <w:pPr>
              <w:spacing w:before="20" w:after="20" w:line="252" w:lineRule="auto"/>
              <w:ind w:firstLine="0"/>
            </w:pPr>
            <w:r>
              <w:rPr>
                <w:rFonts w:ascii="Times New Roman" w:hAnsi="Times New Roman" w:eastAsia="宋体"/>
                <w:b w:val="0"/>
                <w:sz w:val="17"/>
              </w:rPr>
              <w:t>大小写书写统一，不代表更换模型</w:t>
            </w:r>
          </w:p>
        </w:tc>
      </w:tr>
      <w:tr>
        <w:trPr>
          <w:cantSplit/>
        </w:trPr>
        <w:tc>
          <w:tcPr>
            <w:tcW w:type="dxa" w:w="1934"/>
            <w:vAlign w:val="center"/>
          </w:tcPr>
          <w:p>
            <w:pPr>
              <w:spacing w:before="20" w:after="20" w:line="252" w:lineRule="auto"/>
              <w:ind w:firstLine="0"/>
            </w:pPr>
            <w:r>
              <w:rPr>
                <w:rFonts w:ascii="Times New Roman" w:hAnsi="Times New Roman" w:eastAsia="宋体"/>
                <w:b w:val="0"/>
                <w:sz w:val="17"/>
              </w:rPr>
              <w:t>SiamAttnUNet / SiamCRNN / DamageFormer</w:t>
            </w:r>
          </w:p>
        </w:tc>
        <w:tc>
          <w:tcPr>
            <w:tcW w:type="dxa" w:w="1547"/>
            <w:vAlign w:val="center"/>
          </w:tcPr>
          <w:p>
            <w:pPr>
              <w:spacing w:before="20" w:after="20" w:line="252" w:lineRule="auto"/>
              <w:ind w:firstLine="0"/>
            </w:pPr>
            <w:r>
              <w:rPr>
                <w:rFonts w:ascii="Times New Roman" w:hAnsi="Times New Roman" w:eastAsia="宋体"/>
                <w:b w:val="0"/>
                <w:sz w:val="17"/>
              </w:rPr>
              <w:t>保留各自模型名</w:t>
            </w:r>
          </w:p>
        </w:tc>
        <w:tc>
          <w:tcPr>
            <w:tcW w:type="dxa" w:w="1676"/>
            <w:vAlign w:val="center"/>
          </w:tcPr>
          <w:p>
            <w:pPr>
              <w:spacing w:before="20" w:after="20" w:line="252" w:lineRule="auto"/>
              <w:ind w:firstLine="0"/>
            </w:pPr>
            <w:r>
              <w:rPr>
                <w:rFonts w:ascii="Times New Roman" w:hAnsi="Times New Roman" w:eastAsia="宋体"/>
                <w:b w:val="0"/>
                <w:sz w:val="17"/>
              </w:rPr>
              <w:t>表2；图11–13</w:t>
            </w:r>
          </w:p>
        </w:tc>
        <w:tc>
          <w:tcPr>
            <w:tcW w:type="dxa" w:w="3868"/>
            <w:vAlign w:val="center"/>
          </w:tcPr>
          <w:p>
            <w:pPr>
              <w:spacing w:before="20" w:after="20" w:line="252" w:lineRule="auto"/>
              <w:ind w:firstLine="0"/>
            </w:pPr>
            <w:r>
              <w:rPr>
                <w:rFonts w:ascii="Times New Roman" w:hAnsi="Times New Roman" w:eastAsia="宋体"/>
                <w:b w:val="0"/>
                <w:sz w:val="17"/>
              </w:rPr>
              <w:t>每列单独绑定本地权重与预测；公开成绩不是该列的自动来源</w:t>
            </w:r>
          </w:p>
        </w:tc>
      </w:tr>
      <w:tr>
        <w:trPr>
          <w:cantSplit/>
        </w:trPr>
        <w:tc>
          <w:tcPr>
            <w:tcW w:type="dxa" w:w="1934"/>
            <w:vAlign w:val="center"/>
          </w:tcPr>
          <w:p>
            <w:pPr>
              <w:spacing w:before="20" w:after="20" w:line="252" w:lineRule="auto"/>
              <w:ind w:firstLine="0"/>
            </w:pPr>
            <w:r>
              <w:rPr>
                <w:rFonts w:ascii="Times New Roman" w:hAnsi="Times New Roman" w:eastAsia="宋体"/>
                <w:b w:val="0"/>
                <w:sz w:val="17"/>
              </w:rPr>
              <w:t>Ours (A1)</w:t>
            </w:r>
          </w:p>
        </w:tc>
        <w:tc>
          <w:tcPr>
            <w:tcW w:type="dxa" w:w="1547"/>
            <w:vAlign w:val="center"/>
          </w:tcPr>
          <w:p>
            <w:pPr>
              <w:spacing w:before="20" w:after="20" w:line="252" w:lineRule="auto"/>
              <w:ind w:firstLine="0"/>
            </w:pPr>
            <w:r>
              <w:rPr>
                <w:rFonts w:ascii="Times New Roman" w:hAnsi="Times New Roman" w:eastAsia="宋体"/>
                <w:b w:val="0"/>
                <w:sz w:val="17"/>
              </w:rPr>
              <w:t>MPF</w:t>
            </w:r>
          </w:p>
        </w:tc>
        <w:tc>
          <w:tcPr>
            <w:tcW w:type="dxa" w:w="1676"/>
            <w:vAlign w:val="center"/>
          </w:tcPr>
          <w:p>
            <w:pPr>
              <w:spacing w:before="20" w:after="20" w:line="252" w:lineRule="auto"/>
              <w:ind w:firstLine="0"/>
            </w:pPr>
            <w:r>
              <w:rPr>
                <w:rFonts w:ascii="Times New Roman" w:hAnsi="Times New Roman" w:eastAsia="宋体"/>
                <w:b w:val="0"/>
                <w:sz w:val="17"/>
              </w:rPr>
              <w:t>表2；图11–13</w:t>
            </w:r>
          </w:p>
        </w:tc>
        <w:tc>
          <w:tcPr>
            <w:tcW w:type="dxa" w:w="3868"/>
            <w:vAlign w:val="center"/>
          </w:tcPr>
          <w:p>
            <w:pPr>
              <w:spacing w:before="20" w:after="20" w:line="252" w:lineRule="auto"/>
              <w:ind w:firstLine="0"/>
            </w:pPr>
            <w:r>
              <w:rPr>
                <w:rFonts w:ascii="Times New Roman" w:hAnsi="Times New Roman" w:eastAsia="宋体"/>
                <w:b w:val="0"/>
                <w:sz w:val="17"/>
              </w:rPr>
              <w:t>保存记录绑定best_val_miou.pth及SHA256；原标签数组尚待复核</w:t>
            </w:r>
          </w:p>
        </w:tc>
      </w:tr>
      <w:tr>
        <w:trPr>
          <w:cantSplit/>
        </w:trPr>
        <w:tc>
          <w:tcPr>
            <w:tcW w:type="dxa" w:w="1934"/>
            <w:vAlign w:val="center"/>
          </w:tcPr>
          <w:p>
            <w:pPr>
              <w:spacing w:before="20" w:after="20" w:line="252" w:lineRule="auto"/>
              <w:ind w:firstLine="0"/>
            </w:pPr>
            <w:r>
              <w:rPr>
                <w:rFonts w:ascii="Times New Roman" w:hAnsi="Times New Roman" w:eastAsia="宋体"/>
                <w:b w:val="0"/>
                <w:sz w:val="17"/>
              </w:rPr>
              <w:t>完整检索配置</w:t>
            </w:r>
          </w:p>
        </w:tc>
        <w:tc>
          <w:tcPr>
            <w:tcW w:type="dxa" w:w="1547"/>
            <w:vAlign w:val="center"/>
          </w:tcPr>
          <w:p>
            <w:pPr>
              <w:spacing w:before="20" w:after="20" w:line="252" w:lineRule="auto"/>
              <w:ind w:firstLine="0"/>
            </w:pPr>
            <w:r>
              <w:rPr>
                <w:rFonts w:ascii="Times New Roman" w:hAnsi="Times New Roman" w:eastAsia="宋体"/>
                <w:b w:val="0"/>
                <w:sz w:val="17"/>
              </w:rPr>
              <w:t>Ours / Supervised Retrieval</w:t>
            </w:r>
          </w:p>
        </w:tc>
        <w:tc>
          <w:tcPr>
            <w:tcW w:type="dxa" w:w="1676"/>
            <w:vAlign w:val="center"/>
          </w:tcPr>
          <w:p>
            <w:pPr>
              <w:spacing w:before="20" w:after="20" w:line="252" w:lineRule="auto"/>
              <w:ind w:firstLine="0"/>
            </w:pPr>
            <w:r>
              <w:rPr>
                <w:rFonts w:ascii="Times New Roman" w:hAnsi="Times New Roman" w:eastAsia="宋体"/>
                <w:b w:val="0"/>
                <w:sz w:val="17"/>
              </w:rPr>
              <w:t>表2 / 表5；图14</w:t>
            </w:r>
          </w:p>
        </w:tc>
        <w:tc>
          <w:tcPr>
            <w:tcW w:type="dxa" w:w="3868"/>
            <w:vAlign w:val="center"/>
          </w:tcPr>
          <w:p>
            <w:pPr>
              <w:spacing w:before="20" w:after="20" w:line="252" w:lineRule="auto"/>
              <w:ind w:firstLine="0"/>
            </w:pPr>
            <w:r>
              <w:rPr>
                <w:rFonts w:ascii="Times New Roman" w:hAnsi="Times New Roman" w:eastAsia="宋体"/>
                <w:b w:val="0"/>
                <w:sz w:val="17"/>
              </w:rPr>
              <w:t>必须使用实际完整模型预测，不能复用MPF列作为完整输出</w:t>
            </w:r>
          </w:p>
        </w:tc>
      </w:tr>
      <w:tr>
        <w:trPr>
          <w:cantSplit/>
        </w:trPr>
        <w:tc>
          <w:tcPr>
            <w:tcW w:type="dxa" w:w="1934"/>
            <w:vAlign w:val="center"/>
          </w:tcPr>
          <w:p>
            <w:pPr>
              <w:spacing w:before="20" w:after="20" w:line="252" w:lineRule="auto"/>
              <w:ind w:firstLine="0"/>
            </w:pPr>
            <w:r>
              <w:rPr>
                <w:rFonts w:ascii="Times New Roman" w:hAnsi="Times New Roman" w:eastAsia="宋体"/>
                <w:b w:val="0"/>
                <w:sz w:val="17"/>
              </w:rPr>
              <w:t>ChangeOS / ChangeMamba</w:t>
            </w:r>
          </w:p>
        </w:tc>
        <w:tc>
          <w:tcPr>
            <w:tcW w:type="dxa" w:w="1547"/>
            <w:vAlign w:val="center"/>
          </w:tcPr>
          <w:p>
            <w:pPr>
              <w:spacing w:before="20" w:after="20" w:line="252" w:lineRule="auto"/>
              <w:ind w:firstLine="0"/>
            </w:pPr>
            <w:r>
              <w:rPr>
                <w:rFonts w:ascii="Times New Roman" w:hAnsi="Times New Roman" w:eastAsia="宋体"/>
                <w:b w:val="0"/>
                <w:sz w:val="17"/>
              </w:rPr>
              <w:t>保留各自模型名</w:t>
            </w:r>
          </w:p>
        </w:tc>
        <w:tc>
          <w:tcPr>
            <w:tcW w:type="dxa" w:w="1676"/>
            <w:vAlign w:val="center"/>
          </w:tcPr>
          <w:p>
            <w:pPr>
              <w:spacing w:before="20" w:after="20" w:line="252" w:lineRule="auto"/>
              <w:ind w:firstLine="0"/>
            </w:pPr>
            <w:r>
              <w:rPr>
                <w:rFonts w:ascii="Times New Roman" w:hAnsi="Times New Roman" w:eastAsia="宋体"/>
                <w:b w:val="0"/>
                <w:sz w:val="17"/>
              </w:rPr>
              <w:t>表2；旧图中没有该列</w:t>
            </w:r>
          </w:p>
        </w:tc>
        <w:tc>
          <w:tcPr>
            <w:tcW w:type="dxa" w:w="3868"/>
            <w:vAlign w:val="center"/>
          </w:tcPr>
          <w:p>
            <w:pPr>
              <w:spacing w:before="20" w:after="20" w:line="252" w:lineRule="auto"/>
              <w:ind w:firstLine="0"/>
            </w:pPr>
            <w:r>
              <w:rPr>
                <w:rFonts w:ascii="Times New Roman" w:hAnsi="Times New Roman" w:eastAsia="宋体"/>
                <w:b w:val="0"/>
                <w:sz w:val="17"/>
              </w:rPr>
              <w:t>可只作定量比较；如需定性列则补真实预测</w:t>
            </w:r>
          </w:p>
        </w:tc>
      </w:tr>
      <w:tr>
        <w:trPr>
          <w:cantSplit/>
        </w:trPr>
        <w:tc>
          <w:tcPr>
            <w:tcW w:type="dxa" w:w="1934"/>
            <w:vAlign w:val="center"/>
          </w:tcPr>
          <w:p>
            <w:pPr>
              <w:spacing w:before="20" w:after="20" w:line="252" w:lineRule="auto"/>
              <w:ind w:firstLine="0"/>
            </w:pPr>
            <w:r>
              <w:rPr>
                <w:rFonts w:ascii="Times New Roman" w:hAnsi="Times New Roman" w:eastAsia="宋体"/>
                <w:b w:val="0"/>
                <w:sz w:val="17"/>
              </w:rPr>
              <w:t>旧图8–10</w:t>
            </w:r>
          </w:p>
        </w:tc>
        <w:tc>
          <w:tcPr>
            <w:tcW w:type="dxa" w:w="1547"/>
            <w:vAlign w:val="center"/>
          </w:tcPr>
          <w:p>
            <w:pPr>
              <w:spacing w:before="20" w:after="20" w:line="252" w:lineRule="auto"/>
              <w:ind w:firstLine="0"/>
            </w:pPr>
            <w:r>
              <w:rPr>
                <w:rFonts w:ascii="Times New Roman" w:hAnsi="Times New Roman" w:eastAsia="宋体"/>
                <w:b w:val="0"/>
                <w:sz w:val="17"/>
              </w:rPr>
              <w:t>MPF局部案例归档</w:t>
            </w:r>
          </w:p>
        </w:tc>
        <w:tc>
          <w:tcPr>
            <w:tcW w:type="dxa" w:w="1676"/>
            <w:vAlign w:val="center"/>
          </w:tcPr>
          <w:p>
            <w:pPr>
              <w:spacing w:before="20" w:after="20" w:line="252" w:lineRule="auto"/>
              <w:ind w:firstLine="0"/>
            </w:pPr>
            <w:r>
              <w:rPr>
                <w:rFonts w:ascii="Times New Roman" w:hAnsi="Times New Roman" w:eastAsia="宋体"/>
                <w:b w:val="0"/>
                <w:sz w:val="17"/>
              </w:rPr>
              <w:t>独立图件归档文件</w:t>
            </w:r>
          </w:p>
        </w:tc>
        <w:tc>
          <w:tcPr>
            <w:tcW w:type="dxa" w:w="3868"/>
            <w:vAlign w:val="center"/>
          </w:tcPr>
          <w:p>
            <w:pPr>
              <w:spacing w:before="20" w:after="20" w:line="252" w:lineRule="auto"/>
              <w:ind w:firstLine="0"/>
            </w:pPr>
            <w:r>
              <w:rPr>
                <w:rFonts w:ascii="Times New Roman" w:hAnsi="Times New Roman" w:eastAsia="宋体"/>
                <w:b w:val="0"/>
                <w:sz w:val="17"/>
              </w:rPr>
              <w:t>局部内嵌分数待重算；与总体mIoU和完整模型分开</w:t>
            </w:r>
          </w:p>
        </w:tc>
      </w:tr>
    </w:tbl>
    <w:p>
      <w:pPr>
        <w:pStyle w:val="15"/>
      </w:pPr>
      <w:r>
        <w:t>表A2　原图列与本稿图表的对应关系</w:t>
      </w:r>
    </w:p>
    <w:sectPr>
      <w:footerReference r:id="rId5" w:type="default"/>
      <w:pgSz w:w="11906" w:h="16838"/>
      <w:pgMar w:top="1440" w:right="1440" w:bottom="1440" w:left="1440"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MS Mincho">
    <w:altName w:val="ESRI AMFM Electric"/>
    <w:panose1 w:val="00000000000000000000"/>
    <w:charset w:val="00"/>
    <w:family w:val="auto"/>
    <w:pitch w:val="default"/>
    <w:sig w:usb0="00000000" w:usb1="00000000" w:usb2="00000000" w:usb3="00000000" w:csb0="00000000"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40845">
    <w:pPr>
      <w:pStyle w:val="24"/>
      <w:ind w:firstLine="0"/>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1" w:lineRule="auto"/>
      </w:pPr>
      <w:r>
        <w:separator/>
      </w:r>
    </w:p>
  </w:footnote>
  <w:footnote w:type="continuationSeparator" w:id="1">
    <w:p>
      <w:pPr>
        <w:spacing w:before="0" w:after="0" w:line="33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23781A"/>
    <w:rsid w:val="6971117C"/>
    <w:rsid w:val="733946E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60" w:line="331" w:lineRule="auto"/>
      <w:ind w:firstLine="420"/>
    </w:pPr>
    <w:rPr>
      <w:rFonts w:ascii="Times New Roman" w:hAnsi="Times New Roman" w:eastAsia="宋体" w:cstheme="minorBidi"/>
      <w:color w:val="000000"/>
      <w:sz w:val="21"/>
      <w:szCs w:val="22"/>
      <w:lang w:val="en-US" w:eastAsia="en-US" w:bidi="ar-SA"/>
    </w:rPr>
  </w:style>
  <w:style w:type="paragraph" w:styleId="3">
    <w:name w:val="heading 1"/>
    <w:basedOn w:val="1"/>
    <w:next w:val="1"/>
    <w:link w:val="138"/>
    <w:qFormat/>
    <w:uiPriority w:val="9"/>
    <w:pPr>
      <w:keepNext/>
      <w:keepLines/>
      <w:widowControl/>
      <w:spacing w:before="220" w:after="120" w:line="276" w:lineRule="auto"/>
      <w:ind w:firstLine="0"/>
      <w:outlineLvl w:val="0"/>
    </w:pPr>
    <w:rPr>
      <w:rFonts w:asciiTheme="majorHAnsi" w:hAnsiTheme="majorHAnsi" w:eastAsiaTheme="majorEastAsia" w:cstheme="majorBidi"/>
      <w:b/>
      <w:bCs/>
      <w:color w:val="000000"/>
      <w:sz w:val="25"/>
      <w:szCs w:val="28"/>
    </w:rPr>
  </w:style>
  <w:style w:type="paragraph" w:styleId="4">
    <w:name w:val="heading 2"/>
    <w:basedOn w:val="1"/>
    <w:next w:val="1"/>
    <w:link w:val="139"/>
    <w:unhideWhenUsed/>
    <w:qFormat/>
    <w:uiPriority w:val="9"/>
    <w:pPr>
      <w:keepNext/>
      <w:keepLines/>
      <w:widowControl/>
      <w:spacing w:before="160" w:after="80" w:line="276" w:lineRule="auto"/>
      <w:ind w:firstLine="0"/>
      <w:outlineLvl w:val="1"/>
    </w:pPr>
    <w:rPr>
      <w:rFonts w:asciiTheme="majorHAnsi" w:hAnsiTheme="majorHAnsi" w:eastAsiaTheme="majorEastAsia" w:cstheme="majorBidi"/>
      <w:b/>
      <w:bCs/>
      <w:color w:val="000000"/>
      <w:sz w:val="22"/>
      <w:szCs w:val="26"/>
    </w:rPr>
  </w:style>
  <w:style w:type="paragraph" w:styleId="5">
    <w:name w:val="heading 3"/>
    <w:basedOn w:val="1"/>
    <w:next w:val="1"/>
    <w:link w:val="140"/>
    <w:unhideWhenUsed/>
    <w:qFormat/>
    <w:uiPriority w:val="9"/>
    <w:pPr>
      <w:keepNext/>
      <w:keepLines/>
      <w:widowControl/>
      <w:spacing w:before="120" w:after="60" w:line="276" w:lineRule="auto"/>
      <w:ind w:firstLine="0"/>
      <w:outlineLvl w:val="2"/>
    </w:pPr>
    <w:rPr>
      <w:rFonts w:asciiTheme="majorHAnsi" w:hAnsiTheme="majorHAnsi" w:eastAsiaTheme="majorEastAsia" w:cstheme="majorBidi"/>
      <w:b/>
      <w:bCs/>
      <w:color w:val="000000"/>
      <w:sz w:val="21"/>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60" w:after="120" w:line="288" w:lineRule="auto"/>
      <w:ind w:firstLine="0"/>
    </w:pPr>
    <w:rPr>
      <w:rFonts w:ascii="Times New Roman" w:hAnsi="Times New Roman" w:eastAsia="宋体"/>
      <w:bCs/>
      <w:color w:val="000000"/>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keepNext/>
      <w:spacing w:before="0" w:after="280" w:line="288" w:lineRule="auto"/>
      <w:ind w:firstLine="0"/>
      <w:contextualSpacing/>
    </w:pPr>
    <w:rPr>
      <w:rFonts w:asciiTheme="majorHAnsi" w:hAnsiTheme="majorHAnsi" w:eastAsiaTheme="majorEastAsia" w:cstheme="majorBidi"/>
      <w:b/>
      <w:color w:val="000000"/>
      <w:spacing w:val="5"/>
      <w:kern w:val="28"/>
      <w:sz w:val="3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Abstract Body"/>
    <w:qFormat/>
    <w:uiPriority w:val="0"/>
    <w:pPr>
      <w:widowControl/>
      <w:spacing w:after="100" w:line="331" w:lineRule="auto"/>
      <w:ind w:firstLine="0"/>
    </w:pPr>
    <w:rPr>
      <w:rFonts w:ascii="Times New Roman" w:hAnsi="Times New Roman" w:eastAsia="宋体" w:cstheme="minorBidi"/>
      <w:color w:val="000000"/>
      <w:sz w:val="21"/>
      <w:szCs w:val="22"/>
      <w:lang w:val="en-US" w:eastAsia="en-US" w:bidi="ar-SA"/>
    </w:rPr>
  </w:style>
  <w:style w:type="paragraph" w:customStyle="1" w:styleId="165">
    <w:name w:val="Reference Entry"/>
    <w:qFormat/>
    <w:uiPriority w:val="0"/>
    <w:pPr>
      <w:keepLines/>
      <w:spacing w:after="40" w:line="283" w:lineRule="auto"/>
      <w:ind w:left="369" w:hanging="369"/>
    </w:pPr>
    <w:rPr>
      <w:rFonts w:ascii="Times New Roman" w:hAnsi="Times New Roman" w:eastAsia="宋体" w:cstheme="minorBidi"/>
      <w:color w:val="000000"/>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6</TotalTime>
  <ScaleCrop>false</ScaleCrop>
  <LinksUpToDate>false</LinksUpToDate>
  <CharactersWithSpaces>0</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大大大大大大宁</dc:creator>
  <cp:lastModifiedBy>大大大大大大宁</cp:lastModifiedBy>
  <dcterms:modified xsi:type="dcterms:W3CDTF">2026-10-16T05:36:49Z</dcterms:modified>
  <dc:subject>光学–SAR建筑损毁评估的结构条件区域编码与跨事件检索</dc:subject>
  <dc:title>面向光学–SAR建筑损毁评估的结构条件区域编码与跨事件检索</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C245F8E4F23E4CC0B00340C2C75277E4_13</vt:lpwstr>
  </property>
</Properties>
</file>