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结果讨论、缺失实验与假设数值的使用说明</w:t>
      </w:r>
    </w:p>
    <w:p>
      <w:pPr>
        <w:pStyle w:val="Heading1"/>
      </w:pPr>
      <w:r>
        <w:t>一、这轮主稿采用什么结果</w:t>
      </w:r>
    </w:p>
    <w:p>
      <w:r>
        <w:t>作者已明确确认：最新版图片中的Ours以及69.62%的评估属于完整检索模型的新预测、新评估。主稿据此讨论完整方法，不再沿用此前“仅是MPF改名”的判断。该确认没有补充模块关闭实验，故完整方法有效性与各组件独立贡献仍须区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记录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目前可说什么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仍需核对什么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Ours报告四类mIoU 69.62%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保留作者报告；相对文献DamageFormer原报差+2.53 pp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打印四类IoU均值为69.64%，需原始矩阵统一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Ours受损43.84%、毁坏61.59%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对公开DamageFormer分项差+3.98/+5.00 pp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原始TP/FP/FN说明具体纠错来源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MPF四类68.54%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作者此前确认同一权重完整Test，可作内部参照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保留原评估版本、权重与配置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Ours对MPF的分项差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受损+1.63、毁坏+2.87、完好0、背景−0.10 pp，OA−0.19 pp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不能把所有指标都写成提高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事件均值54.04%、+1.78 pp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最新摘要中的作者记录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14事件结果、类别范围、缺类规则及比较基线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新表3–6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设计和评价规则可写清</w:t>
            </w:r>
          </w:p>
        </w:tc>
        <w:tc>
          <w:tcPr>
            <w:tcW w:type="dxa" w:w="3400"/>
          </w:tcPr>
          <w:p>
            <w:pPr>
              <w:spacing w:after="40" w:line="240" w:lineRule="auto"/>
            </w:pPr>
            <w:r>
              <w:rPr>
                <w:sz w:val="18"/>
              </w:rPr>
              <w:t>真实运行缺失，保留待测</w:t>
            </w:r>
          </w:p>
        </w:tc>
      </w:tr>
    </w:tbl>
    <w:p>
      <w:r>
        <w:t>前景三类均值可由报告分项计算：MPF约59.0567%，Ours约60.5567%，差1.5000 pp。该派生值不等于重新推理，不解决69.62/69.64的冲突；最终均值应从同一混淆矩阵计算。</w:t>
      </w:r>
    </w:p>
    <w:p>
      <w:pPr>
        <w:pStyle w:val="Heading1"/>
      </w:pPr>
      <w:r>
        <w:t>二、图片讨论已经怎样改</w:t>
      </w:r>
    </w:p>
    <w:p>
      <w:r>
        <w:t>所有11个原始图片文件和图形对象保持不变，其中1个只是四类颜色图例。没有改预测颜色、框选位置、图内标题、图片尺寸或裁窗，也没有生成新热图。</w:t>
      </w:r>
    </w:p>
    <w:p>
      <w:r>
        <w:t>图5(a)实际是地震与冲突，图外分图标题已更正；总体图实际9列，图注已逐列写全。能登图主要显示Destroyed→Intact混淆减少，土耳其图显示Damaged屋顶内部等级混杂减少，两者仍有错误残留。最新缅甸图只有RGB、GT、DamageFormer、Ours四列，已去掉图注中的SAR；该图同时存在受损目标恢复和背景绿色假阳性，因此不能只讲召回改善。</w:t>
      </w:r>
    </w:p>
    <w:p>
      <w:r>
        <w:t>新的结果讨论区分四件事：类别等权mIoU与像素加权OA的取舍；区域连续与分类正确的区别；历史训练案例不是当前建筑的新观测；标准跨事件检索与未见事件泛化的区别。图片可以解释局部行为，不能代替新模块关闭版本的同窗口预测或全量计数。</w:t>
      </w:r>
    </w:p>
    <w:p>
      <w:pPr>
        <w:pStyle w:val="Heading1"/>
      </w:pPr>
      <w:r>
        <w:t>三、未补全实验具体需要什么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主稿位置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需要实际运行/保存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可以证明什么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不能靠什么替代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表3(a) 2×2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B→Q关/开×Adapter关/开，匹配前端、预算和直接区域读出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两项主效应与交互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旧base/region/roi/memory名称不能直接映射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表3(b) 固定Q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普通内容、完整条件、去B、去b(Q)、去H(Q)共5组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结构条件相对活跃容量的作用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不能按条件通道数猜每项贡献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表4 信息来源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像素头、区域、参数槽、余弦支持、监督支持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当前上下文、Reader、真实案例的增量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独立训练差值不等于纯排序作用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表5 固定Reader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同一权重替换邻居ID，保存查询/支持ID与有效掩膜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邻居相关性是否影响最终分类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好看的近邻或注意力不等于分类增益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表6 内容干预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去标签/去元数据重训；随机、置换、关闭分开做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训练增量与固定模型依赖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一次分布外扰动不能单独证明因果贡献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事件与稳定性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14事件计数，至少3预定种子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是否存在场景退化及差值稳定性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不能从全局矩阵推出事件宏平均和标准差</w:t>
            </w:r>
          </w:p>
        </w:tc>
      </w:tr>
    </w:tbl>
    <w:p>
      <w:r>
        <w:t>建议先保留/提供小JSON：完整Ours的4×4矩阵与result、14事件矩阵或指标表、各变体配置与种子、同窗原标签PNG和GT、真实Top-K ID/分数/标签组成。图片或少量IoU不能唯一反推出混淆矩阵、F1和误改计数。</w:t>
      </w:r>
    </w:p>
    <w:p>
      <w:pPr>
        <w:pStyle w:val="Heading1"/>
      </w:pPr>
      <w:r>
        <w:t>四、数字演示：以下全部是手工构造，非实测、非性能预测</w:t>
      </w:r>
    </w:p>
    <w:p>
      <w:r>
        <w:t>本节只回答“如果补齐实验出现这些数字，该怎么分析”。数字不来自训练、文献或统计模型，没有预测概率与可信区间，不是对当前新实验会得多少分的估计，不得回填论文表3–6。它们只用相对差值，不为Ours编造新的绝对mIoU、TP/FP或显著性。</w:t>
      </w:r>
    </w:p>
    <w:p>
      <w:pPr>
        <w:pStyle w:val="Heading2"/>
      </w:pPr>
      <w:r>
        <w:t>例1：正交互的假设情景（非实测）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演示配置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假设前景mIoU相对共同基准差，pp（非实测）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示例A00：相容关、Adapter关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示例A10：相容开、Adapter关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+0.10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示例A01：相容关、Adapter开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+0.20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示例A11：二者开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+0.45</w:t>
            </w:r>
          </w:p>
        </w:tc>
      </w:tr>
    </w:tbl>
    <w:p>
      <w:r>
        <w:t>只在这个假设情景中，Adapter关闭时相容项效应为+0.10 pp，开启时为+0.25 pp；交互为0.45−0.10−0.20＋0=+0.15 pp。可写“该情景的数值呈正交互”；没有重复种子和区间，仍不能写“显著协同”。这不是对本文实际交互大小的预测。</w:t>
      </w:r>
    </w:p>
    <w:p>
      <w:pPr>
        <w:pStyle w:val="Heading2"/>
      </w:pPr>
      <w:r>
        <w:t>例2：单项为正、联用却失败的假设情景（非实测）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演示配置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假设前景mIoU相对共同基准差，pp（非实测）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示例B00：二者关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示例B10：仅相容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+0.10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示例B01：仅Adapter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+0.20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示例B11：二者开</w:t>
            </w:r>
          </w:p>
        </w:tc>
        <w:tc>
          <w:tcPr>
            <w:tcW w:type="dxa" w:w="5100"/>
          </w:tcPr>
          <w:p>
            <w:pPr>
              <w:spacing w:after="40" w:line="240" w:lineRule="auto"/>
            </w:pPr>
            <w:r>
              <w:rPr>
                <w:sz w:val="18"/>
              </w:rPr>
              <w:t>−0.05</w:t>
            </w:r>
          </w:p>
        </w:tc>
      </w:tr>
    </w:tbl>
    <w:p>
      <w:r>
        <w:t>这个反例的交互为−0.05−0.10−0.20＋0=−0.35 pp。即使单项提高，联用仍可能互相干扰；不能按模块个数累加预期收益。实际若出现类似趋势，应检查Q改变后条件量和池化分布是否变化，而不是预先把联用分数写得最高。</w:t>
      </w:r>
    </w:p>
    <w:p>
      <w:pPr>
        <w:pStyle w:val="Heading2"/>
      </w:pPr>
      <w:r>
        <w:t>例3：检索相关性与分类的三种假设情景（非实测）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演示情景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假设类宏P@8变化，pp（非实测）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假设固定Reader前景mIoU变化，pp（非实测）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只能作出的解释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示例C1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+10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0.00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邻居更相关，但没有转化为像素收益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示例C2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+10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+0.20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同时观察到相关性与分类变化，仍检查有效支持和随机对照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示例C3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+0.20</w:t>
            </w:r>
          </w:p>
        </w:tc>
        <w:tc>
          <w:tcPr>
            <w:tcW w:type="dxa" w:w="2550"/>
          </w:tcPr>
          <w:p>
            <w:pPr>
              <w:spacing w:after="40" w:line="240" w:lineRule="auto"/>
            </w:pPr>
            <w:r>
              <w:rPr>
                <w:sz w:val="18"/>
              </w:rPr>
              <w:t>不能把分类变化归于P@8增加，可能有其它内容或适应因素</w:t>
            </w:r>
          </w:p>
        </w:tc>
      </w:tr>
    </w:tbl>
    <w:p>
      <w:r>
        <w:t>这些数值刻意是演示数据，不与69.62%、54.04%等作者报告拼接，也不形成任何正式排名。实际表格填入真实值后，应按同样的比较逻辑重写结论，包括负结果和无变化结果。</w:t>
      </w:r>
    </w:p>
    <w:p>
      <w:pPr>
        <w:pStyle w:val="Heading1"/>
      </w:pPr>
      <w:r>
        <w:t>五、投稿前的数值一致性检查</w:t>
      </w:r>
    </w:p>
    <w:p>
      <w:r>
        <w:t>1. 从同一原始混淆矩阵一次生成四类IoU、四类mIoU与前景mIoU，核对69.62/69.64；不要手改一个值凑齐。</w:t>
      </w:r>
    </w:p>
    <w:p>
      <w:r>
        <w:t>2. 事件均值说明是四类还是前景平均，统一缺类处理，确认+1.78的比较基线；不要将54.04与全局69.62直接相减解释模型退化。</w:t>
      </w:r>
    </w:p>
    <w:p>
      <w:r>
        <w:t>3. 图中Ours已按作者确认视为完整新模型；保存实际权重与裁窗记录，图片无需因文字讨论再重做。</w:t>
      </w:r>
    </w:p>
    <w:p>
      <w:r>
        <w:t>4. 未运行消融、标准差、P值、FP/FN与成本不填猜测；演示文件与实测数据分开保存。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补充说明｜第4节为手工构造示例，不是实测或性能预测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