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论文1：可粘贴的详细结果分析正文</w:t>
      </w:r>
    </w:p>
    <w:p>
      <w:r>
        <w:t>本文件只提供文字与算术核对，不改图片、不新增实测结果。数值证据分为：①BRIGHT原文表5公开结果；②用户已确认的MPF完整Test既有汇总（即原roi行）；③尚未绑定权重/协议的旧递进记录；④已完成但采用不同方法版本的历史双槽A/B/C/D实验。四类证据不得混合成同一组控制实验。</w:t>
      </w:r>
    </w:p>
    <w:p>
      <w:pPr>
        <w:pStyle w:val="Heading1"/>
      </w:pPr>
      <w:r>
        <w:t>一、总体定量结果：放在表1前后</w:t>
      </w:r>
    </w:p>
    <w:p>
      <w:pPr>
        <w:pStyle w:val="Heading2"/>
      </w:pPr>
      <w:r>
        <w:t>1. 表1之前：先给读者明确结论</w:t>
      </w:r>
    </w:p>
    <w:p>
      <w:r>
        <w:t>表1汇总BRIGHT标准测试集上的建筑定位、等级分类与密集分割结果。多模态像素前端MPF的既有完整Test记录为：定位F1为90.70%，分类F1为73.29%，总体准确率为96.31%，四类mIoU为68.54%；背景、完好、受损和毁坏IoU依次为96.99%、76.24%、42.21%和58.72%。由后三个已报告IoU计算，前景三类mIoU约为59.0567%。该行对应用户确认的best_val_miou.pth评估汇总，本轮整理未重新执行推理；完整检索框架Ours尚缺少同协议总体计数，故相关结果保留待测。</w:t>
      </w:r>
    </w:p>
    <w:p>
      <w:r>
        <w:t>与BRIGHT原文公开报告的DamageFormer相比，MPF的四类mIoU和按显示分项计算的前景mIoU分别高1.45和约1.8933个百分点；受损与毁坏IoU分别高2.35和2.13个百分点。因而，现有总体记录中的主要变化不仅发生在背景或完好类别，而与损毁等级区分有关。不过，该比较跨越公开论文和本地既有评估两个来源，不能将差值直接解释为单个新增模块在同一随机种子下的独立贡献。</w:t>
      </w:r>
    </w:p>
    <w:p>
      <w:pPr>
        <w:pStyle w:val="Heading2"/>
      </w:pPr>
      <w:r>
        <w:t>2. 表1之后：具体分析损毁类别与定位取舍</w:t>
      </w:r>
    </w:p>
    <w:p>
      <w:r>
        <w:t>从各类别看，MPF相对公开DamageFormer的背景、完好、受损与毁坏IoU分别变化+0.12、+1.20、+2.35和+2.13个百分点。背景的变化较小，而受损及毁坏的变化较大，说明只报告OA会弱化对等级差异的观察。对应的定位F1、分类F1与OA分别变化+0.41、+0.78和+0.18个百分点。定位与等级分类并不等价：更好的建筑范围预测并不保证等级正确，后续局部图因此同时区分建筑漏检、背景误报和建筑内部的等级混淆。</w:t>
      </w:r>
    </w:p>
    <w:p>
      <w:r>
        <w:t>与表1中公开四类mIoU最高的ChangeMamba相比，MPF的四类mIoU高0.91个百分点，受损与毁坏IoU分别高2.16和0.81个百分点，分类F1高0.59个百分点；但定位F1低0.20个百分点。因此，不能将MPF概括为所有指标均最优。当前结果更支持“既有本地记录在损毁分类指标上有较好表现，同时定位仍有改进空间”的表述。若要作严格的同协议方法排名，还需统一重评公开模型的权重、输入、类映射、解码与指标实现。</w:t>
      </w:r>
    </w:p>
    <w:p>
      <w:r>
        <w:t>公开比较本身也显示了等级难度的不均衡。表中受损IoU处于35.06%—40.05%，低于相应的完好与毁坏类别；MPF虽将该项提高至42.21%，仍明显低于其完好IoU的76.24%。这表明Damaged仍是后续方法的主要评价重点。该现象不能仅由类别频次解释，还可能涉及受损程度连续、与完好及毁坏的观测接近、配准和建筑边缘混合等因素；确定原因需要类别计数、混淆矩阵及分场景分析。</w:t>
      </w:r>
    </w:p>
    <w:p>
      <w:pPr>
        <w:pStyle w:val="Heading2"/>
      </w:pPr>
      <w:r>
        <w:t>3. 表1脚注建议</w:t>
      </w:r>
    </w:p>
    <w:p>
      <w:r>
        <w:t>“†为BRIGHT原文公开报告，非本轮重新评测；MPF为用户确认的best_val_miou.pth既有完整Test汇总。由显示到两位小数的类别IoU计算的前景均值为派生近似值，最终以原始混淆矩阵为准。跨来源差值仅用于报告比较，不替代匹配训练和重评。Ours为完整检索框架，缺少原始评估的单元格保留待测。SiamCRNN原文四类mIoU为65.73%，与其显示分项的均值存在末位差异，此处保留原文报告。”</w:t>
      </w:r>
    </w:p>
    <w:p>
      <w:pPr>
        <w:pStyle w:val="Heading2"/>
      </w:pPr>
      <w:r>
        <w:t>4. 可放入说明文件的差值表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MPF相对公开结果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定位F1差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分类F1差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OA差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四类mIoU差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前景mIoU差*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背景IoU差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完好IoU差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受损IoU差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毁坏IoU差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DamageFormer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+0.41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+0.78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+0.18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+1.45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+1.8933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+0.12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+1.20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+2.35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+2.13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ChangeMamba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−0.20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+0.59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+0.09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+0.91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+1.2067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+0.03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+0.65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+2.16</w:t>
            </w:r>
          </w:p>
        </w:tc>
        <w:tc>
          <w:tcPr>
            <w:tcW w:type="dxa" w:w="1020"/>
          </w:tcPr>
          <w:p>
            <w:pPr>
              <w:spacing w:after="40" w:line="240" w:lineRule="auto"/>
              <w:ind w:firstLine="0"/>
            </w:pPr>
            <w:r>
              <w:rPr>
                <w:sz w:val="15"/>
              </w:rPr>
              <w:t>+0.81</w:t>
            </w:r>
          </w:p>
        </w:tc>
      </w:tr>
    </w:tbl>
    <w:p>
      <w:r>
        <w:t>单位为百分点；*由报告分项计算。不能据此宣称同种子显著差异。</w:t>
      </w:r>
    </w:p>
    <w:p>
      <w:pPr>
        <w:pStyle w:val="Heading1"/>
      </w:pPr>
      <w:r>
        <w:t>二、总体结果图：图不变，按真实模型身份解释</w:t>
      </w:r>
    </w:p>
    <w:p>
      <w:pPr>
        <w:pStyle w:val="Heading2"/>
      </w:pPr>
      <w:r>
        <w:t>1. 图5引导段</w:t>
      </w:r>
    </w:p>
    <w:p>
      <w:r>
        <w:t>图5使用同坐标测试裁窗，依次给出灾前光学、灾后SAR、参考标签与六种模型预测。最后一列为MPF像素前端，其与表1的本地MPF行对应；它不是尚待总体评估的完整检索框架。三组样例分别覆盖地震与冲突、火山与山火、飓风/洪水/爆炸。图中18个所选窗口提供空间误差解释，不能用其表现替代完整Test统计，也不能从所选样例的数量推断灾种权重。</w:t>
      </w:r>
    </w:p>
    <w:p>
      <w:pPr>
        <w:pStyle w:val="Heading2"/>
      </w:pPr>
      <w:r>
        <w:t>2. 图5(a)：地震与冲突</w:t>
      </w:r>
    </w:p>
    <w:p>
      <w:r>
        <w:t>图5(a)的土耳其样例同时包含完好、受损和毁坏建筑。即使不同模型给出了相近的建筑范围，其内部等级分配仍然不同：首行DamageFormer在目标屋顶附近出现红绿混合，MPF在对应主体位置给出更多浅棕色受损预测，表明差异并非只来自建筑定位。能登样例中的成片毁坏区域在若干比较模型中被预测为绿色完好，MPF恢复了相当部分红色毁坏区域，但仍有绿色残留与边缘偏差。乌克兰样例以完好建筑为主，各模型主体轮廓相近，细小损毁仍有遗漏。由此，图像支持的是特定位置的等级混淆减少，而非所有场景、所有类别均一致改善。</w:t>
      </w:r>
    </w:p>
    <w:p>
      <w:pPr>
        <w:pStyle w:val="Heading2"/>
      </w:pPr>
      <w:r>
        <w:t>3. 图5(b)：火山与山火</w:t>
      </w:r>
    </w:p>
    <w:p>
      <w:r>
        <w:t>图5(b)中的刚果样例具有相邻完好与毁坏建筑，判断重点是预测类别与GT的对应，而非红色面积或轮廓规整程度。La Palma样例背景较多，部分预测在稀疏建筑周围产生额外斑块，应计为背景假阳性而不能忽略。夏威夷样例同时含受损与毁坏建筑，两类之间仍存在互换和漏检。MPF并未完全消除这些错误，因此其总体分类改善应与残余误报、边缘偏移共同描述。</w:t>
      </w:r>
    </w:p>
    <w:p>
      <w:pPr>
        <w:pStyle w:val="Heading2"/>
      </w:pPr>
      <w:r>
        <w:t>4. 图5(c)：飓风、洪水与爆炸</w:t>
      </w:r>
    </w:p>
    <w:p>
      <w:r>
        <w:t>图5(c)中的墨西哥样例具有大面积受损主体，多数模型能保留浅棕色范围，但局部毁坏仍有遗漏。缅甸样例建筑稀疏且尺度较小，错误集中在少量像素，需要相同坐标的放大窗才能辨别。利比亚样例的受损区域仍会混入完好或毁坏预测，Bata样例则有毁坏被判为完好的现象。此类未改善或仍退化的窗口同样需要展示，避免仅由成功案例形成总体结论。完整方法若后续获得新结果，应增加同窗口真实预测，不需重新挑选更有利位置。</w:t>
      </w:r>
    </w:p>
    <w:p>
      <w:pPr>
        <w:pStyle w:val="Heading1"/>
      </w:pPr>
      <w:r>
        <w:t>三、旧递进配置：按数值描述取舍，不把名称当机制</w:t>
      </w:r>
    </w:p>
    <w:p>
      <w:pPr>
        <w:pStyle w:val="Heading2"/>
      </w:pPr>
      <w:r>
        <w:t>1. 表2说明段</w:t>
      </w:r>
    </w:p>
    <w:p>
      <w:r>
        <w:t>表2保留基础、区域、结构和检索增强四阶段的既有记录；其中结构阶段roi已由用户确认对应MPF像素前端的完整Test结果。其它阶段的配置、权重、Q、支持规则与训练预算仍需逐项绑定，因此相邻行的变化先视为配置间的报告差异，不能直接等同于本文建筑相容项、结构Adapter和监督排序三项设计各自的贡献。尤其不能把旧memory行自动当作本稿完整Top-8监督检索框架的最终成绩。</w:t>
      </w:r>
    </w:p>
    <w:p>
      <w:pPr>
        <w:pStyle w:val="Heading2"/>
      </w:pPr>
      <w:r>
        <w:t>2. 区域阶段的变化</w:t>
      </w:r>
    </w:p>
    <w:p>
      <w:r>
        <w:t>按已报告数值，region相对base的四类mIoU提高0.75个百分点，受损与毁坏IoU分别提高1.14和1.74个百分点，完好提高0.19个百分点，而背景下降0.06个百分点。由显示分项计算的前景三类均值由57.1633%变为58.1867%，约增加1.0233个百分点。该变化在数值上更集中于损毁类别，符合需要进一步检查区域上下文是否改变等级判断的动机；但由于旧阶段实际开关尚未完全对齐，不能将其直接写成“仅加入超像素带来0.75个百分点”。</w:t>
      </w:r>
    </w:p>
    <w:p>
      <w:pPr>
        <w:pStyle w:val="Heading2"/>
      </w:pPr>
      <w:r>
        <w:t>3. MPF像素前端的变化</w:t>
      </w:r>
    </w:p>
    <w:p>
      <w:r>
        <w:t>roi相对region的四类mIoU提高0.70个百分点，完好与受损IoU分别提高1.01和1.21个百分点，毁坏提高0.39个百分点，背景提高0.18个百分点。前景均值约从58.1867%变为59.0567%。这一行同时改善了所列类别，但仍需确认是否包含像素前端权重更新、建筑先验读出或其它训练变化。若这些因素同时变化，应将结果表述为“MPF配置的总体改善”，随后由固定Q的普通Adapter与结构条件Adapter对照解释新增条件的作用。</w:t>
      </w:r>
    </w:p>
    <w:p>
      <w:pPr>
        <w:pStyle w:val="Heading2"/>
      </w:pPr>
      <w:r>
        <w:t>4. 检索阶段的变化与待核数据</w:t>
      </w:r>
    </w:p>
    <w:p>
      <w:r>
        <w:t>memory相对roi的受损与毁坏IoU分别增加1.63和2.87个百分点，完好IoU保持76.24%，背景IoU下降0.10个百分点，OA下降0.19个百分点。这说明即使所列损毁指标增加，也不能写成“所有指标逐级提高”。mIoU对四类等权，而OA按像素频次加权；因此少数类别改善与OA下降在数学上可以同时发生。不过，仅靠这些IoU尚不能知道误差具体从哪些类别转移，必须读取4×4混淆矩阵。</w:t>
      </w:r>
    </w:p>
    <w:p>
      <w:r>
        <w:t>该行原报四类mIoU为69.62%，但打印出的96.89%、76.24%、43.84%、61.59%的均值为69.64%，二者相差0.02个百分点，超过四个分项常规两位小数舍入通常可解释的均值误差。当前不能选择其中一个作为已核实总体成绩。正式四类mIoU保留待核，原报值存入来源说明；由所列前景分项计算得到的60.5567%也应注明为算术派生值，而不是独立重新评测。</w:t>
      </w:r>
    </w:p>
    <w:p>
      <w:pPr>
        <w:pStyle w:val="Heading2"/>
      </w:pPr>
      <w:r>
        <w:t>5. 可填入旁表的派生数据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既有配置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前景mIoU%，由分项计算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四类mIoU%，由分项计算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原报四类mIoU%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数据状态</w:t>
            </w:r>
          </w:p>
        </w:tc>
      </w:tr>
      <w:tr>
        <w:trPr>
          <w:cantSplit/>
        </w:trPr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base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57.1633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67.0900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67.09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阶段配置待绑定</w:t>
            </w:r>
          </w:p>
        </w:tc>
      </w:tr>
      <w:tr>
        <w:trPr>
          <w:cantSplit/>
        </w:trPr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region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58.1867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67.8425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67.84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两位小数舍入一致；配置待绑定</w:t>
            </w:r>
          </w:p>
        </w:tc>
      </w:tr>
      <w:tr>
        <w:trPr>
          <w:cantSplit/>
        </w:trPr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roi／MPF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59.0567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68.5400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68.54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用户确认MPF既有Test汇总；本轮未重跑</w:t>
            </w:r>
          </w:p>
        </w:tc>
      </w:tr>
      <w:tr>
        <w:trPr>
          <w:cantSplit/>
        </w:trPr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memory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60.5567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69.6400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69.62</w:t>
            </w:r>
          </w:p>
        </w:tc>
        <w:tc>
          <w:tcPr>
            <w:tcW w:type="dxa" w:w="204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总体与分项矛盾；待原始矩阵</w:t>
            </w:r>
          </w:p>
        </w:tc>
      </w:tr>
    </w:tbl>
    <w:p>
      <w:r>
        <w:t>此表是整理过程的算术核对，不增加新的实验行。</w:t>
      </w:r>
    </w:p>
    <w:p>
      <w:pPr>
        <w:pStyle w:val="Heading1"/>
      </w:pPr>
      <w:r>
        <w:t>四、三幅局部图：逐图解释，不改图片</w:t>
      </w:r>
    </w:p>
    <w:p>
      <w:pPr>
        <w:pStyle w:val="Heading2"/>
      </w:pPr>
      <w:r>
        <w:t>图6 能登：毁坏漏判</w:t>
      </w:r>
    </w:p>
    <w:p>
      <w:r>
        <w:t>图6的GT将蓝框内多栋建筑标记为毁坏，DamageFormer在相应主体位置主要给出绿色完好预测，MPF则恢复了更大面积的红色毁坏区域，与参考等级更接近。该图最直接反映Destroyed→Intact混淆的变化，不能称为Damaged的改善。MPF仍保留部分绿色区域，并在建筑间隔与边界处存在偏差；单纯增加红色面积也可能引入背景或完好的假阳性。因此，后续应在固定蓝框内报告毁坏类救回、误改、TP、FP与FN，而不是只挑选一个有利IoU。图中没有各阶段区域或检索输出，不能将此变化归因于Memory。</w:t>
      </w:r>
    </w:p>
    <w:p>
      <w:pPr>
        <w:pStyle w:val="Heading2"/>
      </w:pPr>
      <w:r>
        <w:t>图7 土耳其：受损屋顶等级混杂</w:t>
      </w:r>
    </w:p>
    <w:p>
      <w:r>
        <w:t>图7的GT将屋顶主体标为受损。DamageFormer在同一屋顶内部同时预测绿色完好和红色毁坏，MPF的浅棕色受损覆盖更接近参考标签，表现为所选位置的等级恢复。其残余红色、绿色小孔以及边缘扩张表明，主体等级与定位边界并未同时完全解决。预测中的多色不能解释为建筑内部真实存在多种等级，因为当前参考标签在该建筑上以受损等级评价。除Damaged的TP/FP/FN外，若有实例标注，还可检验单栋建筑内错误等级比例及预测一致性；没有实例标注时不能把软区域等同为建筑实例。</w:t>
      </w:r>
    </w:p>
    <w:p>
      <w:pPr>
        <w:pStyle w:val="Heading2"/>
      </w:pPr>
      <w:r>
        <w:t>图8 缅甸：小目标恢复与背景误报</w:t>
      </w:r>
    </w:p>
    <w:p>
      <w:r>
        <w:t>图8中两个浅棕色受损目标较为稀疏，DamageFormer对其中一个目标仅恢复较小受损范围并混入绿色，MPF给出更完整的浅棕主体。但MPF左侧额外绿色斑块在GT中主要属于背景，说明目标召回改善与背景误报可同时出现。此图支持“所选窗口的受损恢复有所改善，同时仍有假阳性”的有限结论，不能写成“小目标均能可靠识别”。局部指标必须绑定96×96原始像素窗口和原标签，不能把截图颜色或插值后的显示图用于总体计数。</w:t>
      </w:r>
    </w:p>
    <w:p>
      <w:pPr>
        <w:pStyle w:val="Heading2"/>
      </w:pPr>
      <w:r>
        <w:t>三图之后的过渡段</w:t>
      </w:r>
    </w:p>
    <w:p>
      <w:r>
        <w:t>三幅图分别突出毁坏到完好的等级混淆、受损屋顶内部错误等级和稀疏目标漏检/误报。它们与总体表中损毁类别较难的现象相互补充，但并不构成三个模块的一一对应证据。图像保持现状时，最稳妥的做法是将其作为MPF的局部误差分析；建筑相容项、结构Adapter和历史支持的机制结论由真实的匹配控制实验另行验证。</w:t>
      </w:r>
    </w:p>
    <w:p>
      <w:pPr>
        <w:pStyle w:val="Heading1"/>
      </w:pPr>
      <w:r>
        <w:t>五、表3—表6尚未运行：如何写成可检验的实验而非虚构结果</w:t>
      </w:r>
    </w:p>
    <w:p>
      <w:pPr>
        <w:pStyle w:val="Heading2"/>
      </w:pPr>
      <w:r>
        <w:t>表3(a)二因素实验说明</w:t>
      </w:r>
    </w:p>
    <w:p>
      <w:r>
        <w:t>本实验拟检验建筑相容项和结构内容适配是否分别有效。四组共享同一MPF、区域预算、数据流、损失与更新次数，且使用相同的像素–区域联合读出；不引入Reader或支持槽。通过关闭/开启B→Q相容项和结构Adapter构成完整二因素配置。报告两项在另一项关闭与开启时的配对变化，以及交互差“联用−仅相容−仅适配＋基准”。成绩尚未取得时，仅说明实验目的与计算方式，不能写成某项提高了若干百分点。若只有联用配置改善，则支持条件依赖关系，而不足以宣称两个模块各自独立有效。</w:t>
      </w:r>
    </w:p>
    <w:p>
      <w:pPr>
        <w:pStyle w:val="Heading2"/>
      </w:pPr>
      <w:r>
        <w:t>表3(b)内容条件与容量</w:t>
      </w:r>
    </w:p>
    <w:p>
      <w:r>
        <w:t>本实验拟在固定同一Q和融合输入的条件下，比较普通内容Adapter、完整结构条件和逐项去除B、b(Q)、H(Q)的配置。普通Adapter需要匹配实际参与计算的容量、初始化和训练预算；完整条件也应在同一协议下重训。由于B还可通过Q影响b(Q)与H(Q)，删除显式B通道不等于移除所有建筑信息。若完整条件没有优于普通Adapter，则不能把额外处理容量的变化归因于结构条件。混合率、边缘错误率与最终分割分别报告，防止将分区视觉改善直接当成分类改善。</w:t>
      </w:r>
    </w:p>
    <w:p>
      <w:pPr>
        <w:pStyle w:val="Heading2"/>
      </w:pPr>
      <w:r>
        <w:t>表4信息来源与读取容量</w:t>
      </w:r>
    </w:p>
    <w:p>
      <w:r>
        <w:t>本实验拟区分当前像素适配、当前区域上下文、Reader容量及真实Train案例的作用。像素头适配与像素–区域联合回答当前图像的区域信息是否有增量；参数化支持对照回答额外可学习参数和Reader本身是否已经足以改变结果；真实支持与参数化支持的比较检验历史案例增量。可学习支持向量包含全局参数信息，不能称为“空信息”。余弦与监督检索若分别训练Reader，结果同时包含排序差异与Reader适应，因此需要固定权重的邻居ID替换进一步检验。</w:t>
      </w:r>
    </w:p>
    <w:p>
      <w:pPr>
        <w:pStyle w:val="Heading2"/>
      </w:pPr>
      <w:r>
        <w:t>表5固定读取器的排序检验</w:t>
      </w:r>
    </w:p>
    <w:p>
      <w:r>
        <w:t>本实验拟固定Q、支持库、Reader、联合分类头与Top-8数量，仅替换检索返回的邻居ID，再按ID读取整条未投影记录。共同Reader可按预先确定比例混合两种排序邻居训练，或使用完整的训练排序×评价排序交叉设计，以降低只适应一种邻居分布的偏向。P@8与Hit@8按完好、受损、毁坏分别统计，并报告查询数和有效支持率；背景单列，不以背景主导的一致率代替损毁检索质量。若相关性改善而最终分类无增量，则结论限于支持排序，不能称为损毁性能提升。</w:t>
      </w:r>
    </w:p>
    <w:p>
      <w:pPr>
        <w:pStyle w:val="Heading2"/>
      </w:pPr>
      <w:r>
        <w:t>表6支持内容与依赖</w:t>
      </w:r>
    </w:p>
    <w:p>
      <w:r>
        <w:t>本实验将重训消融与固定权重干预分开：前者分析在相同预算下输入某类信息是否有增量，后者观察已训练模型对相应证据的依赖及脆弱性。应分别比较去标签重训、去元数据重训，以及固定权重下随机支持、标签置换和关闭支持。若随机支持与真实近邻相近，不能断言近邻相关性是主要来源；若标签置换没有影响，也不能声称模型依赖历史损毁标签。相反，单次置换造成下降仍可能包含分布破坏，需结合重训对照解释。未运行的各项保持空白，不根据方法直觉预估小数点成绩。</w:t>
      </w:r>
    </w:p>
    <w:p>
      <w:pPr>
        <w:pStyle w:val="Heading1"/>
      </w:pPr>
      <w:r>
        <w:t>六、历史双槽A/B/C/D实验诊断补充（必须与本文表3—表6分开）</w:t>
      </w:r>
    </w:p>
    <w:p>
      <w:pPr>
        <w:pStyle w:val="Heading2"/>
      </w:pPr>
      <w:r>
        <w:t>1. 版本和设计边界</w:t>
      </w:r>
    </w:p>
    <w:p>
      <w:r>
        <w:t>该补充仅整理已经运行的SRAC_SOFT_MEMORY_Q_REBASED_V1历史实验。其冻结来源为已训练2000步的Q-baseline与A1像素权重，使用3411个Train父区域、T128余弦Top-64父案例，并为每个父案例构造两槽；最多128槽仍只对应64个案例。A为固定空间双槽＋当前图像近邻，B为建筑概率soft双槽＋当前图像近邻，C为固定空间双槽＋跨事件Train案例，D为soft双槽＋跨事件Train案例。四组匹配训练顺序和5000步预算，起始输出均与同前向grid_probq一致。</w:t>
      </w:r>
    </w:p>
    <w:p>
      <w:r>
        <w:t>这与本文当前“建筑连续相容Q＋结构条件Adapter＋监督投影Top-8排序”不是同一个实验。旧双槽仅控制分槽规则与参考来源，未验证本文监督投影和结构Adapter；不得将其A/B/C/D成绩拼进表3—表6，也不能把旧D改名为本文完整Ours。</w:t>
      </w:r>
    </w:p>
    <w:p>
      <w:pPr>
        <w:pStyle w:val="Heading2"/>
      </w:pPr>
      <w:r>
        <w:t>2. Val时间序列（前景三类mIoU%，均为既有结果）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  <w:tblHeader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更新步数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grid_probq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A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B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C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500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62.0826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62.1235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62.0933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62.1292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1000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61.6133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61.6356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61.5860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61.6526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1500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61.8627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61.8960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61.8494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61.9854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2000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61.7443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61.7799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61.6941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61.8443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2500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61.6178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61.6696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61.7073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61.7384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3000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61.5838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61.6010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61.6996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61.7312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3500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61.4065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61.4504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61.5753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61.6074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4000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61.4652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61.5137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61.6253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61.6492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4500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61.3949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61.4595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61.6039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61.6270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5000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61.4095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61.4755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61.6194</w:t>
            </w:r>
          </w:p>
        </w:tc>
        <w:tc>
          <w:tcPr>
            <w:tcW w:type="dxa" w:w="170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61.6356</w:t>
            </w:r>
          </w:p>
        </w:tc>
      </w:tr>
    </w:tbl>
    <w:p>
      <w:pPr>
        <w:pStyle w:val="Heading2"/>
      </w:pPr>
      <w:r>
        <w:t>3. 趋势分析：短期增益、长期退化、相对贡献</w:t>
      </w:r>
    </w:p>
    <w:p>
      <w:r>
        <w:t>四组在500步均高于初始基底，其中D为62.1292%，高0.2265个百分点；A、B、C分别高0.1799、0.2208、0.1906个百分点。这是该已观察序列的最佳采样检查点，不意味着已证明最优训练步数。到1000步，四组均转为低于基底；1500步D短暂回升至61.9854%，高0.0827个百分点，随后继续下降。末步A/B/C/D分别低于基底0.4932、0.4272、0.2833、0.2671个百分点。因此，既有记录已确认5000步训练和终检完成，但流程通过本身不代表精度提高，不能把它称为总体性能增益。</w:t>
      </w:r>
    </w:p>
    <w:p>
      <w:r>
        <w:t>相对比较与绝对比较应分开。5000步C−A为+0.2099个百分点，D−B为+0.1601个百分点，说明在该训练版本中，跨事件Train案例相对各自图内参考配置减轻了部分性能损失；但C、D本身仍未超过grid_probq。B−A为+0.0660个百分点，D−C仅为+0.0162个百分点，后者说明soft在Memory参考条件下的末步额外变化很小。二因素交互D−C−B＋A为−0.0498个百分点，不能解释成soft与Memory具有额外正向协同。单种子的小幅差异还需重复实验才能判断稳定性。</w:t>
      </w:r>
    </w:p>
    <w:p>
      <w:r>
        <w:t>训练后期C−A、D−B变大，并不一定代表C、D持续进步；本序列中，图内参考A/B退化得更多，是差值扩大的重要算术来源。A不是C/D的分数输入，不能据共同下降断定“A把C/D拖低”。共同训练预算、损失、读取方式及数据流可能产生相似趋势，但具体原因需检查训练/验证损失、类别混淆、更新量及消融，不能只凭mIoU诊断为某一模块错误。</w:t>
      </w:r>
    </w:p>
    <w:p>
      <w:pPr>
        <w:pStyle w:val="Heading2"/>
      </w:pPr>
      <w:r>
        <w:t>4. 1500与2000步的类别取舍</w:t>
      </w:r>
    </w:p>
    <w:p>
      <w:r>
        <w:t>1500步D相对基底的完好、受损和毁坏IoU变化分别约为+0.5413、−0.3967和+0.1035个百分点，三类平均仅为+0.0827个百分点。其正值并非Damaged改善，而是完好及毁坏的变化抵消了受损下降。2000步D的三项变化约为+0.5134、−0.3545和−0.3340个百分点，故前景均值转为−0.0584个百分点。两次结果说明，不能用一次总体小幅涨分宣称Memory已经解决受损识别；对目标类的分析必须看逐类IoU与混淆。</w:t>
      </w:r>
    </w:p>
    <w:p>
      <w:pPr>
        <w:pStyle w:val="Heading2"/>
      </w:pPr>
      <w:r>
        <w:t>5. 3000步探索性Test（不作为调参选型依据）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cantSplit/>
          <w:tblHeader/>
        </w:trPr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配置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前景mIoU%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四类mIoU%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背景IoU%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完好IoU%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受损IoU%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毁坏IoU%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对同Test基底差，pp</w:t>
            </w:r>
          </w:p>
        </w:tc>
      </w:tr>
      <w:tr>
        <w:trPr>
          <w:cantSplit/>
        </w:trPr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grid_probq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59.0868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68.5259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96.8432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75.6174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42.4829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59.1601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A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58.8174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68.3603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96.9891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76.0998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41.0798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59.2726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−0.2694</w:t>
            </w:r>
          </w:p>
        </w:tc>
      </w:tr>
      <w:tr>
        <w:trPr>
          <w:cantSplit/>
        </w:trPr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B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58.8239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68.3652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96.9890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76.0800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41.0672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59.3245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−0.2629</w:t>
            </w:r>
          </w:p>
        </w:tc>
      </w:tr>
      <w:tr>
        <w:trPr>
          <w:cantSplit/>
        </w:trPr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C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59.0112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68.5054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96.9883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76.1846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41.4479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59.4010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−0.0757</w:t>
            </w:r>
          </w:p>
        </w:tc>
      </w:tr>
      <w:tr>
        <w:trPr>
          <w:cantSplit/>
        </w:trPr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D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58.9511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68.4598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96.9857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76.1766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41.5038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59.1729</w:t>
            </w:r>
          </w:p>
        </w:tc>
        <w:tc>
          <w:tcPr>
            <w:tcW w:type="dxa" w:w="1275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−0.1357</w:t>
            </w:r>
          </w:p>
        </w:tc>
      </w:tr>
    </w:tbl>
    <w:p>
      <w:r>
        <w:t>该结果对应训练未完成的3000步权重与已访问的探索性Test，不能替代5000步正式终检，也不应继续用Test选择训练策略。后续选型应使用Val，并完整披露这次Test访问。</w:t>
      </w:r>
    </w:p>
    <w:p>
      <w:r>
        <w:t>Test上四组仍低于其同前向grid_probq基底。C比A高0.1938个百分点，D比B高0.1272个百分点，显示历史案例相对图内参考仍有配置内增量；但D比C低0.0600个百分点，说明soft与历史支持结合的排序在这一划分并未保持Val中的相同趋势。D相对基底的完好IoU增加约0.5592个百分点，受损下降约0.9791个百分点，毁坏仅增加约0.0128个百分点。其总体退化主要表现为Damaged损失无法由其它两类补回，而不是所有类别都下降。C的受损损失约1.0350个百分点，但完好与毁坏收益较大，因而其前景均值略优于D。这也说明“受损单项更高”并不自动对应“前景平均更高”。</w:t>
      </w:r>
    </w:p>
    <w:p>
      <w:pPr>
        <w:pStyle w:val="Heading2"/>
      </w:pPr>
      <w:r>
        <w:t>6. 对后续训练的审慎结论</w:t>
      </w:r>
    </w:p>
    <w:p>
      <w:r>
        <w:t>现有时间序列不支持单纯延长同一训练就会改善的判断，也不能单独证明Memory概念无效。优先事项应是保留匹配基底、检查目标类误伤、比较验证集预先规定的检查点选择规则，以及测试更小更新和基底保持约束等可控训练因素。任何新的学习率、蒸馏或拒绝门控都属于待验证改进，应一次只改变一个因素，并在相同预算下与原训练比较。500步的已观察峰值可作为早期模型选择现象报告，不能倒过来编造“预先设定500步最佳”的流程。</w:t>
      </w:r>
    </w:p>
    <w:p>
      <w:pPr>
        <w:pStyle w:val="Heading1"/>
      </w:pPr>
      <w:r>
        <w:t>七、哪些未知数不能推算或猜填</w:t>
      </w:r>
    </w:p>
    <w:p>
      <w:r>
        <w:t>1. 完整Ours的总体指标、表3—表6未运行的成绩、随机种子均值±标准差、统计显著性和推理延迟均没有可推导的确定数值，应标“待测”。</w:t>
      </w:r>
    </w:p>
    <w:p>
      <w:r>
        <w:t>2. 四个IoU不能唯一反推出4×4混淆矩阵、OA、分类F1或定位F1。即使知道部分类别频数，通常仍不足以恢复全部非对角项。</w:t>
      </w:r>
    </w:p>
    <w:p>
      <w:r>
        <w:t>3. memory总体69.62与分项均值69.64的矛盾不能靠取平均“修复”；需提供原始矩阵或result.json。</w:t>
      </w:r>
    </w:p>
    <w:p>
      <w:r>
        <w:t>4. 图片的局部颜色、显示尺寸及蓝框不能生成真实像素计数。必须有原预测标签、GT、图像ID与坐标。</w:t>
      </w:r>
    </w:p>
    <w:p>
      <w:r>
        <w:t>5. 若需要研究计划中的“预期”，应使用方向性假设，例如“期待降低边缘误改，同时不增加背景FP”，并明确尚待检验；不将小数点预测写进实测表。</w:t>
      </w:r>
    </w:p>
    <w:p>
      <w:pPr>
        <w:pStyle w:val="Heading1"/>
      </w:pPr>
      <w:r>
        <w:t>八、对缺少成绩部分的预期：只作为待检验假设</w:t>
      </w:r>
    </w:p>
    <w:p>
      <w:r>
        <w:t>下表回答“可能有什么方向”，不提供没有依据的分数。已观察到旧Reader训练先升后降，所以不能假定新模块一定增加mIoU，也不能按照模块个数累计提升。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环节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希望达到的变化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可能失败的情况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判定依据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建筑概率进入Q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减少建筑/背景混合，并减少边缘误改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建筑预测错误传入分区，漏掉小建筑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表3(a)同Q预算、混合率及边缘错率与分类同看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结构条件Adapter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在相同Q下比普通内容处理提供额外收益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条件冗余或过拟合；改善来自额外容量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表3(b)固定Q和活跃参数量，逐项去条件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跨事件监督排序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目标类相关的支持更多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只学到背景/事件捷径，或类别一致不改善分割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类宏P@8、Hit@8与固定Reader最终成绩分别评价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Train标签内容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真实软标签比参数化支持提供条件信息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Reader忽略支持，或盲从错误近邻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标签/随机支持干预与重训消融分开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联合训练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保留基底已正确区域，同时救回目标类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训练损失下降而Val类别误伤增加</w:t>
            </w:r>
          </w:p>
        </w:tc>
        <w:tc>
          <w:tcPr>
            <w:tcW w:type="dxa" w:w="2550"/>
          </w:tcPr>
          <w:p>
            <w:pPr>
              <w:spacing w:after="40" w:line="240" w:lineRule="auto"/>
              <w:ind w:firstLine="0"/>
            </w:pPr>
            <w:r>
              <w:rPr>
                <w:sz w:val="18"/>
              </w:rPr>
              <w:t>按Val锁定规则选型，检查逐类救回/误改</w:t>
            </w:r>
          </w:p>
        </w:tc>
      </w:tr>
    </w:tbl>
    <w:p>
      <w:pPr>
        <w:pStyle w:val="Heading1"/>
      </w:pPr>
      <w:r>
        <w:t>九、本轮交付与下一步</w:t>
      </w:r>
    </w:p>
    <w:p>
      <w:r>
        <w:t>主稿已经回填用户确认的MPF完整Test数据，并补充分项可直接推算的前景指标；未知单元格明确为待测/待核。主稿原有10个图形对象、10个图片文件及89个公式全部保持。图内文字、裁窗和尺寸未改，增补文字只会自然改变分页。</w:t>
      </w:r>
    </w:p>
    <w:p>
      <w:r>
        <w:t>请优先提供：memory旧配置的result.json或原始4×4矩阵（解决69.62/69.64）；各阶段manifest/arguments与评估设置（确定实际模块与预算）；当前完整Ours及控制表的真实运行结果。只有现成小JSON也可以，不必先传大权重。</w:t>
      </w:r>
    </w:p>
    <w:p>
      <w:r>
        <w:t>论文结果表只能填记录支持的成绩。若后续实测低于MPF，仍应如实分析，不能以“预估会提高”为由写成正收益。这里的方向性预期用于设计实验和定位失败，不是替代数据。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