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58F27">
      <w:pPr>
        <w:pStyle w:val="32"/>
        <w:widowControl/>
        <w:jc w:val="center"/>
        <w:rPr>
          <w:rFonts w:hint="eastAsia" w:ascii="宋体" w:hAnsi="宋体" w:eastAsia="宋体" w:cs="宋体"/>
        </w:rPr>
      </w:pPr>
      <w:r>
        <w:rPr>
          <w:rFonts w:hint="eastAsia" w:ascii="Times New Roman" w:hAnsi="Times New Roman" w:eastAsia="宋体" w:cs="宋体"/>
          <w:b/>
          <w:sz w:val="32"/>
        </w:rPr>
        <w:t>面向光学–SAR建筑损毁评估的</w:t>
      </w:r>
      <w:r>
        <w:rPr>
          <w:rFonts w:hint="eastAsia" w:ascii="Times New Roman" w:hAnsi="Times New Roman" w:eastAsia="宋体" w:cs="宋体"/>
          <w:b/>
          <w:sz w:val="32"/>
        </w:rPr>
        <w:br w:type="textWrapping"/>
      </w:r>
      <w:r>
        <w:rPr>
          <w:rFonts w:hint="eastAsia" w:ascii="Times New Roman" w:hAnsi="Times New Roman" w:eastAsia="宋体" w:cs="宋体"/>
          <w:b/>
          <w:sz w:val="32"/>
        </w:rPr>
        <w:t>结构条件区域编码与跨事件检索</w:t>
      </w:r>
    </w:p>
    <w:p w14:paraId="7D31518B">
      <w:pPr>
        <w:pStyle w:val="165"/>
        <w:widowControl/>
        <w:rPr>
          <w:rFonts w:hint="eastAsia" w:ascii="宋体" w:hAnsi="宋体" w:eastAsia="宋体" w:cs="宋体"/>
        </w:rPr>
      </w:pPr>
      <w:r>
        <w:rPr>
          <w:rFonts w:ascii="Times New Roman" w:hAnsi="Times New Roman" w:eastAsia="宋体"/>
          <w:sz w:val="21"/>
        </w:rPr>
        <w:t>摘要—灾前光学与灾后合成孔径雷达（SAR）影像为建筑损毁评估提供互补观测，但区域混合与外观相似性限制了结构组织和历史案例使用。本文构建结构条件区域编码与跨事件监督检索相结合的评估框架：以预测建筑概率约束局部软归属，以分区状态调节融合内容，在固定区域表示上学习跨事件支持排序，并通过原始案例读取和区域回投完成像素联合分类。实验围绕总体性能、区域条件和历史支持组织验证。已确认的MPF像素前端在BRIGHT标准Test上的四类mIoU为68.54%，前景三类mIoU由报告分项计算约为59.06%；该成绩作为完整框架的参照，不代表新增检索模块的效果。完整新配置及控制实验成绩待统一评价，本文据现有记录分析类别取舍、局部错误及后续验证条件。</w:t>
      </w:r>
    </w:p>
    <w:p w14:paraId="7618B83C">
      <w:pPr>
        <w:pStyle w:val="165"/>
        <w:widowControl/>
        <w:rPr>
          <w:rFonts w:hint="eastAsia" w:ascii="宋体" w:hAnsi="宋体" w:eastAsia="宋体" w:cs="宋体"/>
        </w:rPr>
      </w:pPr>
      <w:r>
        <w:rPr>
          <w:rFonts w:hint="eastAsia" w:ascii="Times New Roman" w:hAnsi="Times New Roman" w:eastAsia="宋体" w:cs="宋体"/>
          <w:b/>
          <w:sz w:val="21"/>
        </w:rPr>
        <w:t>关键词：</w:t>
      </w:r>
      <w:r>
        <w:rPr>
          <w:rFonts w:hint="eastAsia" w:ascii="Times New Roman" w:hAnsi="Times New Roman" w:eastAsia="宋体" w:cs="宋体"/>
          <w:sz w:val="21"/>
        </w:rPr>
        <w:t>建筑损毁评估；光学–SAR遥感；建筑软分区；结构条件特征适配；跨事件区域检索</w:t>
      </w:r>
    </w:p>
    <w:p w14:paraId="79E28A03">
      <w:pPr>
        <w:pStyle w:val="3"/>
        <w:keepNext/>
        <w:widowControl/>
        <w:rPr>
          <w:rFonts w:hint="eastAsia" w:ascii="宋体" w:hAnsi="宋体" w:eastAsia="宋体" w:cs="宋体"/>
        </w:rPr>
      </w:pPr>
      <w:r>
        <w:rPr>
          <w:rFonts w:hint="eastAsia" w:ascii="Times New Roman" w:hAnsi="Times New Roman" w:eastAsia="宋体" w:cs="宋体"/>
          <w:sz w:val="21"/>
        </w:rPr>
        <w:t>I. 引言</w:t>
      </w:r>
    </w:p>
    <w:p w14:paraId="3B44B6DE">
      <w:pPr>
        <w:widowControl/>
        <w:rPr>
          <w:rFonts w:hint="eastAsia" w:ascii="宋体" w:hAnsi="宋体" w:eastAsia="宋体" w:cs="宋体"/>
        </w:rPr>
      </w:pPr>
      <w:r>
        <w:rPr>
          <w:rFonts w:ascii="Times New Roman" w:hAnsi="Times New Roman" w:eastAsia="宋体"/>
          <w:sz w:val="21"/>
        </w:rPr>
        <w:t>建筑损毁的位置和程度为灾后救援与资源分配提供空间依据。xBD推动了灾前、灾后光学影像中的建筑定位和损毁分级研究[1]。灾后光学获取受云雾、光照和重访时机限制，灾前光学与灾后SAR构成可用的互补观测；BRIGHT为这一组合提供了多事件标准评测数据[2]。本文以背景、完好、受损、毁坏四类密集预测为目标，不将既有数据集或跨模态输入组合本身作为贡献。</w:t>
      </w:r>
    </w:p>
    <w:p w14:paraId="2C997B24">
      <w:pPr>
        <w:widowControl/>
        <w:rPr>
          <w:rFonts w:hint="eastAsia" w:ascii="宋体" w:hAnsi="宋体" w:eastAsia="宋体" w:cs="宋体"/>
        </w:rPr>
      </w:pPr>
      <w:r>
        <w:rPr>
          <w:rFonts w:ascii="Times New Roman" w:hAnsi="Times New Roman" w:eastAsia="宋体"/>
          <w:sz w:val="21"/>
        </w:rPr>
        <w:t>已有方法从对象变化、双任务表征和状态空间建模等角度组织损毁证据。ChangeOS将建筑对象语义与损毁状态联系起来[3]，双任务孪生Transformer联合建模定位与等级[4]，ChangeMamba探索时空状态空间表征[5]。同时，迁移研究表明熟悉划分上的性能不能代替对新灾害分布的验证[6,7]。因此，本研究同时区分区域组织、区域内容和外部支持，分别检验其作用，而不把整条路径的增益归于某一个组件。</w:t>
      </w:r>
    </w:p>
    <w:p w14:paraId="67FD1E1B">
      <w:pPr>
        <w:widowControl/>
        <w:rPr>
          <w:rFonts w:hint="eastAsia" w:ascii="宋体" w:hAnsi="宋体" w:eastAsia="宋体" w:cs="宋体"/>
        </w:rPr>
      </w:pPr>
      <w:r>
        <w:rPr>
          <w:rFonts w:hint="eastAsia" w:ascii="Times New Roman" w:hAnsi="Times New Roman" w:eastAsia="宋体" w:cs="宋体"/>
          <w:sz w:val="21"/>
        </w:rPr>
        <w:t>第一个问题出现在区域归属阶段。灾前光学特征能够描述局部形态，空间距离能够限制区域范围，但仅凭二者组织的区域可能跨越建筑与背景。预测建筑概率包含更直接的结构线索，同时也可能出现误检或漏检。因而本文让建筑概率以连续相容项进入局部归属计算，而不将其阈值化为不可调整的硬边界。第二个问题出现在区域内容阶段。即使成员由软归属确定，同一区域内的边缘位置和归属分散位置仍可能具有不同的判别价值；仅改变Q而不改变融合特征，不能检验分区状态是否有助于区域表示。第三个问题出现在历史支持阶段：区域特征的外观近邻未必是损毁等级相关的邻居，特别是在不同事件之间。</w:t>
      </w:r>
    </w:p>
    <w:p w14:paraId="033C02C6">
      <w:pPr>
        <w:widowControl/>
        <w:rPr>
          <w:rFonts w:hint="eastAsia" w:ascii="宋体" w:hAnsi="宋体" w:eastAsia="宋体" w:cs="宋体"/>
        </w:rPr>
      </w:pPr>
      <w:r>
        <w:rPr>
          <w:rFonts w:hint="eastAsia" w:ascii="Times New Roman" w:hAnsi="Times New Roman" w:eastAsia="宋体" w:cs="宋体"/>
          <w:sz w:val="21"/>
        </w:rPr>
        <w:t>围绕这三个问题，本文按“区域成员—区域内容—历史支持”的顺序构建模型。灾前光学描述子和预测建筑概率共同生成局部软归属Q；建筑概率、相邻位置的软归属差异及归属熵再作为条件，对光学–SAR融合特征作残差适配。区域嵌入汇集适配内容、适配前的特征统计和软几何。在固定区域表示上，利用训练区域的跨事件同类与异类关系学习检索投影；投影只改变邻居ID，支持读取仍使用原始区域特征、训练标签组成及元数据。最后，增强区域特征经同一Q回投，与保留的像素特征共同分类。区域回投及像素联合头承担读出功能，不单列为方法创新。</w:t>
      </w:r>
    </w:p>
    <w:p w14:paraId="086994A4">
      <w:pPr>
        <w:widowControl/>
        <w:rPr>
          <w:rFonts w:hint="eastAsia" w:ascii="宋体" w:hAnsi="宋体" w:eastAsia="宋体" w:cs="宋体"/>
        </w:rPr>
      </w:pPr>
      <w:r>
        <w:rPr>
          <w:rFonts w:ascii="Times New Roman" w:hAnsi="Times New Roman" w:eastAsia="宋体"/>
          <w:sz w:val="21"/>
        </w:rPr>
        <w:t>围绕三个设计环节，本文构建由总体比较、区域组织与内容适配消融、历史支持与排序对照、检索质量、事件表现和配对案例组成的验证链。区域组织指标与最终分割指标分别报告，检索相关度与分类收益分别分析。所有结果表保留原始计数的可追溯来源，避免将递进配置的差值直接解释为单个模块的独立作用。</w:t>
      </w:r>
    </w:p>
    <w:p w14:paraId="42566789">
      <w:pPr>
        <w:widowControl/>
        <w:rPr>
          <w:rFonts w:hint="eastAsia" w:ascii="宋体" w:hAnsi="宋体" w:eastAsia="宋体" w:cs="宋体"/>
        </w:rPr>
      </w:pPr>
      <w:r>
        <w:rPr>
          <w:rFonts w:ascii="Times New Roman" w:hAnsi="Times New Roman" w:eastAsia="宋体"/>
          <w:sz w:val="21"/>
        </w:rPr>
        <w:t>本文研究三项相衔接的方法设计：（1）建筑概率约束的局部软分区，在外观亲和与空间约束之外调节像素—区域归属；（2）分区状态条件的内容适配，以建筑概率、软归属相容变化和归属熵调整融合内容，同时保留适配前统计路径；（3）跨事件类别监督的支持排序，在固定区域内容上学习检索投影，并保持原始支持读取路径。上述环节的独立作用与交互由控制实验评价，不预设每一环节均具有正向增益。第II节介绍相关工作，第III节给出方法，第IV节按统一协议组织验证，第V节总结方法及适用边界。</w:t>
      </w:r>
    </w:p>
    <w:p w14:paraId="2C581EAA">
      <w:pPr>
        <w:pStyle w:val="3"/>
        <w:keepNext/>
        <w:widowControl/>
        <w:rPr>
          <w:rFonts w:hint="eastAsia" w:ascii="宋体" w:hAnsi="宋体" w:eastAsia="宋体" w:cs="宋体"/>
        </w:rPr>
      </w:pPr>
      <w:r>
        <w:rPr>
          <w:rFonts w:hint="eastAsia" w:ascii="Times New Roman" w:hAnsi="Times New Roman" w:eastAsia="宋体" w:cs="宋体"/>
          <w:sz w:val="21"/>
        </w:rPr>
        <w:t>II. 相关工作</w:t>
      </w:r>
    </w:p>
    <w:p w14:paraId="4A80AA40">
      <w:pPr>
        <w:pStyle w:val="4"/>
        <w:keepNext/>
        <w:widowControl/>
        <w:rPr>
          <w:rFonts w:hint="eastAsia" w:ascii="宋体" w:hAnsi="宋体" w:eastAsia="宋体" w:cs="宋体"/>
        </w:rPr>
      </w:pPr>
      <w:r>
        <w:rPr>
          <w:rFonts w:hint="eastAsia" w:ascii="Times New Roman" w:hAnsi="Times New Roman" w:eastAsia="宋体" w:cs="宋体"/>
          <w:sz w:val="21"/>
        </w:rPr>
        <w:t>A. 建筑损毁评估与光学–SAR融合</w:t>
      </w:r>
    </w:p>
    <w:p w14:paraId="60E7A3D8">
      <w:pPr>
        <w:widowControl/>
        <w:rPr>
          <w:rFonts w:hint="eastAsia" w:ascii="宋体" w:hAnsi="宋体" w:eastAsia="宋体" w:cs="宋体"/>
        </w:rPr>
      </w:pPr>
      <w:r>
        <w:rPr>
          <w:rFonts w:ascii="Times New Roman" w:hAnsi="Times New Roman" w:eastAsia="宋体"/>
          <w:sz w:val="21"/>
        </w:rPr>
        <w:t>像素分割研究形成了从FCN、U-Net到空洞卷积编码–解码器的技术路线[8,9,10]，残差网络、Swin和SegFormer进一步丰富了视觉骨干与多尺度表示[11,12,13]。多源变化检测的SiamCRNN为双时相关系建模提供了相关基础[14]；建筑任务中的MS4D-Net研究少标注条件下的多任务一致性，OCD-BDA研究对象级震后变化[15,16]。这些研究输入、监督与输出层级不同，本文只在BRIGHT统一协议下比较适配版本，不能直接拼接不同任务的成绩。</w:t>
      </w:r>
    </w:p>
    <w:p w14:paraId="6B3F7D1E">
      <w:pPr>
        <w:widowControl/>
        <w:rPr>
          <w:rFonts w:hint="eastAsia" w:ascii="宋体" w:hAnsi="宋体" w:eastAsia="宋体" w:cs="宋体"/>
        </w:rPr>
      </w:pPr>
      <w:r>
        <w:rPr>
          <w:rFonts w:ascii="Times New Roman" w:hAnsi="Times New Roman" w:eastAsia="宋体"/>
          <w:sz w:val="21"/>
        </w:rPr>
        <w:t>BRIGHT以灾前光学与灾后SAR建立多灾种损毁评测[2]。本文沿用既有多模态像素前端（MPF），重点考察像素预测之后的区域成员、区域内容和历史支持。已有建筑信息不因关闭新增相容项而消失，因此后续“B→Q关闭”仅表示移除本文新增的归属项。跨事件支持选择与真正未见事件泛化也分开表述；后一问题需要专门划分和实验[6,7]。</w:t>
      </w:r>
    </w:p>
    <w:p w14:paraId="51E13AB3">
      <w:pPr>
        <w:pStyle w:val="4"/>
        <w:keepNext/>
        <w:widowControl/>
        <w:rPr>
          <w:rFonts w:hint="eastAsia" w:ascii="宋体" w:hAnsi="宋体" w:eastAsia="宋体" w:cs="宋体"/>
        </w:rPr>
      </w:pPr>
      <w:r>
        <w:rPr>
          <w:rFonts w:hint="eastAsia" w:ascii="Times New Roman" w:hAnsi="Times New Roman" w:eastAsia="宋体" w:cs="宋体"/>
          <w:sz w:val="21"/>
        </w:rPr>
        <w:t>B. 建筑先验与可学习软分区</w:t>
      </w:r>
    </w:p>
    <w:p w14:paraId="5DF5FECD">
      <w:pPr>
        <w:widowControl/>
        <w:rPr>
          <w:rFonts w:hint="eastAsia" w:ascii="宋体" w:hAnsi="宋体" w:eastAsia="宋体" w:cs="宋体"/>
        </w:rPr>
      </w:pPr>
      <w:r>
        <w:rPr>
          <w:rFonts w:ascii="Times New Roman" w:hAnsi="Times New Roman" w:eastAsia="宋体"/>
          <w:sz w:val="21"/>
        </w:rPr>
        <w:t>SLIC在颜色与空间位置的联合空间中构造超像素[17]；SSN将区域关联更新改为可微过程[18]；全卷积超像素方法直接预测局部关联[19]。这些工作已经建立软关联、区域汇总与回投的基础，本文不将“采用超像素”本身作为创新。</w:t>
      </w:r>
    </w:p>
    <w:p w14:paraId="089EB2A4">
      <w:pPr>
        <w:widowControl/>
      </w:pPr>
      <w:r>
        <w:rPr>
          <w:rFonts w:ascii="Times New Roman" w:hAnsi="Times New Roman" w:eastAsia="宋体"/>
          <w:sz w:val="21"/>
        </w:rPr>
        <w:t>对象先验指导区域组织已有研究。Superpixel Anything将对象信息用于超像素生成[20]，因而建筑或对象先验本身不能构成首创性主张。本文检验的是预测建筑概率进入局部连续相容项的具体方式，并同时考察区域混合率、有效区域数量和最终分类，避免将视觉上规整的分区等同于损毁识别改善。</w:t>
      </w:r>
    </w:p>
    <w:p w14:paraId="2375619C">
      <w:pPr>
        <w:widowControl/>
        <w:rPr>
          <w:rFonts w:hint="eastAsia" w:ascii="宋体" w:hAnsi="宋体" w:eastAsia="宋体" w:cs="宋体"/>
        </w:rPr>
      </w:pPr>
      <w:r>
        <w:rPr>
          <w:rFonts w:hint="eastAsia" w:ascii="Times New Roman" w:hAnsi="Times New Roman" w:eastAsia="宋体" w:cs="宋体"/>
          <w:sz w:val="21"/>
        </w:rPr>
        <w:t>本文在这一路径中加入预测建筑概率的软相容项，研究结构线索能否改善损毁任务中的区域归属。相容性来自模型预测，而非测试标签或建筑实例轮廓；它影响归属权重Q，但不能保证每个区域都对应单栋建筑。因此分区质量需结合混合区域和最终损毁分类评价，不能只展示更整齐的边界。</w:t>
      </w:r>
    </w:p>
    <w:p w14:paraId="16581E9B">
      <w:pPr>
        <w:pStyle w:val="4"/>
        <w:keepNext/>
        <w:widowControl/>
        <w:rPr>
          <w:rFonts w:hint="eastAsia" w:ascii="宋体" w:hAnsi="宋体" w:eastAsia="宋体" w:cs="宋体"/>
        </w:rPr>
      </w:pPr>
      <w:r>
        <w:rPr>
          <w:rFonts w:hint="eastAsia" w:ascii="Times New Roman" w:hAnsi="Times New Roman" w:eastAsia="宋体" w:cs="宋体"/>
          <w:sz w:val="21"/>
        </w:rPr>
        <w:t>C. 区域内容表征与像素上下文</w:t>
      </w:r>
    </w:p>
    <w:p w14:paraId="5896BA1B">
      <w:pPr>
        <w:widowControl/>
        <w:rPr>
          <w:rFonts w:hint="eastAsia" w:ascii="宋体" w:hAnsi="宋体" w:eastAsia="宋体" w:cs="宋体"/>
        </w:rPr>
      </w:pPr>
      <w:r>
        <w:rPr>
          <w:rFonts w:ascii="Times New Roman" w:hAnsi="Times New Roman" w:eastAsia="宋体"/>
          <w:sz w:val="21"/>
        </w:rPr>
        <w:t>区域与上下文表征已有多种路径。OCR聚合对象上下文，PSPNet汇聚多尺度区域，DANet和Non-local模块扩大特征关系的作用范围[21,22,23,24]；SENet与二阶池化分别研究通道重标定和统计表征[25,26]。WANet针对遥感沟渠提取研究小结构和背景干扰[27]，其任务与建筑损毁不同，本文仅参考其分层结果分析方式，不将其数值作为建筑任务基线。由此，注意力、统计汇总和回投是基础组件，本文的结构侧问题是分区状态如何具体影响融合内容。</w:t>
      </w:r>
    </w:p>
    <w:p w14:paraId="6910D84C">
      <w:pPr>
        <w:widowControl/>
        <w:rPr>
          <w:rFonts w:hint="eastAsia" w:ascii="宋体" w:hAnsi="宋体" w:eastAsia="宋体" w:cs="宋体"/>
        </w:rPr>
      </w:pPr>
      <w:r>
        <w:rPr>
          <w:rFonts w:hint="eastAsia" w:ascii="Times New Roman" w:hAnsi="Times New Roman" w:eastAsia="宋体" w:cs="宋体"/>
          <w:sz w:val="21"/>
        </w:rPr>
        <w:t>本文关注软分区形成之后的信息使用方式。建筑概率反映预测的结构状态，相邻软归属差异b(Q)和归属熵H(Q)分别描述局部归属变化与分散程度。三者在融合特征层调节区域内容，并与未经该适配的统计旁路结合。这里的b(Q)不等于真实建筑边界，H(Q)也不是校准过的损毁预测不确定性。与普通内容适配器和去除条件量的对照用于判断这些分区信号是否真正提供额外信息。</w:t>
      </w:r>
    </w:p>
    <w:p w14:paraId="7F5B4646">
      <w:pPr>
        <w:widowControl/>
      </w:pPr>
      <w:r>
        <w:rPr>
          <w:rFonts w:ascii="Times New Roman" w:hAnsi="Times New Roman" w:eastAsia="宋体"/>
          <w:sz w:val="21"/>
        </w:rPr>
        <w:t>条件化中间特征已有FiLM等方法[28]。本文的结构条件残差适配不等同于FiLM：输入是建筑概率、软归属相容变化和归属熵。是否优于普通内容处理，需在固定Q、相近活跃参数和训练预算下检验，并逐项去除这些条件；不能仅凭额外MLP带来的结果主张结构条件有效。</w:t>
      </w:r>
    </w:p>
    <w:p w14:paraId="02469D6B">
      <w:pPr>
        <w:pStyle w:val="4"/>
        <w:keepNext/>
        <w:widowControl/>
        <w:rPr>
          <w:rFonts w:hint="eastAsia" w:ascii="宋体" w:hAnsi="宋体" w:eastAsia="宋体" w:cs="宋体"/>
        </w:rPr>
      </w:pPr>
      <w:r>
        <w:rPr>
          <w:rFonts w:hint="eastAsia" w:ascii="Times New Roman" w:hAnsi="Times New Roman" w:eastAsia="宋体" w:cs="宋体"/>
          <w:sz w:val="21"/>
        </w:rPr>
        <w:t>D. 外部支持与跨事件检索</w:t>
      </w:r>
    </w:p>
    <w:p w14:paraId="66B52A09">
      <w:pPr>
        <w:widowControl/>
        <w:rPr>
          <w:rFonts w:hint="eastAsia" w:ascii="宋体" w:hAnsi="宋体" w:eastAsia="宋体" w:cs="宋体"/>
        </w:rPr>
      </w:pPr>
      <w:r>
        <w:rPr>
          <w:rFonts w:ascii="Times New Roman" w:hAnsi="Times New Roman" w:eastAsia="宋体"/>
          <w:sz w:val="21"/>
        </w:rPr>
        <w:t>跨图像像素对比学习和原型分割利用标签关系组织密集特征[29,30]；Prototypical Networks及FEAT研究支持样本的类别表示与适配[31,32]，Tip-Adapter将训练特征与标签构成预测缓存[33]。这些研究支持将“寻找何种支持”和“如何读取内容”作为两个问题，但其分类任务及训练设置不能直接替代本任务的控制实验。</w:t>
      </w:r>
    </w:p>
    <w:p w14:paraId="47E3F351">
      <w:pPr>
        <w:widowControl/>
        <w:rPr>
          <w:rFonts w:hint="eastAsia" w:ascii="宋体" w:hAnsi="宋体" w:eastAsia="宋体" w:cs="宋体"/>
        </w:rPr>
      </w:pPr>
      <w:r>
        <w:rPr>
          <w:rFonts w:ascii="Times New Roman" w:hAnsi="Times New Roman" w:eastAsia="宋体"/>
          <w:sz w:val="21"/>
        </w:rPr>
        <w:t>还需区分训练字典与推理支持库。Cross-Batch Memory、MoCo和DenseCL分别在度量学习或表征预训练中使用跨批特征与密集对比[34,35,36]，不等于部署时读取带损毁标注的历史案例。本文使用Train区域的跨事件类别关系拟合投影，其监督与SupCon的类别约束有关[37]；推理仅按投影返回支持ID，再由注意力式读取器使用原始记录[38]。同类邻居是否更多、最终分类是否提高、是否真正依赖支持标签，需分别验证。</w:t>
      </w:r>
    </w:p>
    <w:p w14:paraId="51CD567E">
      <w:pPr>
        <w:widowControl/>
      </w:pPr>
      <w:r>
        <w:rPr>
          <w:rFonts w:ascii="Times New Roman" w:hAnsi="Times New Roman" w:eastAsia="宋体"/>
          <w:sz w:val="21"/>
        </w:rPr>
        <w:t>本文不把“超像素加Memory”作为充分的新颖性依据，而将方法落在建筑连续相容、分区状态内容适配与跨事件支持排序三项可检验设计上。相关任务、区域上下文、原型与缓存研究共同提示：额外上下文、读取容量或类别先验本身都可能改变成绩。因此，必须匹配当前图像上下文与参数化支持，并对固定读取器进行邻居ID替换，才能进一步讨论历史案例的增量。</w:t>
      </w:r>
    </w:p>
    <w:p w14:paraId="49EA1A57">
      <w:pPr>
        <w:pStyle w:val="3"/>
        <w:keepNext/>
        <w:widowControl/>
        <w:rPr>
          <w:rFonts w:hint="eastAsia" w:ascii="宋体" w:hAnsi="宋体" w:eastAsia="宋体" w:cs="宋体"/>
        </w:rPr>
      </w:pPr>
      <w:r>
        <w:rPr>
          <w:rFonts w:hint="eastAsia" w:ascii="Times New Roman" w:hAnsi="Times New Roman" w:eastAsia="宋体" w:cs="宋体"/>
          <w:sz w:val="21"/>
        </w:rPr>
        <w:t>III. 所提方法</w:t>
      </w:r>
    </w:p>
    <w:p w14:paraId="433630B2">
      <w:pPr>
        <w:pStyle w:val="4"/>
        <w:keepNext/>
        <w:widowControl/>
        <w:rPr>
          <w:rFonts w:hint="eastAsia" w:ascii="宋体" w:hAnsi="宋体" w:eastAsia="宋体" w:cs="宋体"/>
        </w:rPr>
      </w:pPr>
      <w:r>
        <w:rPr>
          <w:rFonts w:hint="eastAsia" w:ascii="Times New Roman" w:hAnsi="Times New Roman" w:eastAsia="宋体" w:cs="宋体"/>
          <w:sz w:val="21"/>
        </w:rPr>
        <w:t>A. 任务定义与总体框架</w:t>
      </w:r>
    </w:p>
    <w:p w14:paraId="61A0269D">
      <w:pPr>
        <w:widowControl/>
        <w:rPr>
          <w:rFonts w:hint="eastAsia" w:ascii="宋体" w:hAnsi="宋体" w:eastAsia="宋体" w:cs="宋体"/>
        </w:rPr>
      </w:pPr>
      <w:r>
        <w:rPr>
          <w:rFonts w:hint="eastAsia" w:ascii="Times New Roman" w:hAnsi="Times New Roman" w:eastAsia="宋体" w:cs="宋体"/>
          <w:sz w:val="21"/>
        </w:rPr>
        <w:t>输入为空间配对的灾前光学影像和灾后SAR影像，输出为背景、完好、受损和毁坏四类像素预测。建筑概率由模型从光学观测中估计；像素级融合特征结合两种模态提供内容。区域是连接像素与支持检索的中间计算单元，允许一个位置按权重关联多个局部中心，不提供建筑实例身份，也不保证一个区域只包含一栋建筑。</w:t>
      </w:r>
    </w:p>
    <w:p w14:paraId="20D7796C">
      <w:pPr>
        <w:widowControl/>
        <w:rPr>
          <w:rFonts w:hint="eastAsia" w:ascii="宋体" w:hAnsi="宋体" w:eastAsia="宋体" w:cs="宋体"/>
        </w:rPr>
      </w:pPr>
      <w:r>
        <w:rPr>
          <w:rFonts w:hint="eastAsia" w:ascii="Times New Roman" w:hAnsi="Times New Roman" w:eastAsia="宋体" w:cs="宋体"/>
          <w:sz w:val="21"/>
        </w:rPr>
        <w:t>记当前图像的软归属为Q、区域特征为T，训练支持库为M。模型首先生成当前区域表示，再从M选择支持并获得增强区域特征，最后回投为空间上下文，与原像素特征共同分类。训练标签用于损毁监督、支持区域类别组成和检索度量学习；验证或测试图像的真实标签不参与前向分区、支持选择和分类读取。</w:t>
      </w:r>
    </w:p>
    <w:p w14:paraId="67495729">
      <w:pPr>
        <w:widowControl/>
        <w:rPr>
          <w:rFonts w:hint="eastAsia" w:ascii="宋体" w:hAnsi="宋体" w:eastAsia="宋体" w:cs="宋体"/>
        </w:rPr>
      </w:pPr>
      <w:r>
        <w:t xml:space="preserve">设配准后的输入为 </w:t>
      </w:r>
      <m:oMath>
        <m:sSup>
          <m:sSupPr>
            <m:ctrlPr>
              <w:rPr>
                <w:rFonts w:hint="eastAsia" w:ascii="Cambria Math" w:hAnsi="Cambria Math" w:eastAsia="宋体" w:cs="宋体"/>
              </w:rPr>
            </m:ctrlPr>
          </m:sSupPr>
          <m:e>
            <m:r>
              <m:rPr/>
              <w:rPr>
                <w:rFonts w:hint="eastAsia" w:ascii="Cambria Math" w:hAnsi="Cambria Math" w:eastAsia="宋体" w:cs="宋体"/>
                <w:sz w:val="20"/>
              </w:rPr>
              <m:t>X</m:t>
            </m:r>
            <m:ctrlPr>
              <w:rPr>
                <w:rFonts w:hint="eastAsia" w:ascii="Cambria Math" w:hAnsi="Cambria Math" w:eastAsia="宋体" w:cs="宋体"/>
              </w:rPr>
            </m:ctrlPr>
          </m:e>
          <m:sup>
            <m:r>
              <m:rPr>
                <m:sty m:val="p"/>
              </m:rPr>
              <w:rPr>
                <w:rFonts w:hint="eastAsia" w:ascii="Cambria Math" w:hAnsi="Cambria Math" w:eastAsia="宋体" w:cs="宋体"/>
                <w:sz w:val="20"/>
              </w:rPr>
              <m:t>opt</m:t>
            </m:r>
            <m:ctrlPr>
              <w:rPr>
                <w:rFonts w:hint="eastAsia" w:ascii="Cambria Math" w:hAnsi="Cambria Math" w:eastAsia="宋体" w:cs="宋体"/>
              </w:rPr>
            </m:ctrlPr>
          </m:sup>
        </m:sSup>
      </m:oMath>
      <w:r>
        <w:t xml:space="preserve"> 和 </w:t>
      </w:r>
      <m:oMath>
        <m:sSup>
          <m:sSupPr>
            <m:ctrlPr>
              <w:rPr>
                <w:rFonts w:hint="eastAsia" w:ascii="Cambria Math" w:hAnsi="Cambria Math" w:eastAsia="宋体" w:cs="宋体"/>
              </w:rPr>
            </m:ctrlPr>
          </m:sSupPr>
          <m:e>
            <m:r>
              <m:rPr/>
              <w:rPr>
                <w:rFonts w:hint="eastAsia" w:ascii="Cambria Math" w:hAnsi="Cambria Math" w:eastAsia="宋体" w:cs="宋体"/>
                <w:sz w:val="20"/>
              </w:rPr>
              <m:t>X</m:t>
            </m:r>
            <m:ctrlPr>
              <w:rPr>
                <w:rFonts w:hint="eastAsia" w:ascii="Cambria Math" w:hAnsi="Cambria Math" w:eastAsia="宋体" w:cs="宋体"/>
              </w:rPr>
            </m:ctrlPr>
          </m:e>
          <m:sup>
            <m:r>
              <m:rPr>
                <m:sty m:val="p"/>
              </m:rPr>
              <w:rPr>
                <w:rFonts w:hint="eastAsia" w:ascii="Cambria Math" w:hAnsi="Cambria Math" w:eastAsia="宋体" w:cs="宋体"/>
                <w:sz w:val="20"/>
              </w:rPr>
              <m:t>sar</m:t>
            </m:r>
            <m:ctrlPr>
              <w:rPr>
                <w:rFonts w:hint="eastAsia" w:ascii="Cambria Math" w:hAnsi="Cambria Math" w:eastAsia="宋体" w:cs="宋体"/>
              </w:rPr>
            </m:ctrlPr>
          </m:sup>
        </m:sSup>
      </m:oMath>
      <w:r>
        <w:t>，预测目标为四类别像素图。整体框架包含建筑概率约束的局部软分区、分区状态条件的区域特征适配、跨事件类别监督的支持排序，以及支持读取与像素联合判别，如图1所示。前三项分别决定区域成员、区域内容与历史支持，读出路径将区域证据用于密集预测。</w:t>
      </w:r>
    </w:p>
    <w:p w14:paraId="5FDEE0CA">
      <w:pPr>
        <w:widowControl/>
      </w:pPr>
      <w:r>
        <w:rPr>
          <w:rFonts w:ascii="Times New Roman" w:hAnsi="Times New Roman" w:eastAsia="宋体"/>
          <w:sz w:val="21"/>
        </w:rPr>
        <w:t>本文将提供建筑概率、融合内容和像素预测的基础网络统一称为多模态像素前端（Multimodal Pixel Frontend，MPF）。直接使用其既有分类器时写为MPF；冻结同一前端、按匹配预算只训练像素头的对照写为像素头适配（Pixel-Head Adaptation）。完整检索框架写为Ours，内部配置按实际计算路径命名，不沿用A1、J0等内部编号。</w:t>
      </w:r>
    </w:p>
    <w:p w14:paraId="758F99E8">
      <w:pPr>
        <w:widowControl/>
        <w:rPr>
          <w:rFonts w:hint="eastAsia" w:ascii="宋体" w:hAnsi="宋体" w:eastAsia="宋体" w:cs="宋体"/>
        </w:rPr>
      </w:pPr>
      <w:r>
        <w:rPr>
          <w:rFonts w:hint="eastAsia" w:ascii="宋体" w:hAnsi="宋体" w:eastAsia="宋体" w:cs="宋体"/>
        </w:rPr>
        <w:t xml:space="preserve">基础像素模型沿用项目中的双分支编码与多尺度融合，骨干结构参考Swin Transformer[12]，建筑定位与等级预测采用双任务设置[4]。预训练像素前端提供多尺度光学特征、预测建筑概率 </w:t>
      </w:r>
      <m:oMath>
        <m:r>
          <m:rPr/>
          <w:rPr>
            <w:rFonts w:hint="eastAsia" w:ascii="Cambria Math" w:hAnsi="Cambria Math" w:eastAsia="宋体" w:cs="宋体"/>
            <w:sz w:val="20"/>
          </w:rPr>
          <m:t>B</m:t>
        </m:r>
      </m:oMath>
      <w:r>
        <w:rPr>
          <w:rFonts w:hint="eastAsia" w:ascii="宋体" w:hAnsi="宋体" w:eastAsia="宋体" w:cs="宋体"/>
        </w:rPr>
        <w:t xml:space="preserve"> 及光学–SAR融合特征 </w:t>
      </w:r>
      <m:oMath>
        <m:r>
          <m:rPr/>
          <w:rPr>
            <w:rFonts w:hint="eastAsia" w:ascii="Cambria Math" w:hAnsi="Cambria Math" w:eastAsia="宋体" w:cs="宋体"/>
            <w:sz w:val="20"/>
          </w:rPr>
          <m:t>F</m:t>
        </m:r>
      </m:oMath>
      <w:r>
        <w:rPr>
          <w:rFonts w:hint="eastAsia" w:ascii="宋体" w:hAnsi="宋体" w:eastAsia="宋体" w:cs="宋体"/>
        </w:rPr>
        <w:t>。其中，</w:t>
      </w:r>
      <m:oMath>
        <m:r>
          <m:rPr/>
          <w:rPr>
            <w:rFonts w:hint="eastAsia" w:ascii="Cambria Math" w:hAnsi="Cambria Math" w:eastAsia="宋体" w:cs="宋体"/>
            <w:sz w:val="20"/>
          </w:rPr>
          <m:t>F</m:t>
        </m:r>
      </m:oMath>
      <w:r>
        <w:rPr>
          <w:rFonts w:hint="eastAsia" w:ascii="宋体" w:hAnsi="宋体" w:eastAsia="宋体" w:cs="宋体"/>
        </w:rPr>
        <w:t xml:space="preserve"> 已经过前端的软建筑区域调制；后文所称“未适配特征”仅指进入本文结构适配器之前的融合特征，而非原始SAR信号。光学特征经嵌套解码器得到结构描述子 </w:t>
      </w:r>
      <m:oMath>
        <m:r>
          <m:rPr/>
          <w:rPr>
            <w:rFonts w:hint="eastAsia" w:ascii="Cambria Math" w:hAnsi="Cambria Math" w:eastAsia="宋体" w:cs="宋体"/>
            <w:sz w:val="20"/>
          </w:rPr>
          <m:t>R</m:t>
        </m:r>
      </m:oMath>
      <w:r>
        <w:rPr>
          <w:rFonts w:hint="eastAsia" w:ascii="宋体" w:hAnsi="宋体" w:eastAsia="宋体" w:cs="宋体"/>
        </w:rPr>
        <w:t xml:space="preserve">，用于生成局部软区域归属 </w:t>
      </w:r>
      <m:oMath>
        <m:r>
          <m:rPr/>
          <w:rPr>
            <w:rFonts w:hint="eastAsia" w:ascii="Cambria Math" w:hAnsi="Cambria Math" w:eastAsia="宋体" w:cs="宋体"/>
            <w:sz w:val="20"/>
          </w:rPr>
          <m:t>Q</m:t>
        </m:r>
      </m:oMath>
      <w:r>
        <w:rPr>
          <w:rFonts w:hint="eastAsia" w:ascii="宋体" w:hAnsi="宋体" w:eastAsia="宋体" w:cs="宋体"/>
        </w:rPr>
        <w:t xml:space="preserve">。在此基础上，区域编码器将结构条件适配后的内容、未适配内容统计和软几何信息汇总为区域表示 </w:t>
      </w:r>
      <m:oMath>
        <m:r>
          <m:rPr/>
          <w:rPr>
            <w:rFonts w:hint="eastAsia" w:ascii="Cambria Math" w:hAnsi="Cambria Math" w:eastAsia="宋体" w:cs="宋体"/>
            <w:sz w:val="20"/>
          </w:rPr>
          <m:t>T</m:t>
        </m:r>
      </m:oMath>
      <w:r>
        <w:rPr>
          <w:rFonts w:hint="eastAsia" w:ascii="宋体" w:hAnsi="宋体" w:eastAsia="宋体" w:cs="宋体"/>
        </w:rPr>
        <w:t>。</w:t>
      </w:r>
    </w:p>
    <w:p w14:paraId="47EF56BA">
      <w:pPr>
        <w:widowControl/>
        <w:rPr>
          <w:rFonts w:hint="eastAsia" w:ascii="宋体" w:hAnsi="宋体" w:eastAsia="宋体" w:cs="宋体"/>
        </w:rPr>
      </w:pPr>
      <w:r>
        <w:rPr>
          <w:rFonts w:hint="eastAsia" w:ascii="宋体" w:hAnsi="宋体" w:eastAsia="宋体" w:cs="宋体"/>
        </w:rPr>
        <w:t xml:space="preserve">对于每个查询区域，检索器从仅含训练样本的支持库中选择不同事件和图像的邻居。支持读取器结合未投影的支持特征、训练标签组成与元数据，生成增强区域表示 </w:t>
      </w:r>
      <m:oMath>
        <m:sSup>
          <m:sSupPr>
            <m:ctrlPr>
              <w:rPr>
                <w:rFonts w:hint="eastAsia" w:ascii="Cambria Math" w:hAnsi="Cambria Math" w:eastAsia="宋体" w:cs="宋体"/>
              </w:rPr>
            </m:ctrlPr>
          </m:sSupPr>
          <m:e>
            <m:r>
              <m:rPr/>
              <w:rPr>
                <w:rFonts w:hint="eastAsia" w:ascii="Cambria Math" w:hAnsi="Cambria Math" w:eastAsia="宋体" w:cs="宋体"/>
                <w:sz w:val="20"/>
              </w:rPr>
              <m:t>T</m:t>
            </m:r>
            <m:ctrlPr>
              <w:rPr>
                <w:rFonts w:hint="eastAsia" w:ascii="Cambria Math" w:hAnsi="Cambria Math" w:eastAsia="宋体" w:cs="宋体"/>
              </w:rPr>
            </m:ctrlPr>
          </m:e>
          <m:sup>
            <m:r>
              <m:rPr/>
              <w:rPr>
                <w:rFonts w:hint="eastAsia" w:ascii="Cambria Math" w:hAnsi="Cambria Math" w:eastAsia="宋体" w:cs="宋体"/>
                <w:sz w:val="20"/>
              </w:rPr>
              <m:t>′</m:t>
            </m:r>
            <m:ctrlPr>
              <w:rPr>
                <w:rFonts w:hint="eastAsia" w:ascii="Cambria Math" w:hAnsi="Cambria Math" w:eastAsia="宋体" w:cs="宋体"/>
              </w:rPr>
            </m:ctrlPr>
          </m:sup>
        </m:sSup>
      </m:oMath>
      <w:r>
        <w:rPr>
          <w:rFonts w:hint="eastAsia" w:ascii="宋体" w:hAnsi="宋体" w:eastAsia="宋体" w:cs="宋体"/>
        </w:rPr>
        <w:t xml:space="preserve">。随后通过同一软归属 </w:t>
      </w:r>
      <m:oMath>
        <m:r>
          <m:rPr/>
          <w:rPr>
            <w:rFonts w:hint="eastAsia" w:ascii="Cambria Math" w:hAnsi="Cambria Math" w:eastAsia="宋体" w:cs="宋体"/>
            <w:sz w:val="20"/>
          </w:rPr>
          <m:t>Q</m:t>
        </m:r>
      </m:oMath>
      <w:r>
        <w:rPr>
          <w:rFonts w:hint="eastAsia" w:ascii="宋体" w:hAnsi="宋体" w:eastAsia="宋体" w:cs="宋体"/>
        </w:rPr>
        <w:t xml:space="preserve"> 将其分配回像素网格，并与保留的 </w:t>
      </w:r>
      <m:oMath>
        <m:r>
          <m:rPr/>
          <w:rPr>
            <w:rFonts w:hint="eastAsia" w:ascii="Cambria Math" w:hAnsi="Cambria Math" w:eastAsia="宋体" w:cs="宋体"/>
            <w:sz w:val="20"/>
          </w:rPr>
          <m:t>F</m:t>
        </m:r>
      </m:oMath>
      <w:r>
        <w:rPr>
          <w:rFonts w:hint="eastAsia" w:ascii="宋体" w:hAnsi="宋体" w:eastAsia="宋体" w:cs="宋体"/>
        </w:rPr>
        <w:t xml:space="preserve"> 联合分类。由此，建筑结构用于组织当前区域，跨事件监督用于调整支持选择，而像素路径保留未经过区域池化的分类输入。</w:t>
      </w:r>
    </w:p>
    <w:p w14:paraId="48F2C419">
      <w:pPr>
        <w:keepNext/>
        <w:keepLines/>
        <w:widowControl/>
        <w:spacing w:before="0" w:after="40"/>
        <w:ind w:firstLine="0"/>
        <w:jc w:val="center"/>
        <w:rPr>
          <w:rFonts w:hint="eastAsia" w:ascii="宋体" w:hAnsi="宋体" w:eastAsia="宋体" w:cs="宋体"/>
        </w:rPr>
      </w:pPr>
      <w:r>
        <w:drawing>
          <wp:inline distT="0" distB="0" distL="114300" distR="114300">
            <wp:extent cx="5727065" cy="2799080"/>
            <wp:effectExtent l="0" t="0" r="698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727065" cy="2799080"/>
                    </a:xfrm>
                    <a:prstGeom prst="rect">
                      <a:avLst/>
                    </a:prstGeom>
                    <a:noFill/>
                    <a:ln>
                      <a:noFill/>
                    </a:ln>
                  </pic:spPr>
                </pic:pic>
              </a:graphicData>
            </a:graphic>
          </wp:inline>
        </w:drawing>
      </w:r>
    </w:p>
    <w:p w14:paraId="363248B5">
      <w:pPr>
        <w:pStyle w:val="15"/>
        <w:keepNext w:val="0"/>
        <w:keepLines/>
        <w:widowControl/>
        <w:jc w:val="center"/>
        <w:rPr>
          <w:rFonts w:hint="eastAsia" w:ascii="宋体" w:hAnsi="宋体" w:eastAsia="宋体" w:cs="宋体"/>
        </w:rPr>
      </w:pPr>
      <w:r>
        <w:rPr>
          <w:rFonts w:ascii="Times New Roman" w:hAnsi="Times New Roman" w:eastAsia="宋体"/>
          <w:sz w:val="19"/>
        </w:rPr>
        <w:t>图1　总体框架。离线支持仅来自Train；查询端由MPF提供建筑概率B、结构描述R与融合内容F，Q组织区域，检索返回ID并读取原始支持，增强区域经当前图像自己的Q回投，与F共同分类。</w:t>
      </w:r>
    </w:p>
    <w:p w14:paraId="3EBFB7BD">
      <w:pPr>
        <w:pStyle w:val="4"/>
        <w:keepNext/>
        <w:widowControl/>
        <w:rPr>
          <w:rFonts w:hint="eastAsia" w:ascii="宋体" w:hAnsi="宋体" w:eastAsia="宋体" w:cs="宋体"/>
        </w:rPr>
      </w:pPr>
      <w:r>
        <w:rPr>
          <w:rFonts w:hint="eastAsia" w:ascii="Times New Roman" w:hAnsi="Times New Roman" w:eastAsia="宋体" w:cs="宋体"/>
          <w:sz w:val="21"/>
        </w:rPr>
        <w:t>B. 建筑概率约束的局部软分区</w:t>
      </w:r>
    </w:p>
    <w:p w14:paraId="363AE1ED">
      <w:pPr>
        <w:widowControl/>
        <w:rPr>
          <w:rFonts w:hint="eastAsia" w:ascii="宋体" w:hAnsi="宋体" w:eastAsia="宋体" w:cs="宋体"/>
        </w:rPr>
      </w:pPr>
      <w:r>
        <w:rPr>
          <w:rFonts w:hint="eastAsia" w:ascii="Times New Roman" w:hAnsi="Times New Roman" w:eastAsia="宋体" w:cs="宋体"/>
          <w:sz w:val="21"/>
        </w:rPr>
        <w:t>直接按规则网格汇总特征不能利用影像结构，而完全依赖局部外观相似性也未显式利用建筑预测。本文在局部描述子亲和度与坐标约束之外，将预测建筑概率作为软兼容项，参与像素到区域中心的归属计算。该设计使建筑预测影响分区，同时避免以固定阈值将建筑和背景硬拆为两组区域。</w:t>
      </w:r>
    </w:p>
    <w:p w14:paraId="5436702F">
      <w:pPr>
        <w:widowControl/>
        <w:rPr>
          <w:rFonts w:hint="eastAsia" w:ascii="宋体" w:hAnsi="宋体" w:eastAsia="宋体" w:cs="宋体"/>
        </w:rPr>
      </w:pPr>
      <w:r>
        <w:rPr>
          <w:rFonts w:hint="eastAsia" w:ascii="宋体" w:hAnsi="宋体" w:eastAsia="宋体" w:cs="宋体"/>
        </w:rPr>
        <w:t xml:space="preserve">局部迭代沿用可微超像素的关联更新思路[18]。在特征网格上以步长8均匀设置种子。对位置 </w:t>
      </w:r>
      <m:oMath>
        <m:r>
          <m:rPr/>
          <w:rPr>
            <w:rFonts w:hint="eastAsia" w:ascii="Cambria Math" w:hAnsi="Cambria Math" w:eastAsia="宋体" w:cs="宋体"/>
            <w:sz w:val="20"/>
          </w:rPr>
          <m:t>i</m:t>
        </m:r>
      </m:oMath>
      <w:r>
        <w:rPr>
          <w:rFonts w:hint="eastAsia" w:ascii="宋体" w:hAnsi="宋体" w:eastAsia="宋体" w:cs="宋体"/>
        </w:rPr>
        <w:t xml:space="preserve">，候选集合 </w:t>
      </w:r>
      <m:oMath>
        <m:r>
          <m:rPr>
            <m:scr m:val="script"/>
          </m:rPr>
          <w:rPr>
            <w:rFonts w:hint="eastAsia" w:ascii="Cambria Math" w:hAnsi="Cambria Math" w:eastAsia="MS Mincho" w:cs="MS Mincho"/>
            <w:sz w:val="20"/>
          </w:rPr>
          <m:t>N</m:t>
        </m:r>
        <m:r>
          <m:rPr/>
          <w:rPr>
            <w:rFonts w:hint="eastAsia" w:ascii="Cambria Math" w:hAnsi="Cambria Math" w:eastAsia="宋体" w:cs="宋体"/>
            <w:sz w:val="20"/>
          </w:rPr>
          <m:t>(i)</m:t>
        </m:r>
      </m:oMath>
      <w:r>
        <w:rPr>
          <w:rFonts w:hint="eastAsia" w:ascii="宋体" w:hAnsi="宋体" w:eastAsia="宋体" w:cs="宋体"/>
        </w:rPr>
        <w:t xml:space="preserve"> 包含其所在种子格及周围相邻格，至多含9个候选中心。结构描述子经层归一化得到 </w:t>
      </w:r>
      <m:oMath>
        <m:sSub>
          <m:sSubPr>
            <m:ctrlPr>
              <w:rPr>
                <w:rFonts w:hint="eastAsia" w:ascii="Cambria Math" w:hAnsi="Cambria Math" w:eastAsia="宋体" w:cs="宋体"/>
              </w:rPr>
            </m:ctrlPr>
          </m:sSubPr>
          <m:e>
            <m:r>
              <m:rPr/>
              <w:rPr>
                <w:rFonts w:hint="eastAsia" w:ascii="Cambria Math" w:hAnsi="Cambria Math" w:eastAsia="宋体" w:cs="宋体"/>
                <w:sz w:val="20"/>
              </w:rPr>
              <m:t>r</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oMath>
      <w:r>
        <w:rPr>
          <w:rFonts w:hint="eastAsia" w:ascii="宋体" w:hAnsi="宋体" w:eastAsia="宋体" w:cs="宋体"/>
        </w:rPr>
        <w:t xml:space="preserve">；查询和中心键分别由可学习线性映射及单位长度归一化获得。对第 </w:t>
      </w:r>
      <m:oMath>
        <m:r>
          <m:rPr/>
          <w:rPr>
            <w:rFonts w:hint="eastAsia" w:ascii="Cambria Math" w:hAnsi="Cambria Math" w:eastAsia="宋体" w:cs="宋体"/>
            <w:sz w:val="20"/>
          </w:rPr>
          <m:t>t</m:t>
        </m:r>
      </m:oMath>
      <w:r>
        <w:rPr>
          <w:rFonts w:hint="eastAsia" w:ascii="宋体" w:hAnsi="宋体" w:eastAsia="宋体" w:cs="宋体"/>
        </w:rPr>
        <w:t xml:space="preserve"> 轮归属，以前一轮权重汇总单位长度归一化后的描述子、中心坐标和中心建筑概率，分别记为 </w:t>
      </w:r>
      <m:oMath>
        <m:sSubSup>
          <m:sSubSupPr>
            <m:ctrlPr>
              <w:rPr>
                <w:rFonts w:hint="eastAsia" w:ascii="Cambria Math" w:hAnsi="Cambria Math" w:eastAsia="宋体" w:cs="宋体"/>
              </w:rPr>
            </m:ctrlPr>
          </m:sSubSup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oMath>
      <w:r>
        <w:rPr>
          <w:rFonts w:hint="eastAsia" w:ascii="宋体" w:hAnsi="宋体" w:eastAsia="宋体" w:cs="宋体"/>
        </w:rPr>
        <w:t>、</w:t>
      </w:r>
      <m:oMath>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x</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oMath>
      <w:r>
        <w:rPr>
          <w:rFonts w:hint="eastAsia" w:ascii="宋体" w:hAnsi="宋体" w:eastAsia="宋体" w:cs="宋体"/>
        </w:rPr>
        <w:t xml:space="preserve"> 和 </w:t>
      </w:r>
      <m:oMath>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B</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oMath>
      <w:r>
        <w:rPr>
          <w:rFonts w:hint="eastAsia" w:ascii="宋体" w:hAnsi="宋体" w:eastAsia="宋体" w:cs="宋体"/>
        </w:rPr>
        <w:t>。建筑软兼容度定义为</w:t>
      </w:r>
    </w:p>
    <w:p w14:paraId="0DEC7015">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κ</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B</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+(1−</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)(1−</m:t>
        </m:r>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B</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w:t>
      </w:r>
    </w:p>
    <w:p w14:paraId="7EB197C0">
      <w:pPr>
        <w:widowControl/>
        <w:rPr>
          <w:rFonts w:hint="eastAsia" w:ascii="宋体" w:hAnsi="宋体" w:eastAsia="宋体" w:cs="宋体"/>
        </w:rPr>
      </w:pPr>
      <w:r>
        <w:rPr>
          <w:rFonts w:hint="eastAsia" w:ascii="Times New Roman" w:hAnsi="Times New Roman" w:eastAsia="宋体" w:cs="宋体"/>
          <w:sz w:val="21"/>
        </w:rPr>
        <w:t>归属打分同时考虑描述子亲和度、局部距离和建筑软兼容度：</w:t>
      </w:r>
    </w:p>
    <w:p w14:paraId="3250F069">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s</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f>
          <m:fPr>
            <m:ctrlPr>
              <w:rPr>
                <w:rFonts w:hint="eastAsia" w:ascii="Cambria Math" w:hAnsi="Cambria Math" w:eastAsia="宋体" w:cs="宋体"/>
              </w:rPr>
            </m:ctrlPr>
          </m:fPr>
          <m:num>
            <m:r>
              <m:rPr/>
              <w:rPr>
                <w:rFonts w:hint="eastAsia" w:ascii="Cambria Math" w:hAnsi="Cambria Math" w:eastAsia="宋体" w:cs="宋体"/>
                <w:sz w:val="20"/>
              </w:rPr>
              <m:t>β⟨</m:t>
            </m:r>
            <m:limUpp>
              <m:limUppPr>
                <m:ctrlPr>
                  <w:rPr>
                    <w:rFonts w:hint="eastAsia" w:ascii="Cambria Math" w:hAnsi="Cambria Math" w:eastAsia="宋体" w:cs="宋体"/>
                  </w:rPr>
                </m:ctrlPr>
              </m:limUppPr>
              <m:e>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r</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r>
              <m:rPr/>
              <w:rPr>
                <w:rFonts w:hint="eastAsia" w:ascii="Cambria Math" w:hAnsi="Cambria Math" w:eastAsia="宋体" w:cs="宋体"/>
                <w:sz w:val="20"/>
              </w:rPr>
              <m:t>,</m:t>
            </m:r>
            <m:limUpp>
              <m:limUppPr>
                <m:ctrlPr>
                  <w:rPr>
                    <w:rFonts w:hint="eastAsia" w:ascii="Cambria Math" w:hAnsi="Cambria Math" w:eastAsia="宋体" w:cs="宋体"/>
                  </w:rPr>
                </m:ctrlPr>
              </m:limUppPr>
              <m:e>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sSubSup>
                  <m:sSubSupPr>
                    <m:ctrlPr>
                      <w:rPr>
                        <w:rFonts w:hint="eastAsia" w:ascii="Cambria Math" w:hAnsi="Cambria Math" w:eastAsia="宋体" w:cs="宋体"/>
                      </w:rPr>
                    </m:ctrlPr>
                  </m:sSubSup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r>
              <m:rPr/>
              <w:rPr>
                <w:rFonts w:hint="eastAsia" w:ascii="Cambria Math" w:hAnsi="Cambria Math" w:eastAsia="宋体" w:cs="宋体"/>
                <w:sz w:val="20"/>
              </w:rPr>
              <m:t>⟩</m:t>
            </m:r>
            <m:ctrlPr>
              <w:rPr>
                <w:rFonts w:hint="eastAsia" w:ascii="Cambria Math" w:hAnsi="Cambria Math" w:eastAsia="宋体" w:cs="宋体"/>
              </w:rPr>
            </m:ctrlPr>
          </m:num>
          <m:den>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ctrlPr>
              <w:rPr>
                <w:rFonts w:hint="eastAsia" w:ascii="Cambria Math" w:hAnsi="Cambria Math" w:eastAsia="宋体" w:cs="宋体"/>
              </w:rPr>
            </m:ctrlPr>
          </m:den>
        </m:f>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λ</m:t>
            </m:r>
            <m:ctrlPr>
              <w:rPr>
                <w:rFonts w:hint="eastAsia" w:ascii="Cambria Math" w:hAnsi="Cambria Math" w:eastAsia="宋体" w:cs="宋体"/>
              </w:rPr>
            </m:ctrlPr>
          </m:e>
          <m:sub>
            <m:r>
              <m:rPr/>
              <w:rPr>
                <w:rFonts w:hint="eastAsia" w:ascii="Cambria Math" w:hAnsi="Cambria Math" w:eastAsia="宋体" w:cs="宋体"/>
                <w:sz w:val="20"/>
              </w:rPr>
              <m:t>x</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x</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x</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sSubSup>
          <m:sSubSupPr>
            <m:ctrlPr>
              <w:rPr>
                <w:rFonts w:hint="eastAsia" w:ascii="Cambria Math" w:hAnsi="Cambria Math" w:eastAsia="宋体" w:cs="宋体"/>
              </w:rPr>
            </m:ctrlPr>
          </m:sSubSupPr>
          <m:e>
            <m:r>
              <m:rPr/>
              <w:rPr>
                <w:rFonts w:hint="eastAsia" w:ascii="Cambria Math" w:hAnsi="Cambria Math" w:eastAsia="宋体" w:cs="宋体"/>
                <w:sz w:val="20"/>
              </w:rPr>
              <m:t>‖</m:t>
            </m:r>
            <m:ctrlPr>
              <w:rPr>
                <w:rFonts w:hint="eastAsia" w:ascii="Cambria Math" w:hAnsi="Cambria Math" w:eastAsia="宋体" w:cs="宋体"/>
              </w:rPr>
            </m:ctrlPr>
          </m:e>
          <m:sub>
            <m:r>
              <m:rPr/>
              <w:rPr>
                <w:rFonts w:hint="eastAsia" w:ascii="Cambria Math" w:hAnsi="Cambria Math" w:eastAsia="宋体" w:cs="宋体"/>
                <w:sz w:val="20"/>
              </w:rPr>
              <m:t>2</m:t>
            </m:r>
            <m:ctrlPr>
              <w:rPr>
                <w:rFonts w:hint="eastAsia" w:ascii="Cambria Math" w:hAnsi="Cambria Math" w:eastAsia="宋体" w:cs="宋体"/>
              </w:rPr>
            </m:ctrlPr>
          </m:sub>
          <m:sup>
            <m:r>
              <m:rPr/>
              <w:rPr>
                <w:rFonts w:hint="eastAsia" w:ascii="Cambria Math" w:hAnsi="Cambria Math" w:eastAsia="宋体" w:cs="宋体"/>
                <w:sz w:val="20"/>
              </w:rPr>
              <m:t>2</m:t>
            </m:r>
            <m:ctrlPr>
              <w:rPr>
                <w:rFonts w:hint="eastAsia" w:ascii="Cambria Math" w:hAnsi="Cambria Math" w:eastAsia="宋体" w:cs="宋体"/>
              </w:rPr>
            </m:ctrlPr>
          </m:sup>
        </m:sSubSup>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λ</m:t>
            </m:r>
            <m:ctrlPr>
              <w:rPr>
                <w:rFonts w:hint="eastAsia" w:ascii="Cambria Math" w:hAnsi="Cambria Math" w:eastAsia="宋体" w:cs="宋体"/>
              </w:rPr>
            </m:ctrlPr>
          </m:e>
          <m:sub>
            <m:r>
              <m:rPr/>
              <w:rPr>
                <w:rFonts w:hint="eastAsia" w:ascii="Cambria Math" w:hAnsi="Cambria Math" w:eastAsia="宋体" w:cs="宋体"/>
                <w:sz w:val="20"/>
              </w:rPr>
              <m:t>B</m:t>
            </m:r>
            <m:ctrlPr>
              <w:rPr>
                <w:rFonts w:hint="eastAsia" w:ascii="Cambria Math" w:hAnsi="Cambria Math" w:eastAsia="宋体" w:cs="宋体"/>
              </w:rPr>
            </m:ctrlPr>
          </m:sub>
        </m:sSub>
        <m:r>
          <m:rPr>
            <m:sty m:val="p"/>
          </m:rPr>
          <w:rPr>
            <w:rFonts w:hint="eastAsia" w:ascii="Cambria Math" w:hAnsi="Cambria Math" w:eastAsia="宋体" w:cs="宋体"/>
            <w:sz w:val="20"/>
          </w:rPr>
          <m:t>log</m:t>
        </m:r>
        <m:sSubSup>
          <m:sSubSupPr>
            <m:ctrlPr>
              <w:rPr>
                <w:rFonts w:hint="eastAsia" w:ascii="Cambria Math" w:hAnsi="Cambria Math" w:eastAsia="宋体" w:cs="宋体"/>
              </w:rPr>
            </m:ctrlPr>
          </m:sSubSupPr>
          <m:e>
            <m:r>
              <m:rPr/>
              <w:rPr>
                <w:rFonts w:hint="eastAsia" w:ascii="Cambria Math" w:hAnsi="Cambria Math" w:eastAsia="宋体" w:cs="宋体"/>
                <w:sz w:val="20"/>
              </w:rPr>
              <m:t>κ</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（2）</w:t>
      </w:r>
    </w:p>
    <w:p w14:paraId="3D2BBA84">
      <w:pPr>
        <w:widowControl/>
        <w:rPr>
          <w:rFonts w:hint="eastAsia" w:ascii="宋体" w:hAnsi="宋体" w:eastAsia="宋体" w:cs="宋体"/>
        </w:rPr>
      </w:pPr>
      <w:r>
        <w:rPr>
          <w:rFonts w:hint="eastAsia" w:ascii="宋体" w:hAnsi="宋体" w:eastAsia="宋体" w:cs="宋体"/>
        </w:rPr>
        <w:t>其中，带帽符号表示单位长度归一化，</w:t>
      </w:r>
      <m:oMath>
        <m:r>
          <m:rPr/>
          <w:rPr>
            <w:rFonts w:hint="eastAsia" w:ascii="Cambria Math" w:hAnsi="Cambria Math" w:eastAsia="宋体" w:cs="宋体"/>
            <w:sz w:val="20"/>
          </w:rPr>
          <m:t>β</m:t>
        </m:r>
      </m:oMath>
      <w:r>
        <w:rPr>
          <w:rFonts w:hint="eastAsia" w:ascii="宋体" w:hAnsi="宋体" w:eastAsia="宋体" w:cs="宋体"/>
        </w:rPr>
        <w:t xml:space="preserve"> 为可学习正缩放系数，</w:t>
      </w:r>
      <m:oMath>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oMath>
      <w:r>
        <w:rPr>
          <w:rFonts w:hint="eastAsia" w:ascii="宋体" w:hAnsi="宋体" w:eastAsia="宋体" w:cs="宋体"/>
        </w:rPr>
        <w:t xml:space="preserve"> 为温度，坐标按种子步长归一化。默认温度为0.2，空间权重为0.1，建筑兼容权重为0.5；中心建筑概率截断至0.0001与0.9999之间，兼容度下界为0.0001。无效或无质量的中心不参与归一化。局部归属为</w:t>
      </w:r>
    </w:p>
    <w:p w14:paraId="5D5CD3D2">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r>
          <m:rPr/>
          <w:rPr>
            <w:rFonts w:hint="eastAsia" w:ascii="Cambria Math" w:hAnsi="Cambria Math" w:eastAsia="宋体" w:cs="宋体"/>
            <w:sz w:val="20"/>
          </w:rPr>
          <m:t>=</m:t>
        </m:r>
        <m:f>
          <m:fPr>
            <m:ctrlPr>
              <w:rPr>
                <w:rFonts w:hint="eastAsia" w:ascii="Cambria Math" w:hAnsi="Cambria Math" w:eastAsia="宋体" w:cs="宋体"/>
              </w:rPr>
            </m:ctrlPr>
          </m:fPr>
          <m:num>
            <m:r>
              <m:rPr>
                <m:sty m:val="p"/>
              </m:rPr>
              <w:rPr>
                <w:rFonts w:hint="eastAsia" w:ascii="Cambria Math" w:hAnsi="Cambria Math" w:eastAsia="宋体" w:cs="宋体"/>
                <w:sz w:val="20"/>
              </w:rPr>
              <m:t>exp</m:t>
            </m:r>
            <m:sSubSup>
              <m:sSubSupPr>
                <m:ctrlPr>
                  <w:rPr>
                    <w:rFonts w:hint="eastAsia" w:ascii="Cambria Math" w:hAnsi="Cambria Math" w:eastAsia="宋体" w:cs="宋体"/>
                  </w:rPr>
                </m:ctrlPr>
              </m:sSubSupPr>
              <m:e>
                <m:r>
                  <m:rPr/>
                  <w:rPr>
                    <w:rFonts w:hint="eastAsia" w:ascii="Cambria Math" w:hAnsi="Cambria Math" w:eastAsia="宋体" w:cs="宋体"/>
                    <w:sz w:val="20"/>
                  </w:rPr>
                  <m:t>s</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num>
          <m:den>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l∈</m:t>
                </m:r>
                <m:sSup>
                  <m:sSupPr>
                    <m:ctrlPr>
                      <w:rPr>
                        <w:rFonts w:hint="eastAsia" w:ascii="Cambria Math" w:hAnsi="Cambria Math" w:eastAsia="宋体" w:cs="宋体"/>
                      </w:rPr>
                    </m:ctrlPr>
                  </m:sSupPr>
                  <m:e>
                    <m:r>
                      <m:rPr>
                        <m:scr m:val="script"/>
                      </m:rPr>
                      <w:rPr>
                        <w:rFonts w:hint="eastAsia" w:ascii="Cambria Math" w:hAnsi="Cambria Math" w:eastAsia="MS Mincho" w:cs="MS Mincho"/>
                        <w:sz w:val="20"/>
                      </w:rPr>
                      <m:t>N</m:t>
                    </m:r>
                    <m:ctrlPr>
                      <w:rPr>
                        <w:rFonts w:hint="eastAsia" w:ascii="Cambria Math" w:hAnsi="Cambria Math" w:eastAsia="宋体" w:cs="宋体"/>
                      </w:rPr>
                    </m:ctrlPr>
                  </m:e>
                  <m:sup>
                    <m:r>
                      <m:rPr>
                        <m:sty m:val="p"/>
                      </m:rPr>
                      <w:rPr>
                        <w:rFonts w:hint="eastAsia" w:ascii="Cambria Math" w:hAnsi="Cambria Math" w:eastAsia="宋体" w:cs="宋体"/>
                        <w:sz w:val="20"/>
                      </w:rPr>
                      <m:t>valid</m:t>
                    </m:r>
                    <m:ctrlPr>
                      <w:rPr>
                        <w:rFonts w:hint="eastAsia" w:ascii="Cambria Math" w:hAnsi="Cambria Math" w:eastAsia="宋体" w:cs="宋体"/>
                      </w:rPr>
                    </m:ctrlPr>
                  </m:sup>
                </m:sSup>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exp</m:t>
                </m:r>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s</m:t>
                </m:r>
                <m:ctrlPr>
                  <w:rPr>
                    <w:rFonts w:hint="eastAsia" w:ascii="Cambria Math" w:hAnsi="Cambria Math" w:eastAsia="宋体" w:cs="宋体"/>
                  </w:rPr>
                </m:ctrlPr>
              </m:e>
              <m:sub>
                <m:r>
                  <m:rPr/>
                  <w:rPr>
                    <w:rFonts w:hint="eastAsia" w:ascii="Cambria Math" w:hAnsi="Cambria Math" w:eastAsia="宋体" w:cs="宋体"/>
                    <w:sz w:val="20"/>
                  </w:rPr>
                  <m:t>il</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den>
        </m:f>
      </m:oMath>
    </w:p>
    <w:p w14:paraId="414A5650">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Sup>
              <m:sSubSupPr>
                <m:ctrlPr>
                  <w:rPr>
                    <w:rFonts w:hint="eastAsia" w:ascii="Cambria Math" w:hAnsi="Cambria Math" w:eastAsia="宋体" w:cs="宋体"/>
                  </w:rPr>
                </m:ctrlPr>
              </m:sSubSup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up>
                <m:d>
                  <m:dPr>
                    <m:sepChr m:val=""/>
                    <m:ctrlPr>
                      <w:rPr>
                        <w:rFonts w:hint="eastAsia" w:ascii="Cambria Math" w:hAnsi="Cambria Math" w:eastAsia="宋体" w:cs="宋体"/>
                      </w:rPr>
                    </m:ctrlPr>
                  </m:dPr>
                  <m:e>
                    <m:r>
                      <m:rPr/>
                      <w:rPr>
                        <w:rFonts w:hint="eastAsia" w:ascii="Cambria Math" w:hAnsi="Cambria Math" w:eastAsia="宋体" w:cs="宋体"/>
                        <w:sz w:val="20"/>
                      </w:rPr>
                      <m:t>t</m:t>
                    </m:r>
                    <m:ctrlPr>
                      <w:rPr>
                        <w:rFonts w:hint="eastAsia" w:ascii="Cambria Math" w:hAnsi="Cambria Math" w:eastAsia="宋体" w:cs="宋体"/>
                      </w:rPr>
                    </m:ctrlPr>
                  </m:e>
                </m:d>
                <m:ctrlPr>
                  <w:rPr>
                    <w:rFonts w:hint="eastAsia" w:ascii="Cambria Math" w:hAnsi="Cambria Math" w:eastAsia="宋体" w:cs="宋体"/>
                  </w:rPr>
                </m:ctrlPr>
              </m:sup>
            </m:sSubSup>
            <m:ctrlPr>
              <w:rPr>
                <w:rFonts w:hint="eastAsia" w:ascii="Cambria Math" w:hAnsi="Cambria Math" w:eastAsia="宋体" w:cs="宋体"/>
              </w:rPr>
            </m:ctrlPr>
          </m:e>
        </m:nary>
        <m:r>
          <m:rPr/>
          <w:rPr>
            <w:rFonts w:hint="eastAsia" w:ascii="Cambria Math" w:hAnsi="Cambria Math" w:eastAsia="宋体" w:cs="宋体"/>
            <w:sz w:val="20"/>
          </w:rPr>
          <m:t>=1.</m:t>
        </m:r>
      </m:oMath>
      <w:r>
        <w:rPr>
          <w:rFonts w:hint="eastAsia" w:ascii="宋体" w:hAnsi="宋体" w:eastAsia="宋体" w:cs="宋体"/>
          <w:sz w:val="19"/>
        </w:rPr>
        <w:tab/>
      </w:r>
      <w:r>
        <w:rPr>
          <w:rFonts w:hint="eastAsia" w:ascii="宋体" w:hAnsi="宋体" w:eastAsia="宋体" w:cs="宋体"/>
          <w:sz w:val="19"/>
        </w:rPr>
        <w:t>（3）</w:t>
      </w:r>
    </w:p>
    <w:p w14:paraId="28AAC64E">
      <w:pPr>
        <w:widowControl/>
        <w:rPr>
          <w:rFonts w:hint="eastAsia" w:ascii="宋体" w:hAnsi="宋体" w:eastAsia="宋体" w:cs="宋体"/>
        </w:rPr>
      </w:pPr>
      <w:r>
        <w:rPr>
          <w:rFonts w:hint="eastAsia" w:ascii="宋体" w:hAnsi="宋体" w:eastAsia="宋体" w:cs="宋体"/>
        </w:rPr>
        <w:t xml:space="preserve">初始归属将每个位置分配给其所在种子格，随后迭代更新中心和归属，默认进行3轮。建筑概率来自像素前端的预测，输入分区模块和结构适配器前均停止梯度；训练标签不参与单次前向分区计算。最终 </w:t>
      </w:r>
      <m:oMath>
        <m:r>
          <m:rPr/>
          <w:rPr>
            <w:rFonts w:hint="eastAsia" w:ascii="Cambria Math" w:hAnsi="Cambria Math" w:eastAsia="宋体" w:cs="宋体"/>
            <w:sz w:val="20"/>
          </w:rPr>
          <m:t>Q</m:t>
        </m:r>
      </m:oMath>
      <w:r>
        <w:rPr>
          <w:rFonts w:hint="eastAsia" w:ascii="宋体" w:hAnsi="宋体" w:eastAsia="宋体" w:cs="宋体"/>
        </w:rPr>
        <w:t xml:space="preserve"> 是局部软关联，而非建筑实例标注，不要求一个区域严格对应一栋建筑。</w:t>
      </w:r>
    </w:p>
    <w:p w14:paraId="1C038DCB">
      <w:pPr>
        <w:pStyle w:val="4"/>
        <w:keepNext/>
        <w:widowControl/>
        <w:rPr>
          <w:rFonts w:hint="eastAsia" w:ascii="宋体" w:hAnsi="宋体" w:eastAsia="宋体" w:cs="宋体"/>
        </w:rPr>
      </w:pPr>
      <w:r>
        <w:rPr>
          <w:rFonts w:hint="eastAsia" w:ascii="Times New Roman" w:hAnsi="Times New Roman" w:eastAsia="宋体" w:cs="宋体"/>
          <w:sz w:val="21"/>
        </w:rPr>
        <w:t>C. 分区状态条件的区域特征适配</w:t>
      </w:r>
    </w:p>
    <w:p w14:paraId="7F6BF241">
      <w:pPr>
        <w:widowControl/>
        <w:rPr>
          <w:rFonts w:hint="eastAsia" w:ascii="宋体" w:hAnsi="宋体" w:eastAsia="宋体" w:cs="宋体"/>
        </w:rPr>
      </w:pPr>
      <w:r>
        <w:rPr>
          <w:rFonts w:hint="eastAsia" w:ascii="Times New Roman" w:hAnsi="Times New Roman" w:eastAsia="宋体" w:cs="宋体"/>
          <w:sz w:val="21"/>
        </w:rPr>
        <w:t>软归属给出了区域组织方式，但仅在区域内平均特征仍未显式利用局部建筑状态及归属分散程度。本文构造结构条件向量，对融合内容进行特征级残差适配，如图2所示。结构条件由建筑概率、软分区差异及归属熵组成。</w:t>
      </w:r>
    </w:p>
    <w:p w14:paraId="503DFF3F">
      <w:pPr>
        <w:widowControl/>
        <w:rPr>
          <w:rFonts w:hint="eastAsia" w:ascii="宋体" w:hAnsi="宋体" w:eastAsia="宋体" w:cs="宋体"/>
        </w:rPr>
      </w:pPr>
      <w:r>
        <w:rPr>
          <w:rFonts w:hint="eastAsia" w:ascii="宋体" w:hAnsi="宋体" w:eastAsia="宋体" w:cs="宋体"/>
        </w:rPr>
        <w:t xml:space="preserve">将稀疏局部归属理解为全局区域编号上的分布。对位置 </w:t>
      </w:r>
      <m:oMath>
        <m:r>
          <m:rPr/>
          <w:rPr>
            <w:rFonts w:hint="eastAsia" w:ascii="Cambria Math" w:hAnsi="Cambria Math" w:eastAsia="宋体" w:cs="宋体"/>
            <w:sz w:val="20"/>
          </w:rPr>
          <m:t>i</m:t>
        </m:r>
      </m:oMath>
      <w:r>
        <w:rPr>
          <w:rFonts w:hint="eastAsia" w:ascii="宋体" w:hAnsi="宋体" w:eastAsia="宋体" w:cs="宋体"/>
        </w:rPr>
        <w:t xml:space="preserve"> 及其四邻域内位置 </w:t>
      </w:r>
      <m:oMath>
        <m:r>
          <m:rPr/>
          <w:rPr>
            <w:rFonts w:hint="eastAsia" w:ascii="Cambria Math" w:hAnsi="Cambria Math" w:eastAsia="宋体" w:cs="宋体"/>
            <w:sz w:val="20"/>
          </w:rPr>
          <m:t>j</m:t>
        </m:r>
      </m:oMath>
      <w:r>
        <w:rPr>
          <w:rFonts w:hint="eastAsia" w:ascii="宋体" w:hAnsi="宋体" w:eastAsia="宋体" w:cs="宋体"/>
        </w:rPr>
        <w:t>，软分区差异定义为</w:t>
      </w:r>
    </w:p>
    <w:p w14:paraId="1E439071">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sSub>
          <m:sSubPr>
            <m:ctrlPr>
              <w:rPr>
                <w:rFonts w:hint="eastAsia" w:ascii="Cambria Math" w:hAnsi="Cambria Math" w:eastAsia="宋体" w:cs="宋体"/>
              </w:rPr>
            </m:ctrlPr>
          </m:sSubPr>
          <m:e>
            <m:r>
              <m:rPr/>
              <w:rPr>
                <w:rFonts w:hint="eastAsia" w:ascii="Cambria Math" w:hAnsi="Cambria Math" w:eastAsia="宋体" w:cs="宋体"/>
                <w:sz w:val="20"/>
              </w:rPr>
              <m:t>max</m:t>
            </m:r>
            <m:ctrlPr>
              <w:rPr>
                <w:rFonts w:hint="eastAsia" w:ascii="Cambria Math" w:hAnsi="Cambria Math" w:eastAsia="宋体" w:cs="宋体"/>
              </w:rPr>
            </m:ctrlPr>
          </m:e>
          <m:sub>
            <m:r>
              <m:rPr/>
              <w:rPr>
                <w:rFonts w:hint="eastAsia" w:ascii="Cambria Math" w:hAnsi="Cambria Math" w:eastAsia="宋体" w:cs="宋体"/>
                <w:sz w:val="20"/>
              </w:rPr>
              <m:t>j∈</m:t>
            </m:r>
            <m:r>
              <m:rPr>
                <m:scr m:val="script"/>
              </m:rPr>
              <w:rPr>
                <w:rFonts w:hint="eastAsia" w:ascii="Cambria Math" w:hAnsi="Cambria Math" w:eastAsia="MS Mincho" w:cs="MS Mincho"/>
                <w:sz w:val="20"/>
              </w:rPr>
              <m:t>A</m:t>
            </m:r>
            <m:r>
              <m:rPr/>
              <w:rPr>
                <w:rFonts w:hint="eastAsia" w:ascii="Cambria Math" w:hAnsi="Cambria Math" w:eastAsia="宋体" w:cs="宋体"/>
                <w:sz w:val="20"/>
              </w:rPr>
              <m:t>(i)</m:t>
            </m:r>
            <m:ctrlPr>
              <w:rPr>
                <w:rFonts w:hint="eastAsia" w:ascii="Cambria Math" w:hAnsi="Cambria Math" w:eastAsia="宋体" w:cs="宋体"/>
              </w:rPr>
            </m:ctrlPr>
          </m:sub>
        </m:sSub>
        <m:d>
          <m:dPr>
            <m:sepChr m:val="−"/>
            <m:ctrlPr>
              <w:rPr>
                <w:rFonts w:hint="eastAsia" w:ascii="Cambria Math" w:hAnsi="Cambria Math" w:eastAsia="宋体" w:cs="宋体"/>
              </w:rPr>
            </m:ctrlPr>
          </m:dPr>
          <m:e>
            <m:r>
              <m:rPr/>
              <w:rPr>
                <w:rFonts w:hint="eastAsia" w:ascii="Cambria Math" w:hAnsi="Cambria Math" w:eastAsia="宋体" w:cs="宋体"/>
                <w:sz w:val="20"/>
              </w:rPr>
              <m:t>1</m:t>
            </m:r>
            <m:ctrlPr>
              <w:rPr>
                <w:rFonts w:hint="eastAsia" w:ascii="Cambria Math" w:hAnsi="Cambria Math" w:eastAsia="宋体" w:cs="宋体"/>
              </w:rPr>
            </m:ctrlPr>
          </m:e>
          <m:e>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jk</m:t>
                </m:r>
                <m:ctrlPr>
                  <w:rPr>
                    <w:rFonts w:hint="eastAsia" w:ascii="Cambria Math" w:hAnsi="Cambria Math" w:eastAsia="宋体" w:cs="宋体"/>
                  </w:rPr>
                </m:ctrlPr>
              </m:sub>
            </m:sSub>
            <m:ctrlPr>
              <w:rPr>
                <w:rFonts w:hint="eastAsia" w:ascii="Cambria Math" w:hAnsi="Cambria Math" w:eastAsia="宋体" w:cs="宋体"/>
              </w:rPr>
            </m:ctrlPr>
          </m:e>
        </m:d>
      </m:oMath>
    </w:p>
    <w:p w14:paraId="5302C5F9">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H</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r>
              <m:rPr>
                <m:sty m:val="p"/>
              </m:rPr>
              <w:rPr>
                <w:rFonts w:hint="eastAsia" w:ascii="Cambria Math" w:hAnsi="Cambria Math" w:eastAsia="宋体" w:cs="宋体"/>
                <w:sz w:val="20"/>
              </w:rPr>
              <m:t>log</m:t>
            </m:r>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num>
          <m:den>
            <m:r>
              <m:rPr>
                <m:sty m:val="p"/>
              </m:rPr>
              <w:rPr>
                <w:rFonts w:hint="eastAsia" w:ascii="Cambria Math" w:hAnsi="Cambria Math" w:eastAsia="宋体" w:cs="宋体"/>
                <w:sz w:val="20"/>
              </w:rPr>
              <m:t>log</m:t>
            </m:r>
            <m:r>
              <m:rPr/>
              <w:rPr>
                <w:rFonts w:hint="eastAsia" w:ascii="Cambria Math" w:hAnsi="Cambria Math" w:eastAsia="宋体" w:cs="宋体"/>
                <w:sz w:val="20"/>
              </w:rPr>
              <m:t>9</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（4）</w:t>
      </w:r>
    </w:p>
    <w:p w14:paraId="668C557E">
      <w:pPr>
        <w:widowControl/>
        <w:rPr>
          <w:rFonts w:hint="eastAsia" w:ascii="宋体" w:hAnsi="宋体" w:eastAsia="宋体" w:cs="宋体"/>
        </w:rPr>
      </w:pPr>
      <m:oMath>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oMath>
      <w:r>
        <w:rPr>
          <w:rFonts w:hint="eastAsia" w:ascii="宋体" w:hAnsi="宋体" w:eastAsia="宋体" w:cs="宋体"/>
        </w:rPr>
        <w:t xml:space="preserve"> 描述相邻位置归属的一致程度，不等同于真实建筑边界；</w:t>
      </w:r>
      <m:oMath>
        <m:sSub>
          <m:sSubPr>
            <m:ctrlPr>
              <w:rPr>
                <w:rFonts w:hint="eastAsia" w:ascii="Cambria Math" w:hAnsi="Cambria Math" w:eastAsia="宋体" w:cs="宋体"/>
              </w:rPr>
            </m:ctrlPr>
          </m:sSubPr>
          <m:e>
            <m:r>
              <m:rPr/>
              <w:rPr>
                <w:rFonts w:hint="eastAsia" w:ascii="Cambria Math" w:hAnsi="Cambria Math" w:eastAsia="宋体" w:cs="宋体"/>
                <w:sz w:val="20"/>
              </w:rPr>
              <m:t>H</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(Q)</m:t>
        </m:r>
      </m:oMath>
      <w:r>
        <w:rPr>
          <w:rFonts w:hint="eastAsia" w:ascii="宋体" w:hAnsi="宋体" w:eastAsia="宋体" w:cs="宋体"/>
        </w:rPr>
        <w:t xml:space="preserve"> 描述归属分散度，不作为经校准的预测不确定性。三种结构量缩放至融合特征网格后，由线性投影得到结构嵌入。结构适配为</w:t>
      </w:r>
    </w:p>
    <w:p w14:paraId="2A916DB8">
      <w:pPr>
        <w:widowControl/>
      </w:pPr>
      <w:r>
        <w:rPr>
          <w:rFonts w:ascii="Times New Roman" w:hAnsi="Times New Roman" w:eastAsia="宋体"/>
          <w:sz w:val="21"/>
        </w:rPr>
        <w:t>需要注意，式（4）的1−〈qᵢ,qⱼ〉不是严格的分布距离：相邻归属分布相同但较分散时，该量仍可能非零。因此本文将其称为软归属相容变化量，不将其视为真实建筑边界；其与归属熵可能相关，独立作用需由固定Q的条件消融检验。相邻位置的局部候选必须先按全局区域ID对齐后再计算。</w:t>
      </w:r>
    </w:p>
    <w:p w14:paraId="469DD921">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limUpp>
              <m:limUppPr>
                <m:ctrlPr>
                  <w:rPr>
                    <w:rFonts w:hint="eastAsia" w:ascii="Cambria Math" w:hAnsi="Cambria Math" w:eastAsia="宋体" w:cs="宋体"/>
                  </w:rPr>
                </m:ctrlPr>
              </m:limUppPr>
              <m:e>
                <m:r>
                  <m:rPr/>
                  <w:rPr>
                    <w:rFonts w:hint="eastAsia" w:ascii="Cambria Math" w:hAnsi="Cambria Math" w:eastAsia="宋体" w:cs="宋体"/>
                    <w:sz w:val="20"/>
                  </w:rPr>
                  <m:t>F</m:t>
                </m:r>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f</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)+Λ⊙MLP</m:t>
        </m:r>
        <m:d>
          <m:dPr>
            <m:sepChr m:val=""/>
            <m:ctrlPr>
              <w:rPr>
                <w:rFonts w:hint="eastAsia" w:ascii="Cambria Math" w:hAnsi="Cambria Math" w:eastAsia="宋体" w:cs="宋体"/>
              </w:rPr>
            </m:ctrlPr>
          </m:dPr>
          <m:e>
            <m:r>
              <m:rPr/>
              <w:rPr>
                <w:rFonts w:hint="eastAsia" w:ascii="Cambria Math" w:hAnsi="Cambria Math" w:eastAsia="宋体" w:cs="宋体"/>
                <w:sz w:val="20"/>
              </w:rPr>
              <m:t>LN[</m:t>
            </m:r>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f</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H</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e>
        </m:d>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（5）</w:t>
      </w:r>
    </w:p>
    <w:p w14:paraId="21671DA0">
      <w:pPr>
        <w:widowControl/>
        <w:rPr>
          <w:rFonts w:hint="eastAsia" w:ascii="宋体" w:hAnsi="宋体" w:eastAsia="宋体" w:cs="宋体"/>
        </w:rPr>
      </w:pPr>
      <m:oMath>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f</m:t>
            </m:r>
            <m:ctrlPr>
              <w:rPr>
                <w:rFonts w:hint="eastAsia" w:ascii="Cambria Math" w:hAnsi="Cambria Math" w:eastAsia="宋体" w:cs="宋体"/>
              </w:rPr>
            </m:ctrlPr>
          </m:sub>
        </m:sSub>
      </m:oMath>
      <w:r>
        <w:rPr>
          <w:rFonts w:hint="eastAsia" w:ascii="宋体" w:hAnsi="宋体" w:eastAsia="宋体" w:cs="宋体"/>
        </w:rPr>
        <w:t xml:space="preserve"> 将256维融合内容投影至128维，</w:t>
      </w:r>
      <m:oMath>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 将三维结构条件投影至128维。拼接后的256维向量经层归一化和两层感知机生成128维增量，</w:t>
      </w:r>
      <m:oMath>
        <m:r>
          <m:rPr/>
          <w:rPr>
            <w:rFonts w:hint="eastAsia" w:ascii="Cambria Math" w:hAnsi="Cambria Math" w:eastAsia="宋体" w:cs="宋体"/>
            <w:sz w:val="20"/>
          </w:rPr>
          <m:t>Λ</m:t>
        </m:r>
      </m:oMath>
      <w:r>
        <w:rPr>
          <w:rFonts w:hint="eastAsia" w:ascii="宋体" w:hAnsi="宋体" w:eastAsia="宋体" w:cs="宋体"/>
        </w:rPr>
        <w:t xml:space="preserve"> 是逐通道可学习缩放量，初值为 </w:t>
      </w:r>
      <m:oMath>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−3</m:t>
            </m:r>
            <m:ctrlPr>
              <w:rPr>
                <w:rFonts w:hint="eastAsia" w:ascii="Cambria Math" w:hAnsi="Cambria Math" w:eastAsia="宋体" w:cs="宋体"/>
              </w:rPr>
            </m:ctrlPr>
          </m:sup>
        </m:sSup>
      </m:oMath>
      <w:r>
        <w:rPr>
          <w:rFonts w:hint="eastAsia" w:ascii="宋体" w:hAnsi="宋体" w:eastAsia="宋体" w:cs="宋体"/>
        </w:rPr>
        <w:t>。这一初始化减小初始特征扰动，并不构成训练后的无损或性能不下降保证。</w:t>
      </w:r>
    </w:p>
    <w:p w14:paraId="3721CECC">
      <w:pPr>
        <w:widowControl/>
        <w:rPr>
          <w:rFonts w:hint="eastAsia" w:ascii="宋体" w:hAnsi="宋体" w:eastAsia="宋体" w:cs="宋体"/>
        </w:rPr>
      </w:pPr>
      <w:r>
        <w:rPr>
          <w:rFonts w:hint="eastAsia" w:ascii="宋体" w:hAnsi="宋体" w:eastAsia="宋体" w:cs="宋体"/>
        </w:rPr>
        <w:t xml:space="preserve">区域表示结合适配内容、未适配内容统计和区域几何。首先，通过点卷积与Sigmoid生成位置权重 </w:t>
      </w:r>
      <m:oMath>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oMath>
      <w:r>
        <w:rPr>
          <w:rFonts w:hint="eastAsia" w:ascii="宋体" w:hAnsi="宋体" w:eastAsia="宋体" w:cs="宋体"/>
        </w:rPr>
        <w:t>，再计算区域的注意力加权适配内容。该量在图2与式（6）中均记作</w:t>
      </w:r>
      <m:oMath>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w:t>
      </w:r>
    </w:p>
    <w:p w14:paraId="0E783BDA">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=σ(</m:t>
        </m:r>
        <m:sSubSup>
          <m:sSubSupPr>
            <m:ctrlPr>
              <w:rPr>
                <w:rFonts w:hint="eastAsia" w:ascii="Cambria Math" w:hAnsi="Cambria Math" w:eastAsia="宋体" w:cs="宋体"/>
              </w:rPr>
            </m:ctrlPr>
          </m:sSubSup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limUpp>
              <m:limUppPr>
                <m:ctrlPr>
                  <w:rPr>
                    <w:rFonts w:hint="eastAsia" w:ascii="Cambria Math" w:hAnsi="Cambria Math" w:eastAsia="宋体" w:cs="宋体"/>
                  </w:rPr>
                </m:ctrlPr>
              </m:limUppPr>
              <m:e>
                <m:r>
                  <m:rPr/>
                  <w:rPr>
                    <w:rFonts w:hint="eastAsia" w:ascii="Cambria Math" w:hAnsi="Cambria Math" w:eastAsia="宋体" w:cs="宋体"/>
                    <w:sz w:val="20"/>
                  </w:rPr>
                  <m:t>F</m:t>
                </m:r>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b</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Sub>
        <m:r>
          <m:rPr/>
          <w:rPr>
            <w:rFonts w:hint="eastAsia" w:ascii="Cambria Math" w:hAnsi="Cambria Math" w:eastAsia="宋体" w:cs="宋体"/>
            <w:sz w:val="20"/>
          </w:rPr>
          <m:t>)</m:t>
        </m:r>
      </m:oMath>
    </w:p>
    <w:p w14:paraId="4EC22860">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sSub>
              <m:sSubPr>
                <m:ctrlPr>
                  <w:rPr>
                    <w:rFonts w:hint="eastAsia" w:ascii="Cambria Math" w:hAnsi="Cambria Math" w:eastAsia="宋体" w:cs="宋体"/>
                  </w:rPr>
                </m:ctrlPr>
              </m:sSubPr>
              <m:e>
                <m:limUpp>
                  <m:limUppPr>
                    <m:ctrlPr>
                      <w:rPr>
                        <w:rFonts w:hint="eastAsia" w:ascii="Cambria Math" w:hAnsi="Cambria Math" w:eastAsia="宋体" w:cs="宋体"/>
                      </w:rPr>
                    </m:ctrlPr>
                  </m:limUppPr>
                  <m:e>
                    <m:r>
                      <m:rPr/>
                      <w:rPr>
                        <w:rFonts w:hint="eastAsia" w:ascii="Cambria Math" w:hAnsi="Cambria Math" w:eastAsia="宋体" w:cs="宋体"/>
                        <w:sz w:val="20"/>
                      </w:rPr>
                      <m:t>F</m:t>
                    </m:r>
                    <m:ctrlPr>
                      <w:rPr>
                        <w:rFonts w:hint="eastAsia" w:ascii="Cambria Math" w:hAnsi="Cambria Math" w:eastAsia="宋体" w:cs="宋体"/>
                      </w:rPr>
                    </m:ctrlPr>
                  </m:e>
                  <m:lim>
                    <m:r>
                      <m:rPr/>
                      <w:rPr>
                        <w:rFonts w:hint="eastAsia" w:ascii="Cambria Math" w:hAnsi="Cambria Math" w:eastAsia="宋体" w:cs="宋体"/>
                        <w:sz w:val="20"/>
                      </w:rPr>
                      <m:t>~</m:t>
                    </m:r>
                    <m:ctrlPr>
                      <w:rPr>
                        <w:rFonts w:hint="eastAsia" w:ascii="Cambria Math" w:hAnsi="Cambria Math" w:eastAsia="宋体" w:cs="宋体"/>
                      </w:rPr>
                    </m:ctrlPr>
                  </m:lim>
                </m:limUpp>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a</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,ϵ)</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（6）</w:t>
      </w:r>
    </w:p>
    <w:p w14:paraId="7CA7D612">
      <w:pPr>
        <w:widowControl/>
        <w:rPr>
          <w:rFonts w:hint="eastAsia" w:ascii="宋体" w:hAnsi="宋体" w:eastAsia="宋体" w:cs="宋体"/>
        </w:rPr>
      </w:pPr>
      <w:r>
        <w:rPr>
          <w:rFonts w:hint="eastAsia" w:ascii="宋体" w:hAnsi="宋体" w:eastAsia="宋体" w:cs="宋体"/>
        </w:rPr>
        <w:t>图2统计旁路中的均值在下文记作</w:t>
      </w:r>
      <m:oMath>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，以区别于注意力加权的</w:t>
      </w:r>
      <m:oMath>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 xml:space="preserve">。式（6）、（7）中的数值稳定下界为10⁻⁶。另一方面，以 </w:t>
      </w:r>
      <m:oMath>
        <m:sSub>
          <m:sSubPr>
            <m:ctrlPr>
              <w:rPr>
                <w:rFonts w:hint="eastAsia" w:ascii="Cambria Math" w:hAnsi="Cambria Math" w:eastAsia="宋体" w:cs="宋体"/>
              </w:rPr>
            </m:ctrlPr>
          </m:sSubPr>
          <m:e>
            <m:r>
              <m:rPr/>
              <w:rPr>
                <w:rFonts w:hint="eastAsia" w:ascii="Cambria Math" w:hAnsi="Cambria Math" w:eastAsia="宋体" w:cs="宋体"/>
                <w:sz w:val="20"/>
              </w:rPr>
              <m:t>m</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oMath>
      <w:r>
        <w:rPr>
          <w:rFonts w:hint="eastAsia" w:ascii="宋体" w:hAnsi="宋体" w:eastAsia="宋体" w:cs="宋体"/>
        </w:rPr>
        <w:t xml:space="preserve"> 为区域质量，从未经过结构适配的 </w:t>
      </w:r>
      <m:oMath>
        <m:r>
          <m:rPr/>
          <w:rPr>
            <w:rFonts w:hint="eastAsia" w:ascii="Cambria Math" w:hAnsi="Cambria Math" w:eastAsia="宋体" w:cs="宋体"/>
            <w:sz w:val="20"/>
          </w:rPr>
          <m:t>F</m:t>
        </m:r>
      </m:oMath>
      <w:r>
        <w:rPr>
          <w:rFonts w:hint="eastAsia" w:ascii="宋体" w:hAnsi="宋体" w:eastAsia="宋体" w:cs="宋体"/>
        </w:rPr>
        <w:t xml:space="preserve"> 计算原特征均值</w:t>
      </w:r>
      <m:oMath>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和标准差：</w:t>
      </w:r>
    </w:p>
    <w:p w14:paraId="103238E4">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sSub>
              <m:sSubPr>
                <m:ctrlPr>
                  <w:rPr>
                    <w:rFonts w:hint="eastAsia" w:ascii="Cambria Math" w:hAnsi="Cambria Math" w:eastAsia="宋体" w:cs="宋体"/>
                  </w:rPr>
                </m:ctrlPr>
              </m:sSubPr>
              <m:e>
                <m:r>
                  <m:rPr/>
                  <w:rPr>
                    <w:rFonts w:hint="eastAsia" w:ascii="Cambria Math" w:hAnsi="Cambria Math" w:eastAsia="宋体" w:cs="宋体"/>
                    <w:sz w:val="20"/>
                  </w:rPr>
                  <m:t>m</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,ϵ)</m:t>
            </m:r>
            <m:ctrlPr>
              <w:rPr>
                <w:rFonts w:hint="eastAsia" w:ascii="Cambria Math" w:hAnsi="Cambria Math" w:eastAsia="宋体" w:cs="宋体"/>
              </w:rPr>
            </m:ctrlPr>
          </m:den>
        </m:f>
      </m:oMath>
    </w:p>
    <w:p w14:paraId="49F8DC6B">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σ</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rad>
          <m:radPr>
            <m:degHide m:val="1"/>
            <m:ctrlPr>
              <w:rPr>
                <w:rFonts w:hint="eastAsia" w:ascii="Cambria Math" w:hAnsi="Cambria Math" w:eastAsia="宋体" w:cs="宋体"/>
              </w:rPr>
            </m:ctrlPr>
          </m:radPr>
          <m:deg>
            <m:ctrlPr>
              <w:rPr>
                <w:rFonts w:hint="eastAsia" w:ascii="Cambria Math" w:hAnsi="Cambria Math" w:eastAsia="宋体" w:cs="宋体"/>
              </w:rPr>
            </m:ctrlPr>
          </m:deg>
          <m:e>
            <m:r>
              <m:rPr/>
              <w:rPr>
                <w:rFonts w:hint="eastAsia" w:ascii="Cambria Math" w:hAnsi="Cambria Math" w:eastAsia="宋体" w:cs="宋体"/>
                <w:sz w:val="20"/>
              </w:rPr>
              <m:t>max</m:t>
            </m:r>
            <m:d>
              <m:dPr>
                <m:sepChr m:val=""/>
                <m:ctrlPr>
                  <w:rPr>
                    <w:rFonts w:hint="eastAsia" w:ascii="Cambria Math" w:hAnsi="Cambria Math" w:eastAsia="宋体" w:cs="宋体"/>
                  </w:rPr>
                </m:ctrlPr>
              </m:dPr>
              <m:e>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up>
                        <m:r>
                          <m:rPr/>
                          <w:rPr>
                            <w:rFonts w:hint="eastAsia" w:ascii="Cambria Math" w:hAnsi="Cambria Math" w:eastAsia="宋体" w:cs="宋体"/>
                            <w:sz w:val="20"/>
                          </w:rPr>
                          <m:t>⊙2</m:t>
                        </m:r>
                        <m:ctrlPr>
                          <w:rPr>
                            <w:rFonts w:hint="eastAsia" w:ascii="Cambria Math" w:hAnsi="Cambria Math" w:eastAsia="宋体" w:cs="宋体"/>
                          </w:rPr>
                        </m:ctrlPr>
                      </m:sup>
                    </m:sSubSup>
                    <m:ctrlPr>
                      <w:rPr>
                        <w:rFonts w:hint="eastAsia" w:ascii="Cambria Math" w:hAnsi="Cambria Math" w:eastAsia="宋体" w:cs="宋体"/>
                      </w:rPr>
                    </m:ctrlPr>
                  </m:num>
                  <m:den>
                    <m:r>
                      <m:rPr/>
                      <w:rPr>
                        <w:rFonts w:hint="eastAsia" w:ascii="Cambria Math" w:hAnsi="Cambria Math" w:eastAsia="宋体" w:cs="宋体"/>
                        <w:sz w:val="20"/>
                      </w:rPr>
                      <m:t>max(</m:t>
                    </m:r>
                    <m:sSub>
                      <m:sSubPr>
                        <m:ctrlPr>
                          <w:rPr>
                            <w:rFonts w:hint="eastAsia" w:ascii="Cambria Math" w:hAnsi="Cambria Math" w:eastAsia="宋体" w:cs="宋体"/>
                          </w:rPr>
                        </m:ctrlPr>
                      </m:sSubPr>
                      <m:e>
                        <m:r>
                          <m:rPr/>
                          <w:rPr>
                            <w:rFonts w:hint="eastAsia" w:ascii="Cambria Math" w:hAnsi="Cambria Math" w:eastAsia="宋体" w:cs="宋体"/>
                            <w:sz w:val="20"/>
                          </w:rPr>
                          <m:t>m</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,ϵ)</m:t>
                    </m:r>
                    <m:ctrlPr>
                      <w:rPr>
                        <w:rFonts w:hint="eastAsia" w:ascii="Cambria Math" w:hAnsi="Cambria Math" w:eastAsia="宋体" w:cs="宋体"/>
                      </w:rPr>
                    </m:ctrlPr>
                  </m:den>
                </m:f>
                <m:r>
                  <m:rPr/>
                  <w:rPr>
                    <w:rFonts w:hint="eastAsia" w:ascii="Cambria Math" w:hAnsi="Cambria Math" w:eastAsia="宋体" w:cs="宋体"/>
                    <w:sz w:val="20"/>
                  </w:rPr>
                  <m:t>−</m:t>
                </m:r>
                <m:sSubSup>
                  <m:sSubSupPr>
                    <m:ctrlPr>
                      <w:rPr>
                        <w:rFonts w:hint="eastAsia" w:ascii="Cambria Math" w:hAnsi="Cambria Math" w:eastAsia="宋体" w:cs="宋体"/>
                      </w:rPr>
                    </m:ctrlPr>
                  </m:sSubSup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⊙2</m:t>
                    </m:r>
                    <m:ctrlPr>
                      <w:rPr>
                        <w:rFonts w:hint="eastAsia" w:ascii="Cambria Math" w:hAnsi="Cambria Math" w:eastAsia="宋体" w:cs="宋体"/>
                      </w:rPr>
                    </m:ctrlPr>
                  </m:sup>
                </m:sSubSup>
                <m:r>
                  <m:rPr/>
                  <w:rPr>
                    <w:rFonts w:hint="eastAsia" w:ascii="Cambria Math" w:hAnsi="Cambria Math" w:eastAsia="宋体" w:cs="宋体"/>
                    <w:sz w:val="20"/>
                  </w:rPr>
                  <m:t>,0</m:t>
                </m:r>
                <m:ctrlPr>
                  <w:rPr>
                    <w:rFonts w:hint="eastAsia" w:ascii="Cambria Math" w:hAnsi="Cambria Math" w:eastAsia="宋体" w:cs="宋体"/>
                  </w:rPr>
                </m:ctrlPr>
              </m:e>
            </m:d>
            <m:r>
              <m:rPr/>
              <w:rPr>
                <w:rFonts w:hint="eastAsia" w:ascii="Cambria Math" w:hAnsi="Cambria Math" w:eastAsia="宋体" w:cs="宋体"/>
                <w:sz w:val="20"/>
              </w:rPr>
              <m:t>+ϵ</m:t>
            </m:r>
            <m:ctrlPr>
              <w:rPr>
                <w:rFonts w:hint="eastAsia" w:ascii="Cambria Math" w:hAnsi="Cambria Math" w:eastAsia="宋体" w:cs="宋体"/>
              </w:rPr>
            </m:ctrlPr>
          </m:e>
        </m:rad>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（7）</w:t>
      </w:r>
    </w:p>
    <w:p w14:paraId="26C40E0B">
      <w:pPr>
        <w:widowControl/>
        <w:rPr>
          <w:rFonts w:hint="eastAsia" w:ascii="宋体" w:hAnsi="宋体" w:eastAsia="宋体" w:cs="宋体"/>
        </w:rPr>
      </w:pPr>
      <w:r>
        <w:rPr>
          <w:rFonts w:hint="eastAsia" w:ascii="宋体" w:hAnsi="宋体" w:eastAsia="宋体" w:cs="宋体"/>
        </w:rPr>
        <w:t xml:space="preserve">几何向量 </w:t>
      </w:r>
      <m:oMath>
        <m:sSub>
          <m:sSubPr>
            <m:ctrlPr>
              <w:rPr>
                <w:rFonts w:hint="eastAsia" w:ascii="Cambria Math" w:hAnsi="Cambria Math" w:eastAsia="宋体" w:cs="宋体"/>
              </w:rPr>
            </m:ctrlPr>
          </m:sSubPr>
          <m:e>
            <m:r>
              <m:rPr/>
              <w:rPr>
                <w:rFonts w:hint="eastAsia" w:ascii="Cambria Math" w:hAnsi="Cambria Math" w:eastAsia="宋体" w:cs="宋体"/>
                <w:sz w:val="20"/>
              </w:rPr>
              <m:t>g</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 xml:space="preserve"> 包含归一化区域质量、二维软质心及两个坐标轴上的软扩展度，共5维。这里的几何由 </w:t>
      </w:r>
      <m:oMath>
        <m:r>
          <m:rPr/>
          <w:rPr>
            <w:rFonts w:hint="eastAsia" w:ascii="Cambria Math" w:hAnsi="Cambria Math" w:eastAsia="宋体" w:cs="宋体"/>
            <w:sz w:val="20"/>
          </w:rPr>
          <m:t>Q</m:t>
        </m:r>
      </m:oMath>
      <w:r>
        <w:rPr>
          <w:rFonts w:hint="eastAsia" w:ascii="宋体" w:hAnsi="宋体" w:eastAsia="宋体" w:cs="宋体"/>
        </w:rPr>
        <w:t xml:space="preserve"> 与归一化坐标计算，不使用真实建筑轮廓。最终区域表示为</w:t>
      </w:r>
    </w:p>
    <w:p w14:paraId="351C0D3C">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=LN</m:t>
        </m:r>
        <m:d>
          <m:dPr>
            <m:sepChr m:val=""/>
            <m:ctrlPr>
              <w:rPr>
                <w:rFonts w:hint="eastAsia" w:ascii="Cambria Math" w:hAnsi="Cambria Math" w:eastAsia="宋体" w:cs="宋体"/>
              </w:rPr>
            </m:ctrlPr>
          </m:dPr>
          <m:e>
            <m:r>
              <m:rPr/>
              <w:rPr>
                <w:rFonts w:hint="eastAsia" w:ascii="Cambria Math" w:hAnsi="Cambria Math" w:eastAsia="宋体" w:cs="宋体"/>
                <w:sz w:val="20"/>
              </w:rPr>
              <m:t>ϕ(</m:t>
            </m:r>
            <m:sSub>
              <m:sSubPr>
                <m:ctrlPr>
                  <w:rPr>
                    <w:rFonts w:hint="eastAsia" w:ascii="Cambria Math" w:hAnsi="Cambria Math" w:eastAsia="宋体" w:cs="宋体"/>
                  </w:rPr>
                </m:ctrlPr>
              </m:sSubPr>
              <m:e>
                <m:r>
                  <m:rPr/>
                  <w:rPr>
                    <w:rFonts w:hint="eastAsia" w:ascii="Cambria Math" w:hAnsi="Cambria Math" w:eastAsia="宋体" w:cs="宋体"/>
                    <w:sz w:val="20"/>
                  </w:rPr>
                  <m:t>μ</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r>
              <m:rPr>
                <m:sty m:val="p"/>
              </m:rPr>
              <w:rPr>
                <w:rFonts w:hint="eastAsia" w:ascii="Cambria Math" w:hAnsi="Cambria Math" w:eastAsia="宋体" w:cs="宋体"/>
                <w:sz w:val="20"/>
              </w:rPr>
              <m:t>tanh</m:t>
            </m:r>
            <m:r>
              <m:rPr/>
              <w:rPr>
                <w:rFonts w:hint="eastAsia" w:ascii="Cambria Math" w:hAnsi="Cambria Math" w:eastAsia="宋体" w:cs="宋体"/>
                <w:sz w:val="20"/>
              </w:rPr>
              <m:t>(α)ψ([</m:t>
            </m:r>
            <m:sSub>
              <m:sSubPr>
                <m:ctrlPr>
                  <w:rPr>
                    <w:rFonts w:hint="eastAsia" w:ascii="Cambria Math" w:hAnsi="Cambria Math" w:eastAsia="宋体" w:cs="宋体"/>
                  </w:rPr>
                </m:ctrlPr>
              </m:sSubPr>
              <m:e>
                <m:bar>
                  <m:barPr>
                    <m:pos m:val="top"/>
                    <m:ctrlPr>
                      <w:rPr>
                        <w:rFonts w:hint="eastAsia" w:ascii="Cambria Math" w:hAnsi="Cambria Math" w:eastAsia="宋体" w:cs="宋体"/>
                      </w:rPr>
                    </m:ctrlPr>
                  </m:barPr>
                  <m:e>
                    <m:r>
                      <m:rPr/>
                      <w:rPr>
                        <w:rFonts w:hint="eastAsia" w:ascii="Cambria Math" w:hAnsi="Cambria Math" w:eastAsia="宋体" w:cs="宋体"/>
                        <w:sz w:val="20"/>
                      </w:rPr>
                      <m:t>F</m:t>
                    </m:r>
                    <m:ctrlPr>
                      <w:rPr>
                        <w:rFonts w:hint="eastAsia" w:ascii="Cambria Math" w:hAnsi="Cambria Math" w:eastAsia="宋体" w:cs="宋体"/>
                      </w:rPr>
                    </m:ctrlPr>
                  </m:e>
                </m:ba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σ</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])+γ(</m:t>
            </m:r>
            <m:sSub>
              <m:sSubPr>
                <m:ctrlPr>
                  <w:rPr>
                    <w:rFonts w:hint="eastAsia" w:ascii="Cambria Math" w:hAnsi="Cambria Math" w:eastAsia="宋体" w:cs="宋体"/>
                  </w:rPr>
                </m:ctrlPr>
              </m:sSubPr>
              <m:e>
                <m:r>
                  <m:rPr/>
                  <w:rPr>
                    <w:rFonts w:hint="eastAsia" w:ascii="Cambria Math" w:hAnsi="Cambria Math" w:eastAsia="宋体" w:cs="宋体"/>
                    <w:sz w:val="20"/>
                  </w:rPr>
                  <m:t>g</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e>
        </m:d>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（8）</w:t>
      </w:r>
    </w:p>
    <w:p w14:paraId="1FAF6B4B">
      <w:pPr>
        <w:widowControl/>
        <w:rPr>
          <w:rFonts w:hint="eastAsia" w:ascii="宋体" w:hAnsi="宋体" w:eastAsia="宋体" w:cs="宋体"/>
        </w:rPr>
      </w:pPr>
      <m:oMath>
        <m:r>
          <m:rPr/>
          <w:rPr>
            <w:rFonts w:hint="eastAsia" w:ascii="Cambria Math" w:hAnsi="Cambria Math" w:eastAsia="宋体" w:cs="宋体"/>
            <w:sz w:val="20"/>
          </w:rPr>
          <m:t>ϕ</m:t>
        </m:r>
      </m:oMath>
      <w:r>
        <w:rPr>
          <w:rFonts w:hint="eastAsia" w:ascii="宋体" w:hAnsi="宋体" w:eastAsia="宋体" w:cs="宋体"/>
        </w:rPr>
        <w:t>、</w:t>
      </w:r>
      <m:oMath>
        <m:r>
          <m:rPr/>
          <w:rPr>
            <w:rFonts w:hint="eastAsia" w:ascii="Cambria Math" w:hAnsi="Cambria Math" w:eastAsia="宋体" w:cs="宋体"/>
            <w:sz w:val="20"/>
          </w:rPr>
          <m:t>ψ</m:t>
        </m:r>
      </m:oMath>
      <w:r>
        <w:rPr>
          <w:rFonts w:hint="eastAsia" w:ascii="宋体" w:hAnsi="宋体" w:eastAsia="宋体" w:cs="宋体"/>
        </w:rPr>
        <w:t xml:space="preserve"> 和 </w:t>
      </w:r>
      <m:oMath>
        <m:r>
          <m:rPr/>
          <w:rPr>
            <w:rFonts w:hint="eastAsia" w:ascii="Cambria Math" w:hAnsi="Cambria Math" w:eastAsia="宋体" w:cs="宋体"/>
            <w:sz w:val="20"/>
          </w:rPr>
          <m:t>γ</m:t>
        </m:r>
      </m:oMath>
      <w:r>
        <w:rPr>
          <w:rFonts w:hint="eastAsia" w:ascii="宋体" w:hAnsi="宋体" w:eastAsia="宋体" w:cs="宋体"/>
        </w:rPr>
        <w:t xml:space="preserve"> 为相应投影，输出维度均为128；</w:t>
      </w:r>
      <m:oMath>
        <m:r>
          <m:rPr/>
          <w:rPr>
            <w:rFonts w:hint="eastAsia" w:ascii="Cambria Math" w:hAnsi="Cambria Math" w:eastAsia="宋体" w:cs="宋体"/>
            <w:sz w:val="20"/>
          </w:rPr>
          <m:t>α</m:t>
        </m:r>
      </m:oMath>
      <w:r>
        <w:rPr>
          <w:rFonts w:hint="eastAsia" w:ascii="宋体" w:hAnsi="宋体" w:eastAsia="宋体" w:cs="宋体"/>
        </w:rPr>
        <w:t xml:space="preserve"> 为可学习标量，初值为0.1。质量不足的区域被标记为无效。主配置不额外使用全局区域自注意力。注意力池化、统计汇总和几何编码构成区域表征的基础组件，本文的结构侧方法重点是建筑软先验约束与分区信息驱动的特征适配。</w:t>
      </w:r>
    </w:p>
    <w:p w14:paraId="2854A007">
      <w:pPr>
        <w:keepNext/>
        <w:keepLines/>
        <w:widowControl/>
        <w:spacing w:before="0" w:after="40"/>
        <w:ind w:firstLine="0"/>
        <w:jc w:val="center"/>
        <w:rPr>
          <w:rFonts w:hint="eastAsia" w:ascii="宋体" w:hAnsi="宋体" w:eastAsia="宋体" w:cs="宋体"/>
        </w:rPr>
      </w:pPr>
      <w:r>
        <w:rPr>
          <w:rFonts w:hint="eastAsia" w:ascii="宋体" w:hAnsi="宋体" w:eastAsia="宋体" w:cs="宋体"/>
        </w:rPr>
        <w:drawing>
          <wp:inline distT="0" distB="0" distL="114300" distR="114300">
            <wp:extent cx="5542280" cy="3036570"/>
            <wp:effectExtent l="0" t="0" r="127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rcRect r="3291" b="-1121"/>
                    <a:stretch>
                      <a:fillRect/>
                    </a:stretch>
                  </pic:blipFill>
                  <pic:spPr>
                    <a:xfrm>
                      <a:off x="0" y="0"/>
                      <a:ext cx="5542280" cy="3036570"/>
                    </a:xfrm>
                    <a:prstGeom prst="rect">
                      <a:avLst/>
                    </a:prstGeom>
                  </pic:spPr>
                </pic:pic>
              </a:graphicData>
            </a:graphic>
          </wp:inline>
        </w:drawing>
      </w:r>
    </w:p>
    <w:p w14:paraId="7D248BA8">
      <w:pPr>
        <w:pStyle w:val="15"/>
        <w:keepNext w:val="0"/>
        <w:keepLines/>
        <w:widowControl/>
        <w:jc w:val="center"/>
        <w:rPr>
          <w:rFonts w:hint="eastAsia" w:ascii="宋体" w:hAnsi="宋体" w:eastAsia="宋体" w:cs="宋体"/>
        </w:rPr>
      </w:pPr>
      <w:r>
        <w:rPr>
          <w:rFonts w:ascii="Times New Roman" w:hAnsi="Times New Roman" w:eastAsia="宋体"/>
          <w:sz w:val="19"/>
        </w:rPr>
        <w:t>图2　建筑相容分区与结构条件区域编码。建筑概率进入局部相容项；B、b(Q)、H(Q)调节融合内容，并结合适配前统计和软几何形成区域表示。b(Q)不是GT建筑边界，H(Q)不是损毁概率的不确定性。</w:t>
      </w:r>
    </w:p>
    <w:p w14:paraId="7A50BAC7">
      <w:pPr>
        <w:pStyle w:val="4"/>
        <w:keepNext/>
        <w:widowControl/>
        <w:rPr>
          <w:rFonts w:hint="eastAsia" w:ascii="宋体" w:hAnsi="宋体" w:eastAsia="宋体" w:cs="宋体"/>
        </w:rPr>
      </w:pPr>
      <w:r>
        <w:rPr>
          <w:rFonts w:hint="eastAsia" w:ascii="Times New Roman" w:hAnsi="Times New Roman" w:eastAsia="宋体" w:cs="宋体"/>
          <w:sz w:val="21"/>
        </w:rPr>
        <w:t>D. 跨事件目标类别监督的区域检索</w:t>
      </w:r>
    </w:p>
    <w:p w14:paraId="3DD2A2DC">
      <w:pPr>
        <w:pStyle w:val="5"/>
        <w:keepNext/>
        <w:widowControl/>
        <w:rPr>
          <w:rFonts w:hint="eastAsia" w:ascii="宋体" w:hAnsi="宋体" w:eastAsia="宋体" w:cs="宋体"/>
        </w:rPr>
      </w:pPr>
      <w:r>
        <w:rPr>
          <w:rFonts w:hint="eastAsia" w:ascii="Times New Roman" w:hAnsi="Times New Roman" w:eastAsia="宋体" w:cs="宋体"/>
          <w:sz w:val="21"/>
        </w:rPr>
        <w:t>1) 训练区域支持库</w:t>
      </w:r>
    </w:p>
    <w:p w14:paraId="41F25929">
      <w:pPr>
        <w:widowControl/>
        <w:rPr>
          <w:rFonts w:hint="eastAsia" w:ascii="宋体" w:hAnsi="宋体" w:eastAsia="宋体" w:cs="宋体"/>
        </w:rPr>
      </w:pPr>
      <w:r>
        <w:rPr>
          <w:rFonts w:hint="eastAsia" w:ascii="宋体" w:hAnsi="宋体" w:eastAsia="宋体" w:cs="宋体"/>
        </w:rPr>
        <w:t xml:space="preserve">固定训练后的区域前端，对训练影像执行确定性的全图编码。每条候选记录包含区域表示 </w:t>
      </w:r>
      <m:oMath>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、训练标签组成 </w:t>
      </w:r>
      <m:oMath>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、区域几何、事件编号、灾害类型及图像编号。训练标签首先转换为四类别指示图，忽略无效标签，再通过面积缩放得到特征网格上的类别占比 </w:t>
      </w:r>
      <m:oMath>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ic</m:t>
            </m:r>
            <m:ctrlPr>
              <w:rPr>
                <w:rFonts w:hint="eastAsia" w:ascii="Cambria Math" w:hAnsi="Cambria Math" w:eastAsia="宋体" w:cs="宋体"/>
              </w:rPr>
            </m:ctrlPr>
          </m:sub>
        </m:sSub>
      </m:oMath>
      <w:r>
        <w:rPr>
          <w:rFonts w:hint="eastAsia" w:ascii="宋体" w:hAnsi="宋体" w:eastAsia="宋体" w:cs="宋体"/>
        </w:rPr>
        <w:t>。区域类别分布为</w:t>
      </w:r>
    </w:p>
    <w:p w14:paraId="2044D7AF">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kc</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ic</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nary>
              <m:naryPr>
                <m:chr m:val="∑"/>
                <m:grow m:val="1"/>
                <m:limLoc m:val="subSup"/>
                <m:supHide m:val="1"/>
                <m:ctrlPr>
                  <w:rPr>
                    <w:rFonts w:hint="eastAsia" w:ascii="Cambria Math" w:hAnsi="Cambria Math" w:eastAsia="宋体" w:cs="宋体"/>
                  </w:rPr>
                </m:ctrlPr>
              </m:naryPr>
              <m:sub>
                <m:sSup>
                  <m:sSupPr>
                    <m:ctrlPr>
                      <w:rPr>
                        <w:rFonts w:hint="eastAsia" w:ascii="Cambria Math" w:hAnsi="Cambria Math" w:eastAsia="宋体" w:cs="宋体"/>
                      </w:rPr>
                    </m:ctrlPr>
                  </m:sSupPr>
                  <m:e>
                    <m:r>
                      <m:rPr/>
                      <w:rPr>
                        <w:rFonts w:hint="eastAsia" w:ascii="Cambria Math" w:hAnsi="Cambria Math" w:eastAsia="宋体" w:cs="宋体"/>
                        <w:sz w:val="20"/>
                      </w:rPr>
                      <m:t>c</m:t>
                    </m:r>
                    <m:ctrlPr>
                      <w:rPr>
                        <w:rFonts w:hint="eastAsia" w:ascii="Cambria Math" w:hAnsi="Cambria Math" w:eastAsia="宋体" w:cs="宋体"/>
                      </w:rPr>
                    </m:ctrlPr>
                  </m:e>
                  <m:sup>
                    <m:r>
                      <m:rPr/>
                      <w:rPr>
                        <w:rFonts w:hint="eastAsia" w:ascii="Cambria Math" w:hAnsi="Cambria Math" w:eastAsia="宋体" w:cs="宋体"/>
                        <w:sz w:val="20"/>
                      </w:rPr>
                      <m:t>′</m:t>
                    </m:r>
                    <m:ctrlPr>
                      <w:rPr>
                        <w:rFonts w:hint="eastAsia" w:ascii="Cambria Math" w:hAnsi="Cambria Math" w:eastAsia="宋体" w:cs="宋体"/>
                      </w:rPr>
                    </m:ctrlPr>
                  </m:sup>
                </m:sSup>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m:t>
                    </m:r>
                    <m:sSup>
                      <m:sSupPr>
                        <m:ctrlPr>
                          <w:rPr>
                            <w:rFonts w:hint="eastAsia" w:ascii="Cambria Math" w:hAnsi="Cambria Math" w:eastAsia="宋体" w:cs="宋体"/>
                          </w:rPr>
                        </m:ctrlPr>
                      </m:sSupPr>
                      <m:e>
                        <m:r>
                          <m:rPr/>
                          <w:rPr>
                            <w:rFonts w:hint="eastAsia" w:ascii="Cambria Math" w:hAnsi="Cambria Math" w:eastAsia="宋体" w:cs="宋体"/>
                            <w:sz w:val="20"/>
                          </w:rPr>
                          <m:t>c</m:t>
                        </m:r>
                        <m:ctrlPr>
                          <w:rPr>
                            <w:rFonts w:hint="eastAsia" w:ascii="Cambria Math" w:hAnsi="Cambria Math" w:eastAsia="宋体" w:cs="宋体"/>
                          </w:rPr>
                        </m:ctrlPr>
                      </m:e>
                      <m:sup>
                        <m:r>
                          <m:rPr/>
                          <w:rPr>
                            <w:rFonts w:hint="eastAsia" w:ascii="Cambria Math" w:hAnsi="Cambria Math" w:eastAsia="宋体" w:cs="宋体"/>
                            <w:sz w:val="20"/>
                          </w:rPr>
                          <m:t>′</m:t>
                        </m:r>
                        <m:ctrlPr>
                          <w:rPr>
                            <w:rFonts w:hint="eastAsia" w:ascii="Cambria Math" w:hAnsi="Cambria Math" w:eastAsia="宋体" w:cs="宋体"/>
                          </w:rPr>
                        </m:ctrlPr>
                      </m:sup>
                    </m:sSup>
                    <m:ctrlPr>
                      <w:rPr>
                        <w:rFonts w:hint="eastAsia" w:ascii="Cambria Math" w:hAnsi="Cambria Math" w:eastAsia="宋体" w:cs="宋体"/>
                      </w:rPr>
                    </m:ctrlPr>
                  </m:sub>
                </m:sSub>
                <m:ctrlPr>
                  <w:rPr>
                    <w:rFonts w:hint="eastAsia" w:ascii="Cambria Math" w:hAnsi="Cambria Math" w:eastAsia="宋体" w:cs="宋体"/>
                  </w:rPr>
                </m:ctrlPr>
              </m:e>
            </m:nary>
            <m:r>
              <m:rPr/>
              <w:rPr>
                <w:rFonts w:hint="eastAsia" w:ascii="Cambria Math" w:hAnsi="Cambria Math" w:eastAsia="宋体" w:cs="宋体"/>
                <w:sz w:val="20"/>
              </w:rPr>
              <m:t>,</m:t>
            </m:r>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−8</m:t>
                </m:r>
                <m:ctrlPr>
                  <w:rPr>
                    <w:rFonts w:hint="eastAsia" w:ascii="Cambria Math" w:hAnsi="Cambria Math" w:eastAsia="宋体" w:cs="宋体"/>
                  </w:rPr>
                </m:ctrlPr>
              </m:sup>
            </m:sSup>
            <m:r>
              <m:rPr/>
              <w:rPr>
                <w:rFonts w:hint="eastAsia" w:ascii="Cambria Math" w:hAnsi="Cambria Math" w:eastAsia="宋体" w:cs="宋体"/>
                <w:sz w:val="20"/>
              </w:rPr>
              <m:t>)</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（9）</w:t>
      </w:r>
    </w:p>
    <w:p w14:paraId="7587B4EE">
      <w:pPr>
        <w:widowControl/>
        <w:rPr>
          <w:rFonts w:hint="eastAsia" w:ascii="宋体" w:hAnsi="宋体" w:eastAsia="宋体" w:cs="宋体"/>
        </w:rPr>
      </w:pPr>
      <w:r>
        <w:rPr>
          <w:rFonts w:hint="eastAsia" w:ascii="Times New Roman" w:hAnsi="Times New Roman" w:eastAsia="宋体" w:cs="宋体"/>
          <w:sz w:val="21"/>
        </w:rPr>
        <w:t>支持库按“事件×主类别”分组，以随机优先级抽样保留每组至多64个区域。主类别涵盖背景、完好、受损和毁坏；其中后三类用于建筑损毁等级分析。该分组控制支持来源，并不在查询时按真实类别选择邻居。主设置建库时保留具有有效标签质量的混合区域，因此后续使用其完整类别分布，而非只使用一个硬标签。验证和测试影像及其标签均不进入支持库。</w:t>
      </w:r>
    </w:p>
    <w:p w14:paraId="329784E0">
      <w:pPr>
        <w:pStyle w:val="5"/>
        <w:keepNext/>
        <w:widowControl/>
        <w:rPr>
          <w:rFonts w:hint="eastAsia" w:ascii="宋体" w:hAnsi="宋体" w:eastAsia="宋体" w:cs="宋体"/>
        </w:rPr>
      </w:pPr>
      <w:r>
        <w:rPr>
          <w:rFonts w:hint="eastAsia" w:ascii="Times New Roman" w:hAnsi="Times New Roman" w:eastAsia="宋体" w:cs="宋体"/>
          <w:sz w:val="21"/>
        </w:rPr>
        <w:t>2) 跨事件类别监督的检索投影</w:t>
      </w:r>
    </w:p>
    <w:p w14:paraId="3C022851">
      <w:pPr>
        <w:widowControl/>
        <w:rPr>
          <w:rFonts w:hint="eastAsia" w:ascii="宋体" w:hAnsi="宋体" w:eastAsia="宋体" w:cs="宋体"/>
        </w:rPr>
      </w:pPr>
      <w:r>
        <w:rPr>
          <w:rFonts w:hint="eastAsia" w:ascii="Times New Roman" w:hAnsi="Times New Roman" w:eastAsia="宋体" w:cs="宋体"/>
          <w:sz w:val="21"/>
        </w:rPr>
        <w:t>检索相关性由区域表示的相似性决定，而分类所需要的支持应与背景、完好、受损和毁坏四类目标标签相关。为检验二者能否更一致，本文在固定区域表示上学习一个独立检索投影。该投影只决定支持记录的排序；读取阶段使用原始支持表示及其记录内容。</w:t>
      </w:r>
    </w:p>
    <w:p w14:paraId="2DD40340">
      <w:pPr>
        <w:widowControl/>
        <w:rPr>
          <w:rFonts w:hint="eastAsia" w:ascii="宋体" w:hAnsi="宋体" w:eastAsia="宋体" w:cs="宋体"/>
        </w:rPr>
      </w:pPr>
      <w:r>
        <w:rPr>
          <w:rFonts w:hint="eastAsia" w:ascii="宋体" w:hAnsi="宋体" w:eastAsia="宋体" w:cs="宋体"/>
        </w:rPr>
        <w:t xml:space="preserve">设 </w:t>
      </w:r>
      <m:oMath>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r>
          <m:rPr/>
          <w:rPr>
            <w:rFonts w:hint="eastAsia" w:ascii="Cambria Math" w:hAnsi="Cambria Math" w:eastAsia="宋体" w:cs="宋体"/>
            <w:sz w:val="20"/>
          </w:rPr>
          <m:t>∈</m:t>
        </m:r>
        <m:sSup>
          <m:sSupPr>
            <m:ctrlPr>
              <w:rPr>
                <w:rFonts w:hint="eastAsia" w:ascii="Cambria Math" w:hAnsi="Cambria Math" w:eastAsia="宋体" w:cs="宋体"/>
              </w:rPr>
            </m:ctrlPr>
          </m:sSupPr>
          <m:e>
            <m:r>
              <m:rPr>
                <m:sty m:val="p"/>
                <m:scr m:val="double-struck"/>
              </m:rPr>
              <w:rPr>
                <w:rFonts w:hint="eastAsia" w:ascii="Cambria Math" w:hAnsi="Cambria Math" w:eastAsia="MS Mincho" w:cs="MS Mincho"/>
                <w:sz w:val="20"/>
              </w:rPr>
              <m:t>ℝ</m:t>
            </m:r>
            <m:ctrlPr>
              <w:rPr>
                <w:rFonts w:hint="eastAsia" w:ascii="Cambria Math" w:hAnsi="Cambria Math" w:eastAsia="宋体" w:cs="宋体"/>
              </w:rPr>
            </m:ctrlPr>
          </m:e>
          <m:sup>
            <m:r>
              <m:rPr/>
              <w:rPr>
                <w:rFonts w:hint="eastAsia" w:ascii="Cambria Math" w:hAnsi="Cambria Math" w:eastAsia="宋体" w:cs="宋体"/>
                <w:sz w:val="20"/>
              </w:rPr>
              <m:t>128×128</m:t>
            </m:r>
            <m:ctrlPr>
              <w:rPr>
                <w:rFonts w:hint="eastAsia" w:ascii="Cambria Math" w:hAnsi="Cambria Math" w:eastAsia="宋体" w:cs="宋体"/>
              </w:rPr>
            </m:ctrlPr>
          </m:sup>
        </m:sSup>
      </m:oMath>
      <w:r>
        <w:rPr>
          <w:rFonts w:hint="eastAsia" w:ascii="宋体" w:hAnsi="宋体" w:eastAsia="宋体" w:cs="宋体"/>
        </w:rPr>
        <w:t xml:space="preserve"> 为无偏置、恒等初始化的线性映射，检索键定义为</w:t>
      </w:r>
    </w:p>
    <w:p w14:paraId="6D887AB5">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ctrlPr>
              <w:rPr>
                <w:rFonts w:hint="eastAsia" w:ascii="Cambria Math" w:hAnsi="Cambria Math" w:eastAsia="宋体" w:cs="宋体"/>
              </w:rPr>
            </m:ctrlPr>
          </m:num>
          <m:den>
            <m:r>
              <m:rPr/>
              <w:rPr>
                <w:rFonts w:hint="eastAsia" w:ascii="Cambria Math" w:hAnsi="Cambria Math" w:eastAsia="宋体" w:cs="宋体"/>
                <w:sz w:val="20"/>
              </w:rPr>
              <m:t>max(‖</m:t>
            </m:r>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m:t>
                </m:r>
                <m:ctrlPr>
                  <w:rPr>
                    <w:rFonts w:hint="eastAsia" w:ascii="Cambria Math" w:hAnsi="Cambria Math" w:eastAsia="宋体" w:cs="宋体"/>
                  </w:rPr>
                </m:ctrlPr>
              </m:e>
              <m:sub>
                <m:r>
                  <m:rPr/>
                  <w:rPr>
                    <w:rFonts w:hint="eastAsia" w:ascii="Cambria Math" w:hAnsi="Cambria Math" w:eastAsia="宋体" w:cs="宋体"/>
                    <w:sz w:val="20"/>
                  </w:rPr>
                  <m:t>2</m:t>
                </m:r>
                <m:ctrlPr>
                  <w:rPr>
                    <w:rFonts w:hint="eastAsia" w:ascii="Cambria Math" w:hAnsi="Cambria Math" w:eastAsia="宋体" w:cs="宋体"/>
                  </w:rPr>
                </m:ctrlPr>
              </m:sub>
            </m:sSub>
            <m:r>
              <m:rPr/>
              <w:rPr>
                <w:rFonts w:hint="eastAsia" w:ascii="Cambria Math" w:hAnsi="Cambria Math" w:eastAsia="宋体" w:cs="宋体"/>
                <w:sz w:val="20"/>
              </w:rPr>
              <m:t>,</m:t>
            </m:r>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−12</m:t>
                </m:r>
                <m:ctrlPr>
                  <w:rPr>
                    <w:rFonts w:hint="eastAsia" w:ascii="Cambria Math" w:hAnsi="Cambria Math" w:eastAsia="宋体" w:cs="宋体"/>
                  </w:rPr>
                </m:ctrlPr>
              </m:sup>
            </m:sSup>
            <m:r>
              <m:rPr/>
              <w:rPr>
                <w:rFonts w:hint="eastAsia" w:ascii="Cambria Math" w:hAnsi="Cambria Math" w:eastAsia="宋体" w:cs="宋体"/>
                <w:sz w:val="20"/>
              </w:rPr>
              <m:t>)</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（10）</w:t>
      </w:r>
    </w:p>
    <w:p w14:paraId="4550690B">
      <w:pPr>
        <w:widowControl/>
        <w:rPr>
          <w:rFonts w:hint="eastAsia" w:ascii="宋体" w:hAnsi="宋体" w:eastAsia="宋体" w:cs="宋体"/>
        </w:rPr>
      </w:pPr>
      <w:r>
        <w:rPr>
          <w:rFonts w:hint="eastAsia" w:ascii="宋体" w:hAnsi="宋体" w:eastAsia="宋体" w:cs="宋体"/>
        </w:rPr>
        <w:t xml:space="preserve">度量拟合使用支持库中主类别占比不低于0.8的区域。对锚点 </w:t>
      </w:r>
      <m:oMath>
        <m:r>
          <m:rPr/>
          <w:rPr>
            <w:rFonts w:hint="eastAsia" w:ascii="Cambria Math" w:hAnsi="Cambria Math" w:eastAsia="宋体" w:cs="宋体"/>
            <w:sz w:val="20"/>
          </w:rPr>
          <m:t>a</m:t>
        </m:r>
      </m:oMath>
      <w:r>
        <w:rPr>
          <w:rFonts w:hint="eastAsia" w:ascii="宋体" w:hAnsi="宋体" w:eastAsia="宋体" w:cs="宋体"/>
        </w:rPr>
        <w:t xml:space="preserve">，候选集合 </w:t>
      </w:r>
      <m:oMath>
        <m:r>
          <m:rPr>
            <m:scr m:val="script"/>
          </m:rPr>
          <w:rPr>
            <w:rFonts w:hint="eastAsia" w:ascii="Cambria Math" w:hAnsi="Cambria Math" w:eastAsia="MS Mincho" w:cs="MS Mincho"/>
            <w:sz w:val="20"/>
          </w:rPr>
          <m:t>C</m:t>
        </m:r>
        <m:r>
          <m:rPr/>
          <w:rPr>
            <w:rFonts w:hint="eastAsia" w:ascii="Cambria Math" w:hAnsi="Cambria Math" w:eastAsia="宋体" w:cs="宋体"/>
            <w:sz w:val="20"/>
          </w:rPr>
          <m:t>(a)</m:t>
        </m:r>
      </m:oMath>
      <w:r>
        <w:rPr>
          <w:rFonts w:hint="eastAsia" w:ascii="宋体" w:hAnsi="宋体" w:eastAsia="宋体" w:cs="宋体"/>
        </w:rPr>
        <w:t xml:space="preserve"> 仅含不同事件且不同图像的合格区域；正样本集合 </w:t>
      </w:r>
      <m:oMath>
        <m:r>
          <m:rPr>
            <m:scr m:val="script"/>
          </m:rPr>
          <w:rPr>
            <w:rFonts w:hint="eastAsia" w:ascii="Cambria Math" w:hAnsi="Cambria Math" w:eastAsia="MS Mincho" w:cs="MS Mincho"/>
            <w:sz w:val="20"/>
          </w:rPr>
          <m:t>P</m:t>
        </m:r>
        <m:r>
          <m:rPr/>
          <w:rPr>
            <w:rFonts w:hint="eastAsia" w:ascii="Cambria Math" w:hAnsi="Cambria Math" w:eastAsia="宋体" w:cs="宋体"/>
            <w:sz w:val="20"/>
          </w:rPr>
          <m:t>(a)⊂</m:t>
        </m:r>
        <m:r>
          <m:rPr>
            <m:scr m:val="script"/>
          </m:rPr>
          <w:rPr>
            <w:rFonts w:hint="eastAsia" w:ascii="Cambria Math" w:hAnsi="Cambria Math" w:eastAsia="MS Mincho" w:cs="MS Mincho"/>
            <w:sz w:val="20"/>
          </w:rPr>
          <m:t>C</m:t>
        </m:r>
        <m:r>
          <m:rPr/>
          <w:rPr>
            <w:rFonts w:hint="eastAsia" w:ascii="Cambria Math" w:hAnsi="Cambria Math" w:eastAsia="宋体" w:cs="宋体"/>
            <w:sz w:val="20"/>
          </w:rPr>
          <m:t>(a)</m:t>
        </m:r>
      </m:oMath>
      <w:r>
        <w:rPr>
          <w:rFonts w:hint="eastAsia" w:ascii="宋体" w:hAnsi="宋体" w:eastAsia="宋体" w:cs="宋体"/>
        </w:rPr>
        <w:t xml:space="preserve"> 进一步要求主类别相同，其余候选为负样本。依据监督对比学习的类别约束[37]，采用跨事件候选上的目标：</w:t>
      </w:r>
    </w:p>
    <w:p w14:paraId="159CBA69">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ℒ</m:t>
            </m:r>
            <m:ctrlPr>
              <w:rPr>
                <w:rFonts w:hint="eastAsia" w:ascii="Cambria Math" w:hAnsi="Cambria Math" w:eastAsia="宋体" w:cs="宋体"/>
              </w:rPr>
            </m:ctrlPr>
          </m:e>
          <m:sub>
            <m:r>
              <m:rPr>
                <m:sty m:val="p"/>
              </m:rPr>
              <w:rPr>
                <w:rFonts w:hint="eastAsia" w:ascii="Cambria Math" w:hAnsi="Cambria Math" w:eastAsia="宋体" w:cs="宋体"/>
                <w:sz w:val="20"/>
              </w:rPr>
              <m:t>ret</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r>
              <m:rPr/>
              <w:rPr>
                <w:rFonts w:hint="eastAsia" w:ascii="Cambria Math" w:hAnsi="Cambria Math" w:eastAsia="宋体" w:cs="宋体"/>
                <w:sz w:val="20"/>
              </w:rPr>
              <m:t>1</m:t>
            </m:r>
            <m:ctrlPr>
              <w:rPr>
                <w:rFonts w:hint="eastAsia" w:ascii="Cambria Math" w:hAnsi="Cambria Math" w:eastAsia="宋体" w:cs="宋体"/>
              </w:rPr>
            </m:ctrlPr>
          </m:num>
          <m:den>
            <m:d>
              <m:dPr>
                <m:begChr m:val="|"/>
                <m:sepChr m:val=""/>
                <m:endChr m:val="|"/>
                <m:ctrlPr>
                  <w:rPr>
                    <w:rFonts w:hint="eastAsia" w:ascii="Cambria Math" w:hAnsi="Cambria Math" w:eastAsia="宋体" w:cs="宋体"/>
                  </w:rPr>
                </m:ctrlPr>
              </m:dPr>
              <m:e>
                <m:r>
                  <m:rPr>
                    <m:scr m:val="script"/>
                  </m:rPr>
                  <w:rPr>
                    <w:rFonts w:hint="eastAsia" w:ascii="Cambria Math" w:hAnsi="Cambria Math" w:eastAsia="MS Mincho" w:cs="MS Mincho"/>
                    <w:sz w:val="20"/>
                  </w:rPr>
                  <m:t>U</m:t>
                </m:r>
                <m:ctrlPr>
                  <w:rPr>
                    <w:rFonts w:hint="eastAsia" w:ascii="Cambria Math" w:hAnsi="Cambria Math" w:eastAsia="宋体" w:cs="宋体"/>
                  </w:rPr>
                </m:ctrlPr>
              </m:e>
            </m:d>
            <m:ctrlPr>
              <w:rPr>
                <w:rFonts w:hint="eastAsia" w:ascii="Cambria Math" w:hAnsi="Cambria Math" w:eastAsia="宋体" w:cs="宋体"/>
              </w:rPr>
            </m:ctrlPr>
          </m:den>
        </m:f>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a∈</m:t>
            </m:r>
            <m:r>
              <m:rPr>
                <m:scr m:val="script"/>
              </m:rPr>
              <w:rPr>
                <w:rFonts w:hint="eastAsia" w:ascii="Cambria Math" w:hAnsi="Cambria Math" w:eastAsia="MS Mincho" w:cs="MS Mincho"/>
                <w:sz w:val="20"/>
              </w:rPr>
              <m:t>U</m:t>
            </m:r>
            <m:ctrlPr>
              <w:rPr>
                <w:rFonts w:hint="eastAsia" w:ascii="Cambria Math" w:hAnsi="Cambria Math" w:eastAsia="宋体" w:cs="宋体"/>
              </w:rPr>
            </m:ctrlPr>
          </m:sub>
          <m:sup>
            <m:ctrlPr>
              <w:rPr>
                <w:rFonts w:hint="eastAsia" w:ascii="Cambria Math" w:hAnsi="Cambria Math" w:eastAsia="宋体" w:cs="宋体"/>
              </w:rPr>
            </m:ctrlPr>
          </m:sup>
          <m:e>
            <m:f>
              <m:fPr>
                <m:ctrlPr>
                  <w:rPr>
                    <w:rFonts w:hint="eastAsia" w:ascii="Cambria Math" w:hAnsi="Cambria Math" w:eastAsia="宋体" w:cs="宋体"/>
                  </w:rPr>
                </m:ctrlPr>
              </m:fPr>
              <m:num>
                <m:r>
                  <m:rPr/>
                  <w:rPr>
                    <w:rFonts w:hint="eastAsia" w:ascii="Cambria Math" w:hAnsi="Cambria Math" w:eastAsia="宋体" w:cs="宋体"/>
                    <w:sz w:val="20"/>
                  </w:rPr>
                  <m:t>1</m:t>
                </m:r>
                <m:ctrlPr>
                  <w:rPr>
                    <w:rFonts w:hint="eastAsia" w:ascii="Cambria Math" w:hAnsi="Cambria Math" w:eastAsia="宋体" w:cs="宋体"/>
                  </w:rPr>
                </m:ctrlPr>
              </m:num>
              <m:den>
                <m:d>
                  <m:dPr>
                    <m:begChr m:val="|"/>
                    <m:sepChr m:val=""/>
                    <m:endChr m:val="|"/>
                    <m:ctrlPr>
                      <w:rPr>
                        <w:rFonts w:hint="eastAsia" w:ascii="Cambria Math" w:hAnsi="Cambria Math" w:eastAsia="宋体" w:cs="宋体"/>
                      </w:rPr>
                    </m:ctrlPr>
                  </m:dPr>
                  <m:e>
                    <m:r>
                      <m:rPr>
                        <m:scr m:val="script"/>
                      </m:rPr>
                      <w:rPr>
                        <w:rFonts w:hint="eastAsia" w:ascii="Cambria Math" w:hAnsi="Cambria Math" w:eastAsia="MS Mincho" w:cs="MS Mincho"/>
                        <w:sz w:val="20"/>
                      </w:rPr>
                      <m:t>P</m:t>
                    </m:r>
                    <m:r>
                      <m:rPr/>
                      <w:rPr>
                        <w:rFonts w:hint="eastAsia" w:ascii="Cambria Math" w:hAnsi="Cambria Math" w:eastAsia="宋体" w:cs="宋体"/>
                        <w:sz w:val="20"/>
                      </w:rPr>
                      <m:t>(a)</m:t>
                    </m:r>
                    <m:ctrlPr>
                      <w:rPr>
                        <w:rFonts w:hint="eastAsia" w:ascii="Cambria Math" w:hAnsi="Cambria Math" w:eastAsia="宋体" w:cs="宋体"/>
                      </w:rPr>
                    </m:ctrlPr>
                  </m:e>
                </m:d>
                <m:ctrlPr>
                  <w:rPr>
                    <w:rFonts w:hint="eastAsia" w:ascii="Cambria Math" w:hAnsi="Cambria Math" w:eastAsia="宋体" w:cs="宋体"/>
                  </w:rPr>
                </m:ctrlPr>
              </m:den>
            </m:f>
            <m:ctrlPr>
              <w:rPr>
                <w:rFonts w:hint="eastAsia" w:ascii="Cambria Math" w:hAnsi="Cambria Math" w:eastAsia="宋体" w:cs="宋体"/>
              </w:rPr>
            </m:ctrlPr>
          </m:e>
        </m:nary>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p∈</m:t>
            </m:r>
            <m:r>
              <m:rPr>
                <m:scr m:val="script"/>
              </m:rPr>
              <w:rPr>
                <w:rFonts w:hint="eastAsia" w:ascii="Cambria Math" w:hAnsi="Cambria Math" w:eastAsia="MS Mincho" w:cs="MS Mincho"/>
                <w:sz w:val="20"/>
              </w:rPr>
              <m:t>P</m:t>
            </m:r>
            <m:r>
              <m:rPr/>
              <w:rPr>
                <w:rFonts w:hint="eastAsia" w:ascii="Cambria Math" w:hAnsi="Cambria Math" w:eastAsia="宋体" w:cs="宋体"/>
                <w:sz w:val="20"/>
              </w:rPr>
              <m:t>(a)</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log</m:t>
            </m:r>
            <m:ctrlPr>
              <w:rPr>
                <w:rFonts w:hint="eastAsia" w:ascii="Cambria Math" w:hAnsi="Cambria Math" w:eastAsia="宋体" w:cs="宋体"/>
              </w:rPr>
            </m:ctrlPr>
          </m:e>
        </m:nary>
        <m:f>
          <m:fPr>
            <m:ctrlPr>
              <w:rPr>
                <w:rFonts w:hint="eastAsia" w:ascii="Cambria Math" w:hAnsi="Cambria Math" w:eastAsia="宋体" w:cs="宋体"/>
              </w:rPr>
            </m:ctrlPr>
          </m:fPr>
          <m:num>
            <m:r>
              <m:rPr>
                <m:sty m:val="p"/>
              </m:rPr>
              <w:rPr>
                <w:rFonts w:hint="eastAsia" w:ascii="Cambria Math" w:hAnsi="Cambria Math" w:eastAsia="宋体" w:cs="宋体"/>
                <w:sz w:val="20"/>
              </w:rPr>
              <m:t>exp</m:t>
            </m:r>
            <m:r>
              <m:rPr/>
              <w:rPr>
                <w:rFonts w:hint="eastAsia" w:ascii="Cambria Math" w:hAnsi="Cambria Math" w:eastAsia="宋体" w:cs="宋体"/>
                <w:sz w:val="20"/>
              </w:rPr>
              <m:t>(</m:t>
            </m:r>
            <m:sSubSup>
              <m:sSubSupPr>
                <m:ctrlPr>
                  <w:rPr>
                    <w:rFonts w:hint="eastAsia" w:ascii="Cambria Math" w:hAnsi="Cambria Math" w:eastAsia="宋体" w:cs="宋体"/>
                  </w:rPr>
                </m:ctrlPr>
              </m:sSubSup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p</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num>
          <m:den>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s∈</m:t>
                </m:r>
                <m:r>
                  <m:rPr>
                    <m:scr m:val="script"/>
                  </m:rPr>
                  <w:rPr>
                    <w:rFonts w:hint="eastAsia" w:ascii="Cambria Math" w:hAnsi="Cambria Math" w:eastAsia="MS Mincho" w:cs="MS Mincho"/>
                    <w:sz w:val="20"/>
                  </w:rPr>
                  <m:t>C</m:t>
                </m:r>
                <m:r>
                  <m:rPr/>
                  <w:rPr>
                    <w:rFonts w:hint="eastAsia" w:ascii="Cambria Math" w:hAnsi="Cambria Math" w:eastAsia="宋体" w:cs="宋体"/>
                    <w:sz w:val="20"/>
                  </w:rPr>
                  <m:t>(a)</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exp</m:t>
                </m:r>
                <m:r>
                  <m:rPr/>
                  <w:rPr>
                    <w:rFonts w:hint="eastAsia" w:ascii="Cambria Math" w:hAnsi="Cambria Math" w:eastAsia="宋体" w:cs="宋体"/>
                    <w:sz w:val="20"/>
                  </w:rPr>
                  <m:t>(</m:t>
                </m:r>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a</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r>
              <m:rPr/>
              <w:rPr>
                <w:rFonts w:hint="eastAsia" w:ascii="Cambria Math" w:hAnsi="Cambria Math" w:eastAsia="宋体" w:cs="宋体"/>
                <w:sz w:val="20"/>
              </w:rPr>
              <m:t>)</m:t>
            </m:r>
            <m:ctrlPr>
              <w:rPr>
                <w:rFonts w:hint="eastAsia" w:ascii="Cambria Math" w:hAnsi="Cambria Math" w:eastAsia="宋体" w:cs="宋体"/>
              </w:rPr>
            </m:ctrlPr>
          </m:den>
        </m:f>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（11）</w:t>
      </w:r>
    </w:p>
    <w:p w14:paraId="49D482E2">
      <w:pPr>
        <w:widowControl/>
        <w:rPr>
          <w:rFonts w:hint="eastAsia" w:ascii="宋体" w:hAnsi="宋体" w:eastAsia="宋体" w:cs="宋体"/>
        </w:rPr>
      </w:pPr>
      <m:oMath>
        <m:r>
          <m:rPr>
            <m:scr m:val="script"/>
          </m:rPr>
          <w:rPr>
            <w:rFonts w:hint="eastAsia" w:ascii="Cambria Math" w:hAnsi="Cambria Math" w:eastAsia="MS Mincho" w:cs="MS Mincho"/>
            <w:sz w:val="20"/>
          </w:rPr>
          <m:t>U</m:t>
        </m:r>
      </m:oMath>
      <w:r>
        <w:rPr>
          <w:rFonts w:hint="eastAsia" w:ascii="宋体" w:hAnsi="宋体" w:eastAsia="宋体" w:cs="宋体"/>
        </w:rPr>
        <w:t xml:space="preserve"> 为同时具有跨事件正、负样本的锚点集合。锚点按可用类别均衡抽样；缺少有效配对的样本不通过同事件配对补足。主配置要求四类均有跨事件覆盖，温度 </w:t>
      </w:r>
      <m:oMath>
        <m:sSub>
          <m:sSubPr>
            <m:ctrlPr>
              <w:rPr>
                <w:rFonts w:hint="eastAsia" w:ascii="Cambria Math" w:hAnsi="Cambria Math" w:eastAsia="宋体" w:cs="宋体"/>
              </w:rPr>
            </m:ctrlPr>
          </m:sSubPr>
          <m:e>
            <m:r>
              <m:rPr/>
              <w:rPr>
                <w:rFonts w:hint="eastAsia" w:ascii="Cambria Math" w:hAnsi="Cambria Math" w:eastAsia="宋体" w:cs="宋体"/>
                <w:sz w:val="20"/>
              </w:rPr>
              <m:t>τ</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oMath>
      <w:r>
        <w:rPr>
          <w:rFonts w:hint="eastAsia" w:ascii="宋体" w:hAnsi="宋体" w:eastAsia="宋体" w:cs="宋体"/>
        </w:rPr>
        <w:t xml:space="preserve"> 为0.1。拟合期间区域表示及支持库固定，梯度仅更新 </w:t>
      </w:r>
      <m:oMath>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m</m:t>
            </m:r>
            <m:ctrlPr>
              <w:rPr>
                <w:rFonts w:hint="eastAsia" w:ascii="Cambria Math" w:hAnsi="Cambria Math" w:eastAsia="宋体" w:cs="宋体"/>
              </w:rPr>
            </m:ctrlPr>
          </m:sub>
        </m:sSub>
      </m:oMath>
      <w:r>
        <w:rPr>
          <w:rFonts w:hint="eastAsia" w:ascii="宋体" w:hAnsi="宋体" w:eastAsia="宋体" w:cs="宋体"/>
        </w:rPr>
        <w:t>。高纯度条件用于度量拟合，不等于推理支持库只保留高纯度区域。</w:t>
      </w:r>
    </w:p>
    <w:p w14:paraId="4CF98EC7">
      <w:pPr>
        <w:widowControl/>
        <w:rPr>
          <w:rFonts w:hint="eastAsia" w:ascii="宋体" w:hAnsi="宋体" w:eastAsia="宋体" w:cs="宋体"/>
        </w:rPr>
      </w:pPr>
      <w:r>
        <w:rPr>
          <w:rFonts w:hint="eastAsia" w:ascii="宋体" w:hAnsi="宋体" w:eastAsia="宋体" w:cs="宋体"/>
        </w:rPr>
        <w:t xml:space="preserve">对于查询区域 </w:t>
      </w:r>
      <m:oMath>
        <m:r>
          <m:rPr/>
          <w:rPr>
            <w:rFonts w:hint="eastAsia" w:ascii="Cambria Math" w:hAnsi="Cambria Math" w:eastAsia="宋体" w:cs="宋体"/>
            <w:sz w:val="20"/>
          </w:rPr>
          <m:t>k</m:t>
        </m:r>
      </m:oMath>
      <w:r>
        <w:rPr>
          <w:rFonts w:hint="eastAsia" w:ascii="宋体" w:hAnsi="宋体" w:eastAsia="宋体" w:cs="宋体"/>
        </w:rPr>
        <w:t xml:space="preserve">，在排除同事件及同图像记录后，使用 </w:t>
      </w:r>
      <m:oMath>
        <m:sSubSup>
          <m:sSubSupPr>
            <m:ctrlPr>
              <w:rPr>
                <w:rFonts w:hint="eastAsia" w:ascii="Cambria Math" w:hAnsi="Cambria Math" w:eastAsia="宋体" w:cs="宋体"/>
              </w:rPr>
            </m:ctrlPr>
          </m:sSubSup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r>
        <w:rPr>
          <w:rFonts w:hint="eastAsia" w:ascii="宋体" w:hAnsi="宋体" w:eastAsia="宋体" w:cs="宋体"/>
        </w:rPr>
        <w:t xml:space="preserve"> 选取Top-8支持。查询标签不参与检索。余弦检索对照使用原始 </w:t>
      </w:r>
      <m:oMath>
        <m:r>
          <m:rPr/>
          <w:rPr>
            <w:rFonts w:hint="eastAsia" w:ascii="Cambria Math" w:hAnsi="Cambria Math" w:eastAsia="宋体" w:cs="宋体"/>
            <w:sz w:val="20"/>
          </w:rPr>
          <m:t>T</m:t>
        </m:r>
      </m:oMath>
      <w:r>
        <w:rPr>
          <w:rFonts w:hint="eastAsia" w:ascii="宋体" w:hAnsi="宋体" w:eastAsia="宋体" w:cs="宋体"/>
        </w:rPr>
        <w:t xml:space="preserve"> 的单位长度归一化，其余支持库成员及读取结构保持一致。跨事件监督是对邻居选择的约束，不据此直接假定已经得到事件不变表示。</w:t>
      </w:r>
    </w:p>
    <w:p w14:paraId="2E699CFC">
      <w:pPr>
        <w:pStyle w:val="4"/>
        <w:keepNext/>
        <w:widowControl/>
        <w:rPr>
          <w:rFonts w:hint="eastAsia" w:ascii="宋体" w:hAnsi="宋体" w:eastAsia="宋体" w:cs="宋体"/>
        </w:rPr>
      </w:pPr>
      <w:r>
        <w:rPr>
          <w:rFonts w:hint="eastAsia" w:ascii="Times New Roman" w:hAnsi="Times New Roman" w:eastAsia="宋体" w:cs="宋体"/>
          <w:sz w:val="21"/>
        </w:rPr>
        <w:t>E. 支持读取与像素联合判别</w:t>
      </w:r>
    </w:p>
    <w:p w14:paraId="3BCDC7C4">
      <w:pPr>
        <w:widowControl/>
        <w:rPr>
          <w:rFonts w:hint="eastAsia" w:ascii="宋体" w:hAnsi="宋体" w:eastAsia="宋体" w:cs="宋体"/>
        </w:rPr>
      </w:pPr>
      <w:r>
        <w:rPr>
          <w:rFonts w:hint="eastAsia" w:ascii="宋体" w:hAnsi="宋体" w:eastAsia="宋体" w:cs="宋体"/>
        </w:rPr>
        <w:t xml:space="preserve">对检索得到的支持集合 </w:t>
      </w:r>
      <m:oMath>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S</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，读取器以区域内容作为键，将标签组成和元数据嵌入加入值向量：</w:t>
      </w:r>
    </w:p>
    <w:p w14:paraId="65239EEA">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K</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oMath>
    </w:p>
    <w:p w14:paraId="6B6FBC3C">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y</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d</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d</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e</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g</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g</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（12）</w:t>
      </w:r>
    </w:p>
    <w:p w14:paraId="0C69D1BF">
      <w:pPr>
        <w:widowControl/>
        <w:rPr>
          <w:rFonts w:hint="eastAsia" w:ascii="宋体" w:hAnsi="宋体" w:eastAsia="宋体" w:cs="宋体"/>
        </w:rPr>
      </w:pPr>
      <w:r>
        <w:rPr>
          <w:rFonts w:hint="eastAsia" w:ascii="宋体" w:hAnsi="宋体" w:eastAsia="宋体" w:cs="宋体"/>
        </w:rPr>
        <w:t>其中，</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y</m:t>
            </m:r>
            <m:ctrlPr>
              <w:rPr>
                <w:rFonts w:hint="eastAsia" w:ascii="Cambria Math" w:hAnsi="Cambria Math" w:eastAsia="宋体" w:cs="宋体"/>
              </w:rPr>
            </m:ctrlPr>
          </m:sub>
        </m:sSub>
      </m:oMath>
      <w:r>
        <w:rPr>
          <w:rFonts w:hint="eastAsia" w:ascii="宋体" w:hAnsi="宋体" w:eastAsia="宋体" w:cs="宋体"/>
        </w:rPr>
        <w:t xml:space="preserve"> 为四类标签嵌入表，</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d</m:t>
            </m:r>
            <m:ctrlPr>
              <w:rPr>
                <w:rFonts w:hint="eastAsia" w:ascii="Cambria Math" w:hAnsi="Cambria Math" w:eastAsia="宋体" w:cs="宋体"/>
              </w:rPr>
            </m:ctrlPr>
          </m:sub>
        </m:sSub>
      </m:oMath>
      <w:r>
        <w:rPr>
          <w:rFonts w:hint="eastAsia" w:ascii="宋体" w:hAnsi="宋体" w:eastAsia="宋体" w:cs="宋体"/>
        </w:rPr>
        <w:t>、</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e</m:t>
            </m:r>
            <m:ctrlPr>
              <w:rPr>
                <w:rFonts w:hint="eastAsia" w:ascii="Cambria Math" w:hAnsi="Cambria Math" w:eastAsia="宋体" w:cs="宋体"/>
              </w:rPr>
            </m:ctrlPr>
          </m:sub>
        </m:sSub>
      </m:oMath>
      <w:r>
        <w:rPr>
          <w:rFonts w:hint="eastAsia" w:ascii="宋体" w:hAnsi="宋体" w:eastAsia="宋体" w:cs="宋体"/>
        </w:rPr>
        <w:t xml:space="preserve"> 与 </w:t>
      </w:r>
      <m:oMath>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g</m:t>
            </m:r>
            <m:ctrlPr>
              <w:rPr>
                <w:rFonts w:hint="eastAsia" w:ascii="Cambria Math" w:hAnsi="Cambria Math" w:eastAsia="宋体" w:cs="宋体"/>
              </w:rPr>
            </m:ctrlPr>
          </m:sub>
        </m:sSub>
      </m:oMath>
      <w:r>
        <w:rPr>
          <w:rFonts w:hint="eastAsia" w:ascii="宋体" w:hAnsi="宋体" w:eastAsia="宋体" w:cs="宋体"/>
        </w:rPr>
        <w:t xml:space="preserve"> 分别编码支持的灾害类型、事件及几何；</w:t>
      </w:r>
      <m:oMath>
        <m:sSub>
          <m:sSubPr>
            <m:ctrlPr>
              <w:rPr>
                <w:rFonts w:hint="eastAsia" w:ascii="Cambria Math" w:hAnsi="Cambria Math" w:eastAsia="宋体" w:cs="宋体"/>
              </w:rPr>
            </m:ctrlPr>
          </m:sSubPr>
          <m:e>
            <m:r>
              <m:rPr/>
              <w:rPr>
                <w:rFonts w:hint="eastAsia" w:ascii="Cambria Math" w:hAnsi="Cambria Math" w:eastAsia="宋体" w:cs="宋体"/>
                <w:sz w:val="20"/>
              </w:rPr>
              <m:t>π</m:t>
            </m:r>
            <m:ctrlPr>
              <w:rPr>
                <w:rFonts w:hint="eastAsia" w:ascii="Cambria Math" w:hAnsi="Cambria Math" w:eastAsia="宋体" w:cs="宋体"/>
              </w:rPr>
            </m:ctrlPr>
          </m:e>
          <m:sub>
            <m:r>
              <m:rPr/>
              <w:rPr>
                <w:rFonts w:hint="eastAsia" w:ascii="Cambria Math" w:hAnsi="Cambria Math" w:eastAsia="宋体" w:cs="宋体"/>
                <w:sz w:val="20"/>
              </w:rPr>
              <m:t>s</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E</m:t>
            </m:r>
            <m:ctrlPr>
              <w:rPr>
                <w:rFonts w:hint="eastAsia" w:ascii="Cambria Math" w:hAnsi="Cambria Math" w:eastAsia="宋体" w:cs="宋体"/>
              </w:rPr>
            </m:ctrlPr>
          </m:e>
          <m:sub>
            <m:r>
              <m:rPr/>
              <w:rPr>
                <w:rFonts w:hint="eastAsia" w:ascii="Cambria Math" w:hAnsi="Cambria Math" w:eastAsia="宋体" w:cs="宋体"/>
                <w:sz w:val="20"/>
              </w:rPr>
              <m:t>y</m:t>
            </m:r>
            <m:ctrlPr>
              <w:rPr>
                <w:rFonts w:hint="eastAsia" w:ascii="Cambria Math" w:hAnsi="Cambria Math" w:eastAsia="宋体" w:cs="宋体"/>
              </w:rPr>
            </m:ctrlPr>
          </m:sub>
        </m:sSub>
      </m:oMath>
      <w:r>
        <w:rPr>
          <w:rFonts w:hint="eastAsia" w:ascii="宋体" w:hAnsi="宋体" w:eastAsia="宋体" w:cs="宋体"/>
        </w:rPr>
        <w:t xml:space="preserve"> 保留混合区域的类别组成。查询、键和值分别归一化后进入四头交叉注意力，随后通过残差与前馈网络更新查询区域：</w:t>
      </w:r>
    </w:p>
    <w:p w14:paraId="4FEC78DE">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U</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+MHA(</m:t>
        </m:r>
        <m:sSub>
          <m:sSubPr>
            <m:ctrlPr>
              <w:rPr>
                <w:rFonts w:hint="eastAsia" w:ascii="Cambria Math" w:hAnsi="Cambria Math" w:eastAsia="宋体" w:cs="宋体"/>
              </w:rPr>
            </m:ctrlPr>
          </m:sSubPr>
          <m:e>
            <m:r>
              <m:rPr/>
              <w:rPr>
                <w:rFonts w:hint="eastAsia" w:ascii="Cambria Math" w:hAnsi="Cambria Math" w:eastAsia="宋体" w:cs="宋体"/>
                <w:sz w:val="20"/>
              </w:rPr>
              <m:t>LN</m:t>
            </m:r>
            <m:ctrlPr>
              <w:rPr>
                <w:rFonts w:hint="eastAsia" w:ascii="Cambria Math" w:hAnsi="Cambria Math" w:eastAsia="宋体" w:cs="宋体"/>
              </w:rPr>
            </m:ctrlPr>
          </m:e>
          <m:sub>
            <m:r>
              <m:rPr/>
              <w:rPr>
                <w:rFonts w:hint="eastAsia" w:ascii="Cambria Math" w:hAnsi="Cambria Math" w:eastAsia="宋体" w:cs="宋体"/>
                <w:sz w:val="20"/>
              </w:rPr>
              <m:t>q</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LN</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K</m:t>
            </m:r>
            <m:ctrlPr>
              <w:rPr>
                <w:rFonts w:hint="eastAsia" w:ascii="Cambria Math" w:hAnsi="Cambria Math" w:eastAsia="宋体" w:cs="宋体"/>
              </w:rPr>
            </m:ctrlPr>
          </m:e>
          <m:sub>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S</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LN</m:t>
            </m:r>
            <m:ctrlPr>
              <w:rPr>
                <w:rFonts w:hint="eastAsia" w:ascii="Cambria Math" w:hAnsi="Cambria Math" w:eastAsia="宋体" w:cs="宋体"/>
              </w:rPr>
            </m:ctrlPr>
          </m:e>
          <m:sub>
            <m:r>
              <m:rPr/>
              <w:rPr>
                <w:rFonts w:hint="eastAsia" w:ascii="Cambria Math" w:hAnsi="Cambria Math" w:eastAsia="宋体" w:cs="宋体"/>
                <w:sz w:val="20"/>
              </w:rPr>
              <m:t>v</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V</m:t>
            </m:r>
            <m:ctrlPr>
              <w:rPr>
                <w:rFonts w:hint="eastAsia" w:ascii="Cambria Math" w:hAnsi="Cambria Math" w:eastAsia="宋体" w:cs="宋体"/>
              </w:rPr>
            </m:ctrlPr>
          </m:e>
          <m:sub>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S</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ctrlPr>
              <w:rPr>
                <w:rFonts w:hint="eastAsia" w:ascii="Cambria Math" w:hAnsi="Cambria Math" w:eastAsia="宋体" w:cs="宋体"/>
              </w:rPr>
            </m:ctrlPr>
          </m:sub>
        </m:sSub>
        <m:r>
          <m:rPr/>
          <w:rPr>
            <w:rFonts w:hint="eastAsia" w:ascii="Cambria Math" w:hAnsi="Cambria Math" w:eastAsia="宋体" w:cs="宋体"/>
            <w:sz w:val="20"/>
          </w:rPr>
          <m:t>)</m:t>
        </m:r>
      </m:oMath>
    </w:p>
    <w:p w14:paraId="0B7CCA87">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Sup>
          <m:sSubSupPr>
            <m:ctrlPr>
              <w:rPr>
                <w:rFonts w:hint="eastAsia" w:ascii="Cambria Math" w:hAnsi="Cambria Math" w:eastAsia="宋体" w:cs="宋体"/>
              </w:rPr>
            </m:ctrlPr>
          </m:sSubSup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U</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+FFN(LN</m:t>
        </m:r>
        <m:sSub>
          <m:sSubPr>
            <m:ctrlPr>
              <w:rPr>
                <w:rFonts w:hint="eastAsia" w:ascii="Cambria Math" w:hAnsi="Cambria Math" w:eastAsia="宋体" w:cs="宋体"/>
              </w:rPr>
            </m:ctrlPr>
          </m:sSubPr>
          <m:e>
            <m:r>
              <m:rPr/>
              <w:rPr>
                <w:rFonts w:hint="eastAsia" w:ascii="Cambria Math" w:hAnsi="Cambria Math" w:eastAsia="宋体" w:cs="宋体"/>
                <w:sz w:val="20"/>
              </w:rPr>
              <m:t>U</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r>
          <m:rPr/>
          <w:rPr>
            <w:rFonts w:hint="eastAsia" w:ascii="Cambria Math" w:hAnsi="Cambria Math" w:eastAsia="宋体" w:cs="宋体"/>
            <w:sz w:val="20"/>
          </w:rPr>
          <m:t>).</m:t>
        </m:r>
      </m:oMath>
      <w:r>
        <w:rPr>
          <w:rFonts w:hint="eastAsia" w:ascii="宋体" w:hAnsi="宋体" w:eastAsia="宋体" w:cs="宋体"/>
          <w:sz w:val="19"/>
        </w:rPr>
        <w:tab/>
      </w:r>
      <w:r>
        <w:rPr>
          <w:rFonts w:hint="eastAsia" w:ascii="宋体" w:hAnsi="宋体" w:eastAsia="宋体" w:cs="宋体"/>
          <w:sz w:val="19"/>
        </w:rPr>
        <w:t>（13）</w:t>
      </w:r>
    </w:p>
    <w:p w14:paraId="79F29A6A">
      <w:pPr>
        <w:widowControl/>
        <w:rPr>
          <w:rFonts w:hint="eastAsia" w:ascii="宋体" w:hAnsi="宋体" w:eastAsia="宋体" w:cs="宋体"/>
        </w:rPr>
      </w:pPr>
      <w:r>
        <w:rPr>
          <w:rFonts w:hint="eastAsia" w:ascii="Times New Roman" w:hAnsi="Times New Roman" w:eastAsia="宋体" w:cs="宋体"/>
          <w:sz w:val="21"/>
        </w:rPr>
        <w:t>不足8个有效邻居时，对缺失位置使用可学习支持槽替代；无真实支持的对照模型使用相同数量的可学习槽。此机制保证读取输入定义完整，不用于判断已有邻居是否正确。事件嵌入用于支持内容编码，与检索时排除同事件是两个不同操作，其作用需通过元数据消融检验。</w:t>
      </w:r>
    </w:p>
    <w:p w14:paraId="60F8FF74">
      <w:pPr>
        <w:widowControl/>
        <w:rPr>
          <w:rFonts w:hint="eastAsia" w:ascii="宋体" w:hAnsi="宋体" w:eastAsia="宋体" w:cs="宋体"/>
        </w:rPr>
      </w:pPr>
      <w:r>
        <w:rPr>
          <w:rFonts w:hint="eastAsia" w:ascii="宋体" w:hAnsi="宋体" w:eastAsia="宋体" w:cs="宋体"/>
        </w:rPr>
        <w:t xml:space="preserve">增强区域表示通过生成区域时的同一 </w:t>
      </w:r>
      <m:oMath>
        <m:r>
          <m:rPr/>
          <w:rPr>
            <w:rFonts w:hint="eastAsia" w:ascii="Cambria Math" w:hAnsi="Cambria Math" w:eastAsia="宋体" w:cs="宋体"/>
            <w:sz w:val="20"/>
          </w:rPr>
          <m:t>Q</m:t>
        </m:r>
      </m:oMath>
      <w:r>
        <w:rPr>
          <w:rFonts w:hint="eastAsia" w:ascii="宋体" w:hAnsi="宋体" w:eastAsia="宋体" w:cs="宋体"/>
        </w:rPr>
        <w:t xml:space="preserve"> 映射至特征网格，得到区域上下文 </w:t>
      </w:r>
      <m:oMath>
        <m:r>
          <m:rPr/>
          <w:rPr>
            <w:rFonts w:hint="eastAsia" w:ascii="Cambria Math" w:hAnsi="Cambria Math" w:eastAsia="宋体" w:cs="宋体"/>
            <w:sz w:val="20"/>
          </w:rPr>
          <m:t>C</m:t>
        </m:r>
      </m:oMath>
      <w:r>
        <w:rPr>
          <w:rFonts w:hint="eastAsia" w:ascii="宋体" w:hAnsi="宋体" w:eastAsia="宋体" w:cs="宋体"/>
        </w:rPr>
        <w:t>。随后与保留的像素特征共同产生分类得分：</w:t>
      </w:r>
    </w:p>
    <w:p w14:paraId="1B7B4A4D">
      <w:pPr>
        <w:keepNext/>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k</m:t>
            </m:r>
            <m:ctrlPr>
              <w:rPr>
                <w:rFonts w:hint="eastAsia" w:ascii="Cambria Math" w:hAnsi="Cambria Math" w:eastAsia="宋体" w:cs="宋体"/>
              </w:rPr>
            </m:ctrlPr>
          </m:sub>
          <m:sup>
            <m:ctrlPr>
              <w:rPr>
                <w:rFonts w:hint="eastAsia" w:ascii="Cambria Math" w:hAnsi="Cambria Math" w:eastAsia="宋体" w:cs="宋体"/>
              </w:rPr>
            </m:ctrlPr>
          </m:sup>
          <m:e>
            <m:sSub>
              <m:sSubPr>
                <m:ctrlPr>
                  <w:rPr>
                    <w:rFonts w:hint="eastAsia" w:ascii="Cambria Math" w:hAnsi="Cambria Math" w:eastAsia="宋体" w:cs="宋体"/>
                  </w:rPr>
                </m:ctrlPr>
              </m:sSubPr>
              <m:e>
                <m:r>
                  <m:rPr/>
                  <w:rPr>
                    <w:rFonts w:hint="eastAsia" w:ascii="Cambria Math" w:hAnsi="Cambria Math" w:eastAsia="宋体" w:cs="宋体"/>
                    <w:sz w:val="20"/>
                  </w:rPr>
                  <m:t>q</m:t>
                </m:r>
                <m:ctrlPr>
                  <w:rPr>
                    <w:rFonts w:hint="eastAsia" w:ascii="Cambria Math" w:hAnsi="Cambria Math" w:eastAsia="宋体" w:cs="宋体"/>
                  </w:rPr>
                </m:ctrlPr>
              </m:e>
              <m:sub>
                <m:r>
                  <m:rPr/>
                  <w:rPr>
                    <w:rFonts w:hint="eastAsia" w:ascii="Cambria Math" w:hAnsi="Cambria Math" w:eastAsia="宋体" w:cs="宋体"/>
                    <w:sz w:val="20"/>
                  </w:rPr>
                  <m:t>ik</m:t>
                </m:r>
                <m:ctrlPr>
                  <w:rPr>
                    <w:rFonts w:hint="eastAsia" w:ascii="Cambria Math" w:hAnsi="Cambria Math" w:eastAsia="宋体" w:cs="宋体"/>
                  </w:rPr>
                </m:ctrlPr>
              </m:sub>
            </m:sSub>
            <m:ctrlPr>
              <w:rPr>
                <w:rFonts w:hint="eastAsia" w:ascii="Cambria Math" w:hAnsi="Cambria Math" w:eastAsia="宋体" w:cs="宋体"/>
              </w:rPr>
            </m:ctrlPr>
          </m:e>
        </m:nary>
        <m:sSubSup>
          <m:sSubSupPr>
            <m:ctrlPr>
              <w:rPr>
                <w:rFonts w:hint="eastAsia" w:ascii="Cambria Math" w:hAnsi="Cambria Math" w:eastAsia="宋体" w:cs="宋体"/>
              </w:rPr>
            </m:ctrlPr>
          </m:sSubSup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up>
            <m:r>
              <m:rPr/>
              <w:rPr>
                <w:rFonts w:hint="eastAsia" w:ascii="Cambria Math" w:hAnsi="Cambria Math" w:eastAsia="宋体" w:cs="宋体"/>
                <w:sz w:val="20"/>
              </w:rPr>
              <m:t>′</m:t>
            </m:r>
            <m:ctrlPr>
              <w:rPr>
                <w:rFonts w:hint="eastAsia" w:ascii="Cambria Math" w:hAnsi="Cambria Math" w:eastAsia="宋体" w:cs="宋体"/>
              </w:rPr>
            </m:ctrlPr>
          </m:sup>
        </m:sSubSup>
      </m:oMath>
    </w:p>
    <w:p w14:paraId="6AF21F88">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w:rPr>
                <w:rFonts w:hint="eastAsia" w:ascii="Cambria Math" w:hAnsi="Cambria Math" w:eastAsia="宋体" w:cs="宋体"/>
                <w:sz w:val="20"/>
              </w:rPr>
              <m:t>z</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p</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F</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m:t>
        </m:r>
        <m:sSub>
          <m:sSubPr>
            <m:ctrlPr>
              <w:rPr>
                <w:rFonts w:hint="eastAsia" w:ascii="Cambria Math" w:hAnsi="Cambria Math" w:eastAsia="宋体" w:cs="宋体"/>
              </w:rPr>
            </m:ctrlPr>
          </m:sSubPr>
          <m:e>
            <m:r>
              <m:rPr/>
              <w:rPr>
                <w:rFonts w:hint="eastAsia" w:ascii="Cambria Math" w:hAnsi="Cambria Math" w:eastAsia="宋体" w:cs="宋体"/>
                <w:sz w:val="20"/>
              </w:rPr>
              <m:t>W</m:t>
            </m:r>
            <m:ctrlPr>
              <w:rPr>
                <w:rFonts w:hint="eastAsia" w:ascii="Cambria Math" w:hAnsi="Cambria Math" w:eastAsia="宋体" w:cs="宋体"/>
              </w:rPr>
            </m:ctrlPr>
          </m:e>
          <m:sub>
            <m:r>
              <m:rPr/>
              <w:rPr>
                <w:rFonts w:hint="eastAsia" w:ascii="Cambria Math" w:hAnsi="Cambria Math" w:eastAsia="宋体" w:cs="宋体"/>
                <w:sz w:val="20"/>
              </w:rPr>
              <m:t>c</m:t>
            </m:r>
            <m:ctrlPr>
              <w:rPr>
                <w:rFonts w:hint="eastAsia" w:ascii="Cambria Math" w:hAnsi="Cambria Math" w:eastAsia="宋体" w:cs="宋体"/>
              </w:rPr>
            </m:ctrlPr>
          </m:sub>
        </m:sSub>
        <m:sSub>
          <m:sSubPr>
            <m:ctrlPr>
              <w:rPr>
                <w:rFonts w:hint="eastAsia" w:ascii="Cambria Math" w:hAnsi="Cambria Math" w:eastAsia="宋体" w:cs="宋体"/>
              </w:rPr>
            </m:ctrlPr>
          </m:sSubPr>
          <m:e>
            <m:r>
              <m:rPr/>
              <w:rPr>
                <w:rFonts w:hint="eastAsia" w:ascii="Cambria Math" w:hAnsi="Cambria Math" w:eastAsia="宋体" w:cs="宋体"/>
                <w:sz w:val="20"/>
              </w:rPr>
              <m:t>C</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r>
          <m:rPr/>
          <w:rPr>
            <w:rFonts w:hint="eastAsia" w:ascii="Cambria Math" w:hAnsi="Cambria Math" w:eastAsia="宋体" w:cs="宋体"/>
            <w:sz w:val="20"/>
          </w:rPr>
          <m:t>+b.</m:t>
        </m:r>
      </m:oMath>
      <w:r>
        <w:rPr>
          <w:rFonts w:hint="eastAsia" w:ascii="宋体" w:hAnsi="宋体" w:eastAsia="宋体" w:cs="宋体"/>
          <w:sz w:val="19"/>
        </w:rPr>
        <w:tab/>
      </w:r>
      <w:r>
        <w:rPr>
          <w:rFonts w:hint="eastAsia" w:ascii="宋体" w:hAnsi="宋体" w:eastAsia="宋体" w:cs="宋体"/>
          <w:sz w:val="19"/>
        </w:rPr>
        <w:t>（14）</w:t>
      </w:r>
    </w:p>
    <w:p w14:paraId="06D4C810">
      <w:pPr>
        <w:widowControl/>
        <w:rPr>
          <w:rFonts w:hint="eastAsia" w:ascii="宋体" w:hAnsi="宋体" w:eastAsia="宋体" w:cs="宋体"/>
        </w:rPr>
      </w:pPr>
      <w:r>
        <w:rPr>
          <w:rFonts w:hint="eastAsia" w:ascii="宋体" w:hAnsi="宋体" w:eastAsia="宋体" w:cs="宋体"/>
        </w:rPr>
        <w:t>联合得分经双线性插值恢复至输入分辨率，再作类别Softmax。这里回投的是区域特征，最终概率在联合分类后产生。</w:t>
      </w:r>
      <m:oMath>
        <m:r>
          <m:rPr/>
          <w:rPr>
            <w:rFonts w:hint="eastAsia" w:ascii="Cambria Math" w:hAnsi="Cambria Math" w:eastAsia="宋体" w:cs="宋体"/>
            <w:sz w:val="20"/>
          </w:rPr>
          <m:t>Q</m:t>
        </m:r>
      </m:oMath>
      <w:r>
        <w:rPr>
          <w:rFonts w:hint="eastAsia" w:ascii="宋体" w:hAnsi="宋体" w:eastAsia="宋体" w:cs="宋体"/>
        </w:rPr>
        <w:t xml:space="preserve"> 回投并非区域池化的逆变换；保留像素路径的目的，是让分类器仍可使用未经过区域压缩的输入，而非宣称已经恢复丢失信息。式（14）在代数上等价于拼接特征后的线性分类，其在本文中承担整体读出功能。</w:t>
      </w:r>
    </w:p>
    <w:p w14:paraId="3F5F62E6">
      <w:pPr>
        <w:keepNext/>
        <w:keepLines/>
        <w:widowControl/>
        <w:spacing w:before="0" w:after="40"/>
        <w:ind w:firstLine="0"/>
        <w:jc w:val="center"/>
        <w:rPr>
          <w:rFonts w:hint="eastAsia" w:ascii="宋体" w:hAnsi="宋体" w:eastAsia="宋体" w:cs="宋体"/>
          <w:b/>
          <w:bCs/>
        </w:rPr>
      </w:pPr>
      <w:r>
        <w:rPr>
          <w:rFonts w:hint="eastAsia" w:ascii="宋体" w:hAnsi="宋体" w:eastAsia="宋体" w:cs="宋体"/>
        </w:rPr>
        <w:drawing>
          <wp:inline distT="0" distB="0" distL="114300" distR="114300">
            <wp:extent cx="5770245" cy="28194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rcRect r="-687" b="6111"/>
                    <a:stretch>
                      <a:fillRect/>
                    </a:stretch>
                  </pic:blipFill>
                  <pic:spPr>
                    <a:xfrm>
                      <a:off x="0" y="0"/>
                      <a:ext cx="5770245" cy="2819400"/>
                    </a:xfrm>
                    <a:prstGeom prst="rect">
                      <a:avLst/>
                    </a:prstGeom>
                  </pic:spPr>
                </pic:pic>
              </a:graphicData>
            </a:graphic>
          </wp:inline>
        </w:drawing>
      </w:r>
    </w:p>
    <w:p w14:paraId="45219362">
      <w:pPr>
        <w:pStyle w:val="15"/>
        <w:keepNext w:val="0"/>
        <w:keepLines/>
        <w:widowControl/>
        <w:jc w:val="center"/>
        <w:rPr>
          <w:rFonts w:hint="eastAsia" w:ascii="宋体" w:hAnsi="宋体" w:eastAsia="宋体" w:cs="宋体"/>
        </w:rPr>
      </w:pPr>
      <w:r>
        <w:rPr>
          <w:rFonts w:ascii="Times New Roman" w:hAnsi="Times New Roman" w:eastAsia="宋体"/>
          <w:sz w:val="19"/>
        </w:rPr>
        <w:t>图3　跨事件支持选择与读取。投影改变支持ID；Reader读取未投影特征、Train标签组成与元数据。区域上下文与独立保留的像素路径共同进入分类头，不同图像分别计算各自的Q。</w:t>
      </w:r>
    </w:p>
    <w:p w14:paraId="60ED4BB3">
      <w:pPr>
        <w:pStyle w:val="4"/>
        <w:keepNext/>
        <w:widowControl/>
        <w:rPr>
          <w:rFonts w:hint="eastAsia" w:ascii="宋体" w:hAnsi="宋体" w:eastAsia="宋体" w:cs="宋体"/>
        </w:rPr>
      </w:pPr>
      <w:r>
        <w:rPr>
          <w:rFonts w:hint="eastAsia" w:ascii="Times New Roman" w:hAnsi="Times New Roman" w:eastAsia="宋体" w:cs="宋体"/>
          <w:sz w:val="21"/>
        </w:rPr>
        <w:t>F. 分阶段训练与目标函数</w:t>
      </w:r>
    </w:p>
    <w:p w14:paraId="38B7DAD4">
      <w:pPr>
        <w:widowControl/>
        <w:rPr>
          <w:rFonts w:hint="eastAsia" w:ascii="宋体" w:hAnsi="宋体" w:eastAsia="宋体" w:cs="宋体"/>
        </w:rPr>
      </w:pPr>
      <w:r>
        <w:rPr>
          <w:rFonts w:ascii="Times New Roman" w:hAnsi="Times New Roman" w:eastAsia="宋体"/>
          <w:sz w:val="21"/>
        </w:rPr>
        <w:t>训练分为区域前端学习、固定Train支持库构建、检索投影拟合及联合读出学习四步。建筑相容项与结构适配器在区域前端中学习，检索投影在区域表示固定后拟合。联合阶段冻结像素前端、区域编码、支持库及投影，仅更新Reader与联合头。最终预算、种子、权重、代码与评估版本记录于配套数据核对表，不以历史中途快照替代正式配置。</w:t>
      </w:r>
    </w:p>
    <w:p w14:paraId="1538D9D9">
      <w:pPr>
        <w:widowControl/>
        <w:rPr>
          <w:rFonts w:hint="eastAsia" w:ascii="宋体" w:hAnsi="宋体" w:eastAsia="宋体" w:cs="宋体"/>
        </w:rPr>
      </w:pPr>
      <w:r>
        <w:rPr>
          <w:rFonts w:hint="eastAsia" w:ascii="宋体" w:hAnsi="宋体" w:eastAsia="宋体" w:cs="宋体"/>
        </w:rPr>
        <w:t xml:space="preserve">首先，冻结预训练像素前端的参数与运行状态，仅训练结构描述解码器、软分区模块、结构适配器、区域嵌入及辅助区域分类器。辅助分类器将 </w:t>
      </w:r>
      <m:oMath>
        <m:sSub>
          <m:sSubPr>
            <m:ctrlPr>
              <w:rPr>
                <w:rFonts w:hint="eastAsia" w:ascii="Cambria Math" w:hAnsi="Cambria Math" w:eastAsia="宋体" w:cs="宋体"/>
              </w:rPr>
            </m:ctrlPr>
          </m:sSubPr>
          <m:e>
            <m:r>
              <m:rPr/>
              <w:rPr>
                <w:rFonts w:hint="eastAsia" w:ascii="Cambria Math" w:hAnsi="Cambria Math" w:eastAsia="宋体" w:cs="宋体"/>
                <w:sz w:val="20"/>
              </w:rPr>
              <m:t>T</m:t>
            </m:r>
            <m:ctrlPr>
              <w:rPr>
                <w:rFonts w:hint="eastAsia" w:ascii="Cambria Math" w:hAnsi="Cambria Math" w:eastAsia="宋体" w:cs="宋体"/>
              </w:rPr>
            </m:ctrlPr>
          </m:e>
          <m:sub>
            <m:r>
              <m:rPr/>
              <w:rPr>
                <w:rFonts w:hint="eastAsia" w:ascii="Cambria Math" w:hAnsi="Cambria Math" w:eastAsia="宋体" w:cs="宋体"/>
                <w:sz w:val="20"/>
              </w:rPr>
              <m:t>k</m:t>
            </m:r>
            <m:ctrlPr>
              <w:rPr>
                <w:rFonts w:hint="eastAsia" w:ascii="Cambria Math" w:hAnsi="Cambria Math" w:eastAsia="宋体" w:cs="宋体"/>
              </w:rPr>
            </m:ctrlPr>
          </m:sub>
        </m:sSub>
      </m:oMath>
      <w:r>
        <w:rPr>
          <w:rFonts w:hint="eastAsia" w:ascii="宋体" w:hAnsi="宋体" w:eastAsia="宋体" w:cs="宋体"/>
        </w:rPr>
        <w:t xml:space="preserve"> 转为四类概率，通过 </w:t>
      </w:r>
      <m:oMath>
        <m:r>
          <m:rPr/>
          <w:rPr>
            <w:rFonts w:hint="eastAsia" w:ascii="Cambria Math" w:hAnsi="Cambria Math" w:eastAsia="宋体" w:cs="宋体"/>
            <w:sz w:val="20"/>
          </w:rPr>
          <m:t>Q</m:t>
        </m:r>
      </m:oMath>
      <w:r>
        <w:rPr>
          <w:rFonts w:hint="eastAsia" w:ascii="宋体" w:hAnsi="宋体" w:eastAsia="宋体" w:cs="宋体"/>
        </w:rPr>
        <w:t xml:space="preserve"> 分配回像素网格并恢复至标签分辨率，用于前端监督。此处的区域概率投影只服务于前端训练及区域对照，完整模型的最终读出采用式（14）的特征回投。</w:t>
      </w:r>
    </w:p>
    <w:p w14:paraId="6CBA7E6D">
      <w:pPr>
        <w:widowControl/>
        <w:rPr>
          <w:rFonts w:hint="eastAsia" w:ascii="宋体" w:hAnsi="宋体" w:eastAsia="宋体" w:cs="宋体"/>
        </w:rPr>
      </w:pPr>
      <w:r>
        <w:rPr>
          <w:rFonts w:hint="eastAsia" w:ascii="宋体" w:hAnsi="宋体" w:eastAsia="宋体" w:cs="宋体"/>
        </w:rPr>
        <w:t xml:space="preserve">对有效标签像素集合 </w:t>
      </w:r>
      <m:oMath>
        <m:r>
          <m:rPr/>
          <w:rPr>
            <w:rFonts w:hint="eastAsia" w:ascii="Cambria Math" w:hAnsi="Cambria Math" w:eastAsia="宋体" w:cs="宋体"/>
            <w:sz w:val="20"/>
          </w:rPr>
          <m:t>Ω</m:t>
        </m:r>
      </m:oMath>
      <w:r>
        <w:rPr>
          <w:rFonts w:hint="eastAsia" w:ascii="宋体" w:hAnsi="宋体" w:eastAsia="宋体" w:cs="宋体"/>
        </w:rPr>
        <w:t>，分割训练目标由平均负对数似然与Lovász-Softmax组成，后者用于构造分割交并比的优化代理[39]：</w:t>
      </w:r>
    </w:p>
    <w:p w14:paraId="28117CD2">
      <w:pPr>
        <w:keepNext w:val="0"/>
        <w:keepLines/>
        <w:widowControl/>
        <w:tabs>
          <w:tab w:val="center" w:pos="4513"/>
          <w:tab w:val="right" w:pos="9026"/>
        </w:tabs>
        <w:spacing w:before="20" w:after="60" w:line="240" w:lineRule="auto"/>
        <w:ind w:firstLine="0"/>
        <w:jc w:val="left"/>
        <w:rPr>
          <w:rFonts w:hint="eastAsia" w:ascii="宋体" w:hAnsi="宋体" w:eastAsia="宋体" w:cs="宋体"/>
        </w:rPr>
      </w:pPr>
      <w:r>
        <w:rPr>
          <w:rFonts w:hint="eastAsia" w:ascii="宋体" w:hAnsi="宋体" w:eastAsia="宋体" w:cs="宋体"/>
        </w:rPr>
        <w:tab/>
      </w:r>
      <m:oMath>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ℒ</m:t>
            </m:r>
            <m:ctrlPr>
              <w:rPr>
                <w:rFonts w:hint="eastAsia" w:ascii="Cambria Math" w:hAnsi="Cambria Math" w:eastAsia="宋体" w:cs="宋体"/>
              </w:rPr>
            </m:ctrlPr>
          </m:e>
          <m:sub>
            <m:r>
              <m:rPr>
                <m:sty m:val="p"/>
              </m:rPr>
              <w:rPr>
                <w:rFonts w:hint="eastAsia" w:ascii="Cambria Math" w:hAnsi="Cambria Math" w:eastAsia="宋体" w:cs="宋体"/>
                <w:sz w:val="20"/>
              </w:rPr>
              <m:t>seg</m:t>
            </m:r>
            <m:ctrlPr>
              <w:rPr>
                <w:rFonts w:hint="eastAsia" w:ascii="Cambria Math" w:hAnsi="Cambria Math" w:eastAsia="宋体" w:cs="宋体"/>
              </w:rPr>
            </m:ctrlPr>
          </m:sub>
        </m:sSub>
        <m:r>
          <m:rPr/>
          <w:rPr>
            <w:rFonts w:hint="eastAsia" w:ascii="Cambria Math" w:hAnsi="Cambria Math" w:eastAsia="宋体" w:cs="宋体"/>
            <w:sz w:val="20"/>
          </w:rPr>
          <m:t>=−</m:t>
        </m:r>
        <m:f>
          <m:fPr>
            <m:ctrlPr>
              <w:rPr>
                <w:rFonts w:hint="eastAsia" w:ascii="Cambria Math" w:hAnsi="Cambria Math" w:eastAsia="宋体" w:cs="宋体"/>
              </w:rPr>
            </m:ctrlPr>
          </m:fPr>
          <m:num>
            <m:r>
              <m:rPr/>
              <w:rPr>
                <w:rFonts w:hint="eastAsia" w:ascii="Cambria Math" w:hAnsi="Cambria Math" w:eastAsia="宋体" w:cs="宋体"/>
                <w:sz w:val="20"/>
              </w:rPr>
              <m:t>1</m:t>
            </m:r>
            <m:ctrlPr>
              <w:rPr>
                <w:rFonts w:hint="eastAsia" w:ascii="Cambria Math" w:hAnsi="Cambria Math" w:eastAsia="宋体" w:cs="宋体"/>
              </w:rPr>
            </m:ctrlPr>
          </m:num>
          <m:den>
            <m:d>
              <m:dPr>
                <m:begChr m:val="|"/>
                <m:sepChr m:val=""/>
                <m:endChr m:val="|"/>
                <m:ctrlPr>
                  <w:rPr>
                    <w:rFonts w:hint="eastAsia" w:ascii="Cambria Math" w:hAnsi="Cambria Math" w:eastAsia="宋体" w:cs="宋体"/>
                  </w:rPr>
                </m:ctrlPr>
              </m:dPr>
              <m:e>
                <m:r>
                  <m:rPr/>
                  <w:rPr>
                    <w:rFonts w:hint="eastAsia" w:ascii="Cambria Math" w:hAnsi="Cambria Math" w:eastAsia="宋体" w:cs="宋体"/>
                    <w:sz w:val="20"/>
                  </w:rPr>
                  <m:t>Ω</m:t>
                </m:r>
                <m:ctrlPr>
                  <w:rPr>
                    <w:rFonts w:hint="eastAsia" w:ascii="Cambria Math" w:hAnsi="Cambria Math" w:eastAsia="宋体" w:cs="宋体"/>
                  </w:rPr>
                </m:ctrlPr>
              </m:e>
            </m:d>
            <m:ctrlPr>
              <w:rPr>
                <w:rFonts w:hint="eastAsia" w:ascii="Cambria Math" w:hAnsi="Cambria Math" w:eastAsia="宋体" w:cs="宋体"/>
              </w:rPr>
            </m:ctrlPr>
          </m:den>
        </m:f>
        <m:nary>
          <m:naryPr>
            <m:chr m:val="∑"/>
            <m:grow m:val="1"/>
            <m:limLoc m:val="subSup"/>
            <m:supHide m:val="1"/>
            <m:ctrlPr>
              <w:rPr>
                <w:rFonts w:hint="eastAsia" w:ascii="Cambria Math" w:hAnsi="Cambria Math" w:eastAsia="宋体" w:cs="宋体"/>
              </w:rPr>
            </m:ctrlPr>
          </m:naryPr>
          <m:sub>
            <m:r>
              <m:rPr/>
              <w:rPr>
                <w:rFonts w:hint="eastAsia" w:ascii="Cambria Math" w:hAnsi="Cambria Math" w:eastAsia="宋体" w:cs="宋体"/>
                <w:sz w:val="20"/>
              </w:rPr>
              <m:t>i∈Ω</m:t>
            </m:r>
            <m:ctrlPr>
              <w:rPr>
                <w:rFonts w:hint="eastAsia" w:ascii="Cambria Math" w:hAnsi="Cambria Math" w:eastAsia="宋体" w:cs="宋体"/>
              </w:rPr>
            </m:ctrlPr>
          </m:sub>
          <m:sup>
            <m:ctrlPr>
              <w:rPr>
                <w:rFonts w:hint="eastAsia" w:ascii="Cambria Math" w:hAnsi="Cambria Math" w:eastAsia="宋体" w:cs="宋体"/>
              </w:rPr>
            </m:ctrlPr>
          </m:sup>
          <m:e>
            <m:r>
              <m:rPr>
                <m:sty m:val="p"/>
              </m:rPr>
              <w:rPr>
                <w:rFonts w:hint="eastAsia" w:ascii="Cambria Math" w:hAnsi="Cambria Math" w:eastAsia="宋体" w:cs="宋体"/>
                <w:sz w:val="20"/>
              </w:rPr>
              <m:t>log</m:t>
            </m:r>
            <m:r>
              <m:rPr/>
              <w:rPr>
                <w:rFonts w:hint="eastAsia" w:ascii="Cambria Math" w:hAnsi="Cambria Math" w:eastAsia="宋体" w:cs="宋体"/>
                <w:sz w:val="20"/>
              </w:rPr>
              <m:t>max(</m:t>
            </m:r>
            <m:ctrlPr>
              <w:rPr>
                <w:rFonts w:hint="eastAsia" w:ascii="Cambria Math" w:hAnsi="Cambria Math" w:eastAsia="宋体" w:cs="宋体"/>
              </w:rPr>
            </m:ctrlPr>
          </m:e>
        </m:nary>
        <m:sSub>
          <m:sSubPr>
            <m:ctrlPr>
              <w:rPr>
                <w:rFonts w:hint="eastAsia" w:ascii="Cambria Math" w:hAnsi="Cambria Math" w:eastAsia="宋体" w:cs="宋体"/>
              </w:rPr>
            </m:ctrlPr>
          </m:sSubPr>
          <m:e>
            <m:r>
              <m:rPr/>
              <w:rPr>
                <w:rFonts w:hint="eastAsia" w:ascii="Cambria Math" w:hAnsi="Cambria Math" w:eastAsia="宋体" w:cs="宋体"/>
                <w:sz w:val="20"/>
              </w:rPr>
              <m:t>p</m:t>
            </m:r>
            <m:ctrlPr>
              <w:rPr>
                <w:rFonts w:hint="eastAsia" w:ascii="Cambria Math" w:hAnsi="Cambria Math" w:eastAsia="宋体" w:cs="宋体"/>
              </w:rPr>
            </m:ctrlPr>
          </m:e>
          <m:sub>
            <m:r>
              <m:rPr/>
              <w:rPr>
                <w:rFonts w:hint="eastAsia" w:ascii="Cambria Math" w:hAnsi="Cambria Math" w:eastAsia="宋体" w:cs="宋体"/>
                <w:sz w:val="20"/>
              </w:rPr>
              <m:t>i,</m:t>
            </m:r>
            <m:sSub>
              <m:sSubPr>
                <m:ctrlPr>
                  <w:rPr>
                    <w:rFonts w:hint="eastAsia" w:ascii="Cambria Math" w:hAnsi="Cambria Math" w:eastAsia="宋体" w:cs="宋体"/>
                  </w:rPr>
                </m:ctrlPr>
              </m:sSubPr>
              <m:e>
                <m:r>
                  <m:rPr/>
                  <w:rPr>
                    <w:rFonts w:hint="eastAsia" w:ascii="Cambria Math" w:hAnsi="Cambria Math" w:eastAsia="宋体" w:cs="宋体"/>
                    <w:sz w:val="20"/>
                  </w:rPr>
                  <m:t>y</m:t>
                </m:r>
                <m:ctrlPr>
                  <w:rPr>
                    <w:rFonts w:hint="eastAsia" w:ascii="Cambria Math" w:hAnsi="Cambria Math" w:eastAsia="宋体" w:cs="宋体"/>
                  </w:rPr>
                </m:ctrlPr>
              </m:e>
              <m:sub>
                <m:r>
                  <m:rPr/>
                  <w:rPr>
                    <w:rFonts w:hint="eastAsia" w:ascii="Cambria Math" w:hAnsi="Cambria Math" w:eastAsia="宋体" w:cs="宋体"/>
                    <w:sz w:val="20"/>
                  </w:rPr>
                  <m:t>i</m:t>
                </m:r>
                <m:ctrlPr>
                  <w:rPr>
                    <w:rFonts w:hint="eastAsia" w:ascii="Cambria Math" w:hAnsi="Cambria Math" w:eastAsia="宋体" w:cs="宋体"/>
                  </w:rPr>
                </m:ctrlPr>
              </m:sub>
            </m:sSub>
            <m:ctrlPr>
              <w:rPr>
                <w:rFonts w:hint="eastAsia" w:ascii="Cambria Math" w:hAnsi="Cambria Math" w:eastAsia="宋体" w:cs="宋体"/>
              </w:rPr>
            </m:ctrlPr>
          </m:sub>
        </m:sSub>
        <m:r>
          <m:rPr/>
          <w:rPr>
            <w:rFonts w:hint="eastAsia" w:ascii="Cambria Math" w:hAnsi="Cambria Math" w:eastAsia="宋体" w:cs="宋体"/>
            <w:sz w:val="20"/>
          </w:rPr>
          <m:t>,</m:t>
        </m:r>
        <m:sSup>
          <m:sSupPr>
            <m:ctrlPr>
              <w:rPr>
                <w:rFonts w:hint="eastAsia" w:ascii="Cambria Math" w:hAnsi="Cambria Math" w:eastAsia="宋体" w:cs="宋体"/>
              </w:rPr>
            </m:ctrlPr>
          </m:sSupPr>
          <m:e>
            <m:r>
              <m:rPr/>
              <w:rPr>
                <w:rFonts w:hint="eastAsia" w:ascii="Cambria Math" w:hAnsi="Cambria Math" w:eastAsia="宋体" w:cs="宋体"/>
                <w:sz w:val="20"/>
              </w:rPr>
              <m:t>10</m:t>
            </m:r>
            <m:ctrlPr>
              <w:rPr>
                <w:rFonts w:hint="eastAsia" w:ascii="Cambria Math" w:hAnsi="Cambria Math" w:eastAsia="宋体" w:cs="宋体"/>
              </w:rPr>
            </m:ctrlPr>
          </m:e>
          <m:sup>
            <m:r>
              <m:rPr/>
              <w:rPr>
                <w:rFonts w:hint="eastAsia" w:ascii="Cambria Math" w:hAnsi="Cambria Math" w:eastAsia="宋体" w:cs="宋体"/>
                <w:sz w:val="20"/>
              </w:rPr>
              <m:t>−8</m:t>
            </m:r>
            <m:ctrlPr>
              <w:rPr>
                <w:rFonts w:hint="eastAsia" w:ascii="Cambria Math" w:hAnsi="Cambria Math" w:eastAsia="宋体" w:cs="宋体"/>
              </w:rPr>
            </m:ctrlPr>
          </m:sup>
        </m:sSup>
        <m:r>
          <m:rPr/>
          <w:rPr>
            <w:rFonts w:hint="eastAsia" w:ascii="Cambria Math" w:hAnsi="Cambria Math" w:eastAsia="宋体" w:cs="宋体"/>
            <w:sz w:val="20"/>
          </w:rPr>
          <m:t>)+</m:t>
        </m:r>
        <m:sSub>
          <m:sSubPr>
            <m:ctrlPr>
              <w:rPr>
                <w:rFonts w:hint="eastAsia" w:ascii="Cambria Math" w:hAnsi="Cambria Math" w:eastAsia="宋体" w:cs="宋体"/>
              </w:rPr>
            </m:ctrlPr>
          </m:sSubPr>
          <m:e>
            <m:r>
              <m:rPr>
                <m:scr m:val="script"/>
              </m:rPr>
              <w:rPr>
                <w:rFonts w:hint="eastAsia" w:ascii="Cambria Math" w:hAnsi="Cambria Math" w:eastAsia="MS Mincho" w:cs="MS Mincho"/>
                <w:sz w:val="20"/>
              </w:rPr>
              <m:t>ℒ</m:t>
            </m:r>
            <m:ctrlPr>
              <w:rPr>
                <w:rFonts w:hint="eastAsia" w:ascii="Cambria Math" w:hAnsi="Cambria Math" w:eastAsia="宋体" w:cs="宋体"/>
              </w:rPr>
            </m:ctrlPr>
          </m:e>
          <m:sub>
            <m:r>
              <m:rPr>
                <m:sty m:val="p"/>
              </m:rPr>
              <w:rPr>
                <w:rFonts w:hint="eastAsia" w:ascii="Cambria Math" w:hAnsi="Cambria Math" w:eastAsia="宋体" w:cs="宋体"/>
                <w:sz w:val="20"/>
              </w:rPr>
              <m:t>Lovasz</m:t>
            </m:r>
            <m:ctrlPr>
              <w:rPr>
                <w:rFonts w:hint="eastAsia" w:ascii="Cambria Math" w:hAnsi="Cambria Math" w:eastAsia="宋体" w:cs="宋体"/>
              </w:rPr>
            </m:ctrlPr>
          </m:sub>
        </m:sSub>
        <m:r>
          <m:rPr/>
          <w:rPr>
            <w:rFonts w:hint="eastAsia" w:ascii="Cambria Math" w:hAnsi="Cambria Math" w:eastAsia="宋体" w:cs="宋体"/>
            <w:sz w:val="20"/>
          </w:rPr>
          <m:t>(p,y).</m:t>
        </m:r>
      </m:oMath>
      <w:r>
        <w:rPr>
          <w:rFonts w:hint="eastAsia" w:ascii="宋体" w:hAnsi="宋体" w:eastAsia="宋体" w:cs="宋体"/>
          <w:sz w:val="19"/>
        </w:rPr>
        <w:tab/>
      </w:r>
      <w:r>
        <w:rPr>
          <w:rFonts w:hint="eastAsia" w:ascii="宋体" w:hAnsi="宋体" w:eastAsia="宋体" w:cs="宋体"/>
          <w:sz w:val="19"/>
        </w:rPr>
        <w:t>（15）</w:t>
      </w:r>
    </w:p>
    <w:p w14:paraId="1EE4B3CE">
      <w:pPr>
        <w:widowControl/>
        <w:rPr>
          <w:rFonts w:hint="eastAsia" w:ascii="宋体" w:hAnsi="宋体" w:eastAsia="宋体" w:cs="宋体"/>
        </w:rPr>
      </w:pPr>
      <w:r>
        <w:rPr>
          <w:rFonts w:hint="eastAsia" w:ascii="Times New Roman" w:hAnsi="Times New Roman" w:eastAsia="宋体" w:cs="宋体"/>
          <w:sz w:val="21"/>
        </w:rPr>
        <w:t>两项损失等权使用，无效标签忽略；主配置不附加类别重加权、独立边界损失或归属熵最小化损失。前端学习完成或选定明确记录训练步数的快照后，固定前端并构建训练支持库。随后按式（11）拟合检索投影，拟合完成后将其冻结。</w:t>
      </w:r>
    </w:p>
    <w:p w14:paraId="334D5D77">
      <w:pPr>
        <w:widowControl/>
        <w:rPr>
          <w:rFonts w:hint="eastAsia" w:ascii="宋体" w:hAnsi="宋体" w:eastAsia="宋体" w:cs="宋体"/>
        </w:rPr>
      </w:pPr>
      <w:r>
        <w:rPr>
          <w:rFonts w:ascii="Times New Roman" w:hAnsi="Times New Roman" w:eastAsia="宋体"/>
          <w:sz w:val="21"/>
        </w:rPr>
        <w:t>最后，固定像素前端、区域编码、支持库及检索投影，仅训练支持读取器和联合分类头，仍使用式（15）。像素权重与偏置复制预训练分类器，上下文权重零初始化；在输入特征、运行状态、插值与解码一致的前提下，实际核验初始预测是否匹配指定像素路径。训练后像素权重和上下文权重均可更新，初始化不保证最终精度单调提高。</w:t>
      </w:r>
    </w:p>
    <w:p w14:paraId="5D603B1B">
      <w:pPr>
        <w:pStyle w:val="3"/>
        <w:widowControl/>
      </w:pPr>
      <w:r>
        <w:rPr>
          <w:rFonts w:ascii="Times New Roman" w:hAnsi="Times New Roman" w:eastAsia="宋体"/>
          <w:sz w:val="21"/>
        </w:rPr>
        <w:t>IV. 实验与结果分析</w:t>
      </w:r>
    </w:p>
    <w:p w14:paraId="6CD1C1A0">
      <w:pPr>
        <w:pStyle w:val="4"/>
        <w:widowControl/>
      </w:pPr>
      <w:r>
        <w:rPr>
          <w:rFonts w:ascii="Times New Roman" w:hAnsi="Times New Roman" w:eastAsia="宋体"/>
          <w:sz w:val="21"/>
        </w:rPr>
        <w:t>A. 数据、评价指标与比较协议</w:t>
      </w:r>
    </w:p>
    <w:p w14:paraId="06767E55">
      <w:pPr>
        <w:widowControl/>
      </w:pPr>
      <w:r>
        <w:rPr>
          <w:rFonts w:ascii="Times New Roman" w:hAnsi="Times New Roman" w:eastAsia="宋体"/>
          <w:sz w:val="21"/>
        </w:rPr>
        <w:t>实验采用BRIGHT标准机器学习划分，Train、Val、Test分别为2918、450和878幅影像[2]。Train用于拟合网络、构建支持库和学习排序；Val用于选型；配置锁定后统一评价Test。此前探索性Test访问在实验记录中保留，不重新称为未访问的盲测。图4展示事件与模态范围。</w:t>
      </w:r>
    </w:p>
    <w:p w14:paraId="7A3E31C9">
      <w:pPr>
        <w:keepNext/>
        <w:widowControl/>
        <w:ind w:firstLine="0"/>
        <w:jc w:val="center"/>
      </w:pPr>
      <w:r>
        <w:drawing>
          <wp:inline distT="0" distB="0" distL="114300" distR="114300">
            <wp:extent cx="5579745" cy="3042920"/>
            <wp:effectExtent l="0" t="0" r="190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580000" cy="3043113"/>
                    </a:xfrm>
                    <a:prstGeom prst="rect">
                      <a:avLst/>
                    </a:prstGeom>
                  </pic:spPr>
                </pic:pic>
              </a:graphicData>
            </a:graphic>
          </wp:inline>
        </w:drawing>
      </w:r>
    </w:p>
    <w:p w14:paraId="0BD4A732">
      <w:pPr>
        <w:pStyle w:val="15"/>
        <w:keepNext w:val="0"/>
        <w:widowControl/>
      </w:pPr>
      <w:r>
        <w:rPr>
          <w:rFonts w:ascii="Times New Roman" w:hAnsi="Times New Roman" w:eastAsia="宋体"/>
          <w:sz w:val="19"/>
        </w:rPr>
        <w:t>图4　BRIGHT事件分布与影像示例。数据覆盖多灾种场景；标准名单决定实际划分。该图说明数据来源和评价范围，不代表本文创建了新数据集。数据来源：BRIGHT[2]。</w:t>
      </w:r>
    </w:p>
    <w:p w14:paraId="17EB7D2D">
      <w:pPr>
        <w:widowControl/>
      </w:pPr>
      <w:r>
        <w:rPr>
          <w:rFonts w:ascii="Times New Roman" w:hAnsi="Times New Roman" w:eastAsia="宋体"/>
          <w:sz w:val="21"/>
        </w:rPr>
        <w:t>由有效像素累计4×4混淆矩阵，行是真值、列是预测；背景、完好、受损、毁坏按固定类序计算IoU。四类mIoU平均全部四类；前景mIoU只平均后三类。OA不能代替少数损毁类别指标。定位F1若来自独立定位头，使用其二类计数；损毁输出折叠的定位指标单独标注。分类F1沿用BRIGHT规定的类别范围和平均方式，不能由现有几个IoU反推出。</w:t>
      </w:r>
    </w:p>
    <w:p w14:paraId="6AFF9F3D">
      <w:pPr>
        <w:widowControl/>
      </w:pPr>
      <w:r>
        <w:rPr>
          <w:rFonts w:ascii="Times New Roman" w:hAnsi="Times New Roman" w:eastAsia="宋体"/>
          <w:sz w:val="21"/>
        </w:rPr>
        <w:t>所有本地控制实验应匹配输入、标签、像素前端、冻结状态、损失、数据流、更新预算、种子与概率解码。Lovász-Softmax提供IoU优化代理[39]；若采用AdamW，应记录其解耦权重衰减及实际运行设置[40]。现有总体比较包含公开基准和用户确认的本地Test汇总，二者标明来源；新控制实验尚无对应计数，统一标为“待测”，不是零分或预估成绩。</w:t>
      </w:r>
    </w:p>
    <w:p w14:paraId="0212CADE">
      <w:pPr>
        <w:pStyle w:val="4"/>
        <w:widowControl/>
      </w:pPr>
      <w:r>
        <w:rPr>
          <w:rFonts w:ascii="Times New Roman" w:hAnsi="Times New Roman" w:eastAsia="宋体"/>
          <w:sz w:val="21"/>
        </w:rPr>
        <w:t>B. 总体定量结果及多灾种定性比较</w:t>
      </w:r>
    </w:p>
    <w:p w14:paraId="1D54D4A2">
      <w:pPr>
        <w:keepLines/>
        <w:widowControl/>
      </w:pPr>
      <w:r>
        <w:rPr>
          <w:rFonts w:ascii="Times New Roman" w:hAnsi="Times New Roman" w:eastAsia="宋体"/>
          <w:sz w:val="21"/>
        </w:rPr>
        <w:t>表1首先给出总体结果。用户已确认MPF行来自图中best_val_miou.pth权重在完整Test上的既有汇总，其四类mIoU为68.54%，定位F1、分类F1和OA分别为90.70%、73.29%和96.31%。其完好、受损、毁坏IoU分别为76.24%、42.21%和58.72%，说明损毁等级仍明显比背景和完好类别困难。完整检索框架Ours尚无与本文配置对应的全量结果，保留“待测”，不将MPF或旧memory行改名作为完整方法成绩。</w:t>
      </w:r>
    </w:p>
    <w:p w14:paraId="0312E592">
      <w:pPr>
        <w:pStyle w:val="15"/>
        <w:keepNext/>
        <w:widowControl/>
      </w:pPr>
      <w:r>
        <w:rPr>
          <w:rFonts w:ascii="Times New Roman" w:hAnsi="Times New Roman" w:eastAsia="宋体"/>
          <w:sz w:val="19"/>
        </w:rPr>
        <w:t>表1　BRIGHT标准Test的总体比较（%）</w:t>
      </w:r>
    </w:p>
    <w:tbl>
      <w:tblPr>
        <w:tblStyle w:val="33"/>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73"/>
        <w:gridCol w:w="986"/>
        <w:gridCol w:w="986"/>
        <w:gridCol w:w="986"/>
        <w:gridCol w:w="986"/>
        <w:gridCol w:w="986"/>
        <w:gridCol w:w="986"/>
        <w:gridCol w:w="986"/>
        <w:gridCol w:w="986"/>
      </w:tblGrid>
      <w:tr w14:paraId="291639E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973" w:type="dxa"/>
            <w:tcBorders>
              <w:top w:val="single" w:color="000000" w:sz="10" w:space="0"/>
              <w:left w:val="nil"/>
              <w:bottom w:val="single" w:color="000000" w:sz="4" w:space="0"/>
              <w:right w:val="nil"/>
            </w:tcBorders>
            <w:vAlign w:val="center"/>
          </w:tcPr>
          <w:p w14:paraId="77C33CD5">
            <w:pPr>
              <w:keepNext/>
              <w:spacing w:before="40" w:after="40" w:line="240" w:lineRule="auto"/>
              <w:ind w:firstLine="0"/>
            </w:pPr>
            <w:r>
              <w:rPr>
                <w:rFonts w:ascii="Times New Roman" w:hAnsi="Times New Roman" w:eastAsia="宋体"/>
                <w:b/>
                <w:sz w:val="16"/>
              </w:rPr>
              <w:t>方法</w:t>
            </w:r>
          </w:p>
        </w:tc>
        <w:tc>
          <w:tcPr>
            <w:tcW w:w="986" w:type="dxa"/>
            <w:tcBorders>
              <w:top w:val="single" w:color="000000" w:sz="10" w:space="0"/>
              <w:left w:val="nil"/>
              <w:bottom w:val="single" w:color="000000" w:sz="4" w:space="0"/>
              <w:right w:val="nil"/>
            </w:tcBorders>
            <w:vAlign w:val="center"/>
          </w:tcPr>
          <w:p w14:paraId="593D68B8">
            <w:pPr>
              <w:keepNext/>
              <w:spacing w:before="40" w:after="40" w:line="240" w:lineRule="auto"/>
              <w:ind w:firstLine="0"/>
            </w:pPr>
            <w:r>
              <w:rPr>
                <w:rFonts w:ascii="Times New Roman" w:hAnsi="Times New Roman" w:eastAsia="宋体"/>
                <w:b/>
                <w:sz w:val="16"/>
              </w:rPr>
              <w:t>定位F1</w:t>
            </w:r>
          </w:p>
        </w:tc>
        <w:tc>
          <w:tcPr>
            <w:tcW w:w="986" w:type="dxa"/>
            <w:tcBorders>
              <w:top w:val="single" w:color="000000" w:sz="10" w:space="0"/>
              <w:left w:val="nil"/>
              <w:bottom w:val="single" w:color="000000" w:sz="4" w:space="0"/>
              <w:right w:val="nil"/>
            </w:tcBorders>
            <w:vAlign w:val="center"/>
          </w:tcPr>
          <w:p w14:paraId="46A042B1">
            <w:pPr>
              <w:keepNext/>
              <w:spacing w:before="40" w:after="40" w:line="240" w:lineRule="auto"/>
              <w:ind w:firstLine="0"/>
            </w:pPr>
            <w:r>
              <w:rPr>
                <w:rFonts w:ascii="Times New Roman" w:hAnsi="Times New Roman" w:eastAsia="宋体"/>
                <w:b/>
                <w:sz w:val="16"/>
              </w:rPr>
              <w:t>分类F1</w:t>
            </w:r>
          </w:p>
        </w:tc>
        <w:tc>
          <w:tcPr>
            <w:tcW w:w="986" w:type="dxa"/>
            <w:tcBorders>
              <w:top w:val="single" w:color="000000" w:sz="10" w:space="0"/>
              <w:left w:val="nil"/>
              <w:bottom w:val="single" w:color="000000" w:sz="4" w:space="0"/>
              <w:right w:val="nil"/>
            </w:tcBorders>
            <w:vAlign w:val="center"/>
          </w:tcPr>
          <w:p w14:paraId="37392852">
            <w:pPr>
              <w:keepNext/>
              <w:spacing w:before="40" w:after="40" w:line="240" w:lineRule="auto"/>
              <w:ind w:firstLine="0"/>
            </w:pPr>
            <w:r>
              <w:rPr>
                <w:rFonts w:ascii="Times New Roman" w:hAnsi="Times New Roman" w:eastAsia="宋体"/>
                <w:b/>
                <w:sz w:val="16"/>
              </w:rPr>
              <w:t>OA</w:t>
            </w:r>
          </w:p>
        </w:tc>
        <w:tc>
          <w:tcPr>
            <w:tcW w:w="986" w:type="dxa"/>
            <w:tcBorders>
              <w:top w:val="single" w:color="000000" w:sz="10" w:space="0"/>
              <w:left w:val="nil"/>
              <w:bottom w:val="single" w:color="000000" w:sz="4" w:space="0"/>
              <w:right w:val="nil"/>
            </w:tcBorders>
            <w:vAlign w:val="center"/>
          </w:tcPr>
          <w:p w14:paraId="411DDCA5">
            <w:pPr>
              <w:keepNext/>
              <w:spacing w:before="40" w:after="40" w:line="240" w:lineRule="auto"/>
              <w:ind w:firstLine="0"/>
            </w:pPr>
            <w:r>
              <w:rPr>
                <w:rFonts w:ascii="Times New Roman" w:hAnsi="Times New Roman" w:eastAsia="宋体"/>
                <w:b/>
                <w:sz w:val="16"/>
              </w:rPr>
              <w:t>四类mIoU</w:t>
            </w:r>
          </w:p>
        </w:tc>
        <w:tc>
          <w:tcPr>
            <w:tcW w:w="986" w:type="dxa"/>
            <w:tcBorders>
              <w:top w:val="single" w:color="000000" w:sz="10" w:space="0"/>
              <w:left w:val="nil"/>
              <w:bottom w:val="single" w:color="000000" w:sz="4" w:space="0"/>
              <w:right w:val="nil"/>
            </w:tcBorders>
            <w:vAlign w:val="center"/>
          </w:tcPr>
          <w:p w14:paraId="26A44A03">
            <w:pPr>
              <w:keepNext/>
              <w:spacing w:before="40" w:after="40" w:line="240" w:lineRule="auto"/>
              <w:ind w:firstLine="0"/>
            </w:pPr>
            <w:r>
              <w:rPr>
                <w:rFonts w:ascii="Times New Roman" w:hAnsi="Times New Roman" w:eastAsia="宋体"/>
                <w:b/>
                <w:sz w:val="16"/>
              </w:rPr>
              <w:t>背景IoU</w:t>
            </w:r>
          </w:p>
        </w:tc>
        <w:tc>
          <w:tcPr>
            <w:tcW w:w="986" w:type="dxa"/>
            <w:tcBorders>
              <w:top w:val="single" w:color="000000" w:sz="10" w:space="0"/>
              <w:left w:val="nil"/>
              <w:bottom w:val="single" w:color="000000" w:sz="4" w:space="0"/>
              <w:right w:val="nil"/>
            </w:tcBorders>
            <w:vAlign w:val="center"/>
          </w:tcPr>
          <w:p w14:paraId="53C2D17E">
            <w:pPr>
              <w:keepNext/>
              <w:spacing w:before="40" w:after="40" w:line="240" w:lineRule="auto"/>
              <w:ind w:firstLine="0"/>
            </w:pPr>
            <w:r>
              <w:rPr>
                <w:rFonts w:ascii="Times New Roman" w:hAnsi="Times New Roman" w:eastAsia="宋体"/>
                <w:b/>
                <w:sz w:val="16"/>
              </w:rPr>
              <w:t>完好IoU</w:t>
            </w:r>
          </w:p>
        </w:tc>
        <w:tc>
          <w:tcPr>
            <w:tcW w:w="986" w:type="dxa"/>
            <w:tcBorders>
              <w:top w:val="single" w:color="000000" w:sz="10" w:space="0"/>
              <w:left w:val="nil"/>
              <w:bottom w:val="single" w:color="000000" w:sz="4" w:space="0"/>
              <w:right w:val="nil"/>
            </w:tcBorders>
            <w:vAlign w:val="center"/>
          </w:tcPr>
          <w:p w14:paraId="2BAA7833">
            <w:pPr>
              <w:keepNext/>
              <w:spacing w:before="40" w:after="40" w:line="240" w:lineRule="auto"/>
              <w:ind w:firstLine="0"/>
            </w:pPr>
            <w:r>
              <w:rPr>
                <w:rFonts w:ascii="Times New Roman" w:hAnsi="Times New Roman" w:eastAsia="宋体"/>
                <w:b/>
                <w:sz w:val="16"/>
              </w:rPr>
              <w:t>受损IoU</w:t>
            </w:r>
          </w:p>
        </w:tc>
        <w:tc>
          <w:tcPr>
            <w:tcW w:w="986" w:type="dxa"/>
            <w:tcBorders>
              <w:top w:val="single" w:color="000000" w:sz="10" w:space="0"/>
              <w:left w:val="nil"/>
              <w:bottom w:val="single" w:color="000000" w:sz="4" w:space="0"/>
              <w:right w:val="nil"/>
            </w:tcBorders>
            <w:vAlign w:val="center"/>
          </w:tcPr>
          <w:p w14:paraId="2593AD5F">
            <w:pPr>
              <w:keepNext/>
              <w:spacing w:before="40" w:after="40" w:line="240" w:lineRule="auto"/>
              <w:ind w:firstLine="0"/>
            </w:pPr>
            <w:r>
              <w:rPr>
                <w:rFonts w:ascii="Times New Roman" w:hAnsi="Times New Roman" w:eastAsia="宋体"/>
                <w:b/>
                <w:sz w:val="16"/>
              </w:rPr>
              <w:t>毁坏IoU</w:t>
            </w:r>
          </w:p>
        </w:tc>
      </w:tr>
      <w:tr w14:paraId="288CC65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73" w:type="dxa"/>
            <w:tcBorders>
              <w:top w:val="nil"/>
              <w:left w:val="nil"/>
              <w:bottom w:val="nil"/>
              <w:right w:val="nil"/>
            </w:tcBorders>
            <w:vAlign w:val="center"/>
          </w:tcPr>
          <w:p w14:paraId="1E3869AC">
            <w:pPr>
              <w:keepNext/>
              <w:spacing w:before="40" w:after="40" w:line="240" w:lineRule="auto"/>
              <w:ind w:firstLine="0"/>
            </w:pPr>
            <w:r>
              <w:rPr>
                <w:rFonts w:ascii="Times New Roman" w:hAnsi="Times New Roman" w:eastAsia="宋体"/>
                <w:b w:val="0"/>
                <w:sz w:val="16"/>
              </w:rPr>
              <w:t>UNet†</w:t>
            </w:r>
          </w:p>
        </w:tc>
        <w:tc>
          <w:tcPr>
            <w:tcW w:w="986" w:type="dxa"/>
            <w:tcBorders>
              <w:top w:val="nil"/>
              <w:left w:val="nil"/>
              <w:bottom w:val="nil"/>
              <w:right w:val="nil"/>
            </w:tcBorders>
            <w:vAlign w:val="center"/>
          </w:tcPr>
          <w:p w14:paraId="1D7DBDE2">
            <w:pPr>
              <w:keepNext/>
              <w:spacing w:before="40" w:after="40" w:line="240" w:lineRule="auto"/>
              <w:ind w:firstLine="0"/>
            </w:pPr>
            <w:r>
              <w:rPr>
                <w:rFonts w:ascii="Times New Roman" w:hAnsi="Times New Roman" w:eastAsia="宋体"/>
                <w:b w:val="0"/>
                <w:sz w:val="16"/>
              </w:rPr>
              <w:t>87.97</w:t>
            </w:r>
          </w:p>
        </w:tc>
        <w:tc>
          <w:tcPr>
            <w:tcW w:w="986" w:type="dxa"/>
            <w:tcBorders>
              <w:top w:val="nil"/>
              <w:left w:val="nil"/>
              <w:bottom w:val="nil"/>
              <w:right w:val="nil"/>
            </w:tcBorders>
            <w:vAlign w:val="center"/>
          </w:tcPr>
          <w:p w14:paraId="2108828A">
            <w:pPr>
              <w:keepNext/>
              <w:spacing w:before="40" w:after="40" w:line="240" w:lineRule="auto"/>
              <w:ind w:firstLine="0"/>
            </w:pPr>
            <w:r>
              <w:rPr>
                <w:rFonts w:ascii="Times New Roman" w:hAnsi="Times New Roman" w:eastAsia="宋体"/>
                <w:b w:val="0"/>
                <w:sz w:val="16"/>
              </w:rPr>
              <w:t>72.24</w:t>
            </w:r>
          </w:p>
        </w:tc>
        <w:tc>
          <w:tcPr>
            <w:tcW w:w="986" w:type="dxa"/>
            <w:tcBorders>
              <w:top w:val="nil"/>
              <w:left w:val="nil"/>
              <w:bottom w:val="nil"/>
              <w:right w:val="nil"/>
            </w:tcBorders>
            <w:vAlign w:val="center"/>
          </w:tcPr>
          <w:p w14:paraId="752952CD">
            <w:pPr>
              <w:keepNext/>
              <w:spacing w:before="40" w:after="40" w:line="240" w:lineRule="auto"/>
              <w:ind w:firstLine="0"/>
            </w:pPr>
            <w:r>
              <w:rPr>
                <w:rFonts w:ascii="Times New Roman" w:hAnsi="Times New Roman" w:eastAsia="宋体"/>
                <w:b w:val="0"/>
                <w:sz w:val="16"/>
              </w:rPr>
              <w:t>95.47</w:t>
            </w:r>
          </w:p>
        </w:tc>
        <w:tc>
          <w:tcPr>
            <w:tcW w:w="986" w:type="dxa"/>
            <w:tcBorders>
              <w:top w:val="nil"/>
              <w:left w:val="nil"/>
              <w:bottom w:val="nil"/>
              <w:right w:val="nil"/>
            </w:tcBorders>
            <w:vAlign w:val="center"/>
          </w:tcPr>
          <w:p w14:paraId="65036BB1">
            <w:pPr>
              <w:keepNext/>
              <w:spacing w:before="40" w:after="40" w:line="240" w:lineRule="auto"/>
              <w:ind w:firstLine="0"/>
            </w:pPr>
            <w:r>
              <w:rPr>
                <w:rFonts w:ascii="Times New Roman" w:hAnsi="Times New Roman" w:eastAsia="宋体"/>
                <w:b w:val="0"/>
                <w:sz w:val="16"/>
              </w:rPr>
              <w:t>64.94</w:t>
            </w:r>
          </w:p>
        </w:tc>
        <w:tc>
          <w:tcPr>
            <w:tcW w:w="986" w:type="dxa"/>
            <w:tcBorders>
              <w:top w:val="nil"/>
              <w:left w:val="nil"/>
              <w:bottom w:val="nil"/>
              <w:right w:val="nil"/>
            </w:tcBorders>
            <w:vAlign w:val="center"/>
          </w:tcPr>
          <w:p w14:paraId="70CEAA47">
            <w:pPr>
              <w:keepNext/>
              <w:spacing w:before="40" w:after="40" w:line="240" w:lineRule="auto"/>
              <w:ind w:firstLine="0"/>
            </w:pPr>
            <w:r>
              <w:rPr>
                <w:rFonts w:ascii="Times New Roman" w:hAnsi="Times New Roman" w:eastAsia="宋体"/>
                <w:b w:val="0"/>
                <w:sz w:val="16"/>
              </w:rPr>
              <w:t>96.19</w:t>
            </w:r>
          </w:p>
        </w:tc>
        <w:tc>
          <w:tcPr>
            <w:tcW w:w="986" w:type="dxa"/>
            <w:tcBorders>
              <w:top w:val="nil"/>
              <w:left w:val="nil"/>
              <w:bottom w:val="nil"/>
              <w:right w:val="nil"/>
            </w:tcBorders>
            <w:vAlign w:val="center"/>
          </w:tcPr>
          <w:p w14:paraId="317B98C9">
            <w:pPr>
              <w:keepNext/>
              <w:spacing w:before="40" w:after="40" w:line="240" w:lineRule="auto"/>
              <w:ind w:firstLine="0"/>
            </w:pPr>
            <w:r>
              <w:rPr>
                <w:rFonts w:ascii="Times New Roman" w:hAnsi="Times New Roman" w:eastAsia="宋体"/>
                <w:b w:val="0"/>
                <w:sz w:val="16"/>
              </w:rPr>
              <w:t>71.27</w:t>
            </w:r>
          </w:p>
        </w:tc>
        <w:tc>
          <w:tcPr>
            <w:tcW w:w="986" w:type="dxa"/>
            <w:tcBorders>
              <w:top w:val="nil"/>
              <w:left w:val="nil"/>
              <w:bottom w:val="nil"/>
              <w:right w:val="nil"/>
            </w:tcBorders>
            <w:vAlign w:val="center"/>
          </w:tcPr>
          <w:p w14:paraId="4B2D6CD6">
            <w:pPr>
              <w:keepNext/>
              <w:spacing w:before="40" w:after="40" w:line="240" w:lineRule="auto"/>
              <w:ind w:firstLine="0"/>
            </w:pPr>
            <w:r>
              <w:rPr>
                <w:rFonts w:ascii="Times New Roman" w:hAnsi="Times New Roman" w:eastAsia="宋体"/>
                <w:b w:val="0"/>
                <w:sz w:val="16"/>
              </w:rPr>
              <w:t>39.13</w:t>
            </w:r>
          </w:p>
        </w:tc>
        <w:tc>
          <w:tcPr>
            <w:tcW w:w="986" w:type="dxa"/>
            <w:tcBorders>
              <w:top w:val="nil"/>
              <w:left w:val="nil"/>
              <w:bottom w:val="nil"/>
              <w:right w:val="nil"/>
            </w:tcBorders>
            <w:vAlign w:val="center"/>
          </w:tcPr>
          <w:p w14:paraId="07BBFFBA">
            <w:pPr>
              <w:keepNext/>
              <w:spacing w:before="40" w:after="40" w:line="240" w:lineRule="auto"/>
              <w:ind w:firstLine="0"/>
            </w:pPr>
            <w:r>
              <w:rPr>
                <w:rFonts w:ascii="Times New Roman" w:hAnsi="Times New Roman" w:eastAsia="宋体"/>
                <w:b w:val="0"/>
                <w:sz w:val="16"/>
              </w:rPr>
              <w:t>53.17</w:t>
            </w:r>
          </w:p>
        </w:tc>
      </w:tr>
      <w:tr w14:paraId="6B0C34B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73" w:type="dxa"/>
            <w:tcBorders>
              <w:top w:val="nil"/>
              <w:left w:val="nil"/>
              <w:bottom w:val="nil"/>
              <w:right w:val="nil"/>
            </w:tcBorders>
            <w:vAlign w:val="center"/>
          </w:tcPr>
          <w:p w14:paraId="6E2508AA">
            <w:pPr>
              <w:keepNext/>
              <w:spacing w:before="40" w:after="40" w:line="240" w:lineRule="auto"/>
              <w:ind w:firstLine="0"/>
            </w:pPr>
            <w:r>
              <w:rPr>
                <w:rFonts w:ascii="Times New Roman" w:hAnsi="Times New Roman" w:eastAsia="宋体"/>
                <w:b w:val="0"/>
                <w:sz w:val="16"/>
              </w:rPr>
              <w:t>DeepLabV3+†</w:t>
            </w:r>
          </w:p>
        </w:tc>
        <w:tc>
          <w:tcPr>
            <w:tcW w:w="986" w:type="dxa"/>
            <w:tcBorders>
              <w:top w:val="nil"/>
              <w:left w:val="nil"/>
              <w:bottom w:val="nil"/>
              <w:right w:val="nil"/>
            </w:tcBorders>
            <w:vAlign w:val="center"/>
          </w:tcPr>
          <w:p w14:paraId="07A7691B">
            <w:pPr>
              <w:keepNext/>
              <w:spacing w:before="40" w:after="40" w:line="240" w:lineRule="auto"/>
              <w:ind w:firstLine="0"/>
            </w:pPr>
            <w:r>
              <w:rPr>
                <w:rFonts w:ascii="Times New Roman" w:hAnsi="Times New Roman" w:eastAsia="宋体"/>
                <w:b w:val="0"/>
                <w:sz w:val="16"/>
              </w:rPr>
              <w:t>87.00</w:t>
            </w:r>
          </w:p>
        </w:tc>
        <w:tc>
          <w:tcPr>
            <w:tcW w:w="986" w:type="dxa"/>
            <w:tcBorders>
              <w:top w:val="nil"/>
              <w:left w:val="nil"/>
              <w:bottom w:val="nil"/>
              <w:right w:val="nil"/>
            </w:tcBorders>
            <w:vAlign w:val="center"/>
          </w:tcPr>
          <w:p w14:paraId="0EA3C2EF">
            <w:pPr>
              <w:keepNext/>
              <w:spacing w:before="40" w:after="40" w:line="240" w:lineRule="auto"/>
              <w:ind w:firstLine="0"/>
            </w:pPr>
            <w:r>
              <w:rPr>
                <w:rFonts w:ascii="Times New Roman" w:hAnsi="Times New Roman" w:eastAsia="宋体"/>
                <w:b w:val="0"/>
                <w:sz w:val="16"/>
              </w:rPr>
              <w:t>70.33</w:t>
            </w:r>
          </w:p>
        </w:tc>
        <w:tc>
          <w:tcPr>
            <w:tcW w:w="986" w:type="dxa"/>
            <w:tcBorders>
              <w:top w:val="nil"/>
              <w:left w:val="nil"/>
              <w:bottom w:val="nil"/>
              <w:right w:val="nil"/>
            </w:tcBorders>
            <w:vAlign w:val="center"/>
          </w:tcPr>
          <w:p w14:paraId="27927A8B">
            <w:pPr>
              <w:keepNext/>
              <w:spacing w:before="40" w:after="40" w:line="240" w:lineRule="auto"/>
              <w:ind w:firstLine="0"/>
            </w:pPr>
            <w:r>
              <w:rPr>
                <w:rFonts w:ascii="Times New Roman" w:hAnsi="Times New Roman" w:eastAsia="宋体"/>
                <w:b w:val="0"/>
                <w:sz w:val="16"/>
              </w:rPr>
              <w:t>95.43</w:t>
            </w:r>
          </w:p>
        </w:tc>
        <w:tc>
          <w:tcPr>
            <w:tcW w:w="986" w:type="dxa"/>
            <w:tcBorders>
              <w:top w:val="nil"/>
              <w:left w:val="nil"/>
              <w:bottom w:val="nil"/>
              <w:right w:val="nil"/>
            </w:tcBorders>
            <w:vAlign w:val="center"/>
          </w:tcPr>
          <w:p w14:paraId="3540DFA3">
            <w:pPr>
              <w:keepNext/>
              <w:spacing w:before="40" w:after="40" w:line="240" w:lineRule="auto"/>
              <w:ind w:firstLine="0"/>
            </w:pPr>
            <w:r>
              <w:rPr>
                <w:rFonts w:ascii="Times New Roman" w:hAnsi="Times New Roman" w:eastAsia="宋体"/>
                <w:b w:val="0"/>
                <w:sz w:val="16"/>
              </w:rPr>
              <w:t>64.80</w:t>
            </w:r>
          </w:p>
        </w:tc>
        <w:tc>
          <w:tcPr>
            <w:tcW w:w="986" w:type="dxa"/>
            <w:tcBorders>
              <w:top w:val="nil"/>
              <w:left w:val="nil"/>
              <w:bottom w:val="nil"/>
              <w:right w:val="nil"/>
            </w:tcBorders>
            <w:vAlign w:val="center"/>
          </w:tcPr>
          <w:p w14:paraId="15E99ED2">
            <w:pPr>
              <w:keepNext/>
              <w:spacing w:before="40" w:after="40" w:line="240" w:lineRule="auto"/>
              <w:ind w:firstLine="0"/>
            </w:pPr>
            <w:r>
              <w:rPr>
                <w:rFonts w:ascii="Times New Roman" w:hAnsi="Times New Roman" w:eastAsia="宋体"/>
                <w:b w:val="0"/>
                <w:sz w:val="16"/>
              </w:rPr>
              <w:t>95.98</w:t>
            </w:r>
          </w:p>
        </w:tc>
        <w:tc>
          <w:tcPr>
            <w:tcW w:w="986" w:type="dxa"/>
            <w:tcBorders>
              <w:top w:val="nil"/>
              <w:left w:val="nil"/>
              <w:bottom w:val="nil"/>
              <w:right w:val="nil"/>
            </w:tcBorders>
            <w:vAlign w:val="center"/>
          </w:tcPr>
          <w:p w14:paraId="4095D3B5">
            <w:pPr>
              <w:keepNext/>
              <w:spacing w:before="40" w:after="40" w:line="240" w:lineRule="auto"/>
              <w:ind w:firstLine="0"/>
            </w:pPr>
            <w:r>
              <w:rPr>
                <w:rFonts w:ascii="Times New Roman" w:hAnsi="Times New Roman" w:eastAsia="宋体"/>
                <w:b w:val="0"/>
                <w:sz w:val="16"/>
              </w:rPr>
              <w:t>70.98</w:t>
            </w:r>
          </w:p>
        </w:tc>
        <w:tc>
          <w:tcPr>
            <w:tcW w:w="986" w:type="dxa"/>
            <w:tcBorders>
              <w:top w:val="nil"/>
              <w:left w:val="nil"/>
              <w:bottom w:val="nil"/>
              <w:right w:val="nil"/>
            </w:tcBorders>
            <w:vAlign w:val="center"/>
          </w:tcPr>
          <w:p w14:paraId="4ED35EBE">
            <w:pPr>
              <w:keepNext/>
              <w:spacing w:before="40" w:after="40" w:line="240" w:lineRule="auto"/>
              <w:ind w:firstLine="0"/>
            </w:pPr>
            <w:r>
              <w:rPr>
                <w:rFonts w:ascii="Times New Roman" w:hAnsi="Times New Roman" w:eastAsia="宋体"/>
                <w:b w:val="0"/>
                <w:sz w:val="16"/>
              </w:rPr>
              <w:t>37.53</w:t>
            </w:r>
          </w:p>
        </w:tc>
        <w:tc>
          <w:tcPr>
            <w:tcW w:w="986" w:type="dxa"/>
            <w:tcBorders>
              <w:top w:val="nil"/>
              <w:left w:val="nil"/>
              <w:bottom w:val="nil"/>
              <w:right w:val="nil"/>
            </w:tcBorders>
            <w:vAlign w:val="center"/>
          </w:tcPr>
          <w:p w14:paraId="4852A611">
            <w:pPr>
              <w:keepNext/>
              <w:spacing w:before="40" w:after="40" w:line="240" w:lineRule="auto"/>
              <w:ind w:firstLine="0"/>
            </w:pPr>
            <w:r>
              <w:rPr>
                <w:rFonts w:ascii="Times New Roman" w:hAnsi="Times New Roman" w:eastAsia="宋体"/>
                <w:b w:val="0"/>
                <w:sz w:val="16"/>
              </w:rPr>
              <w:t>54.69</w:t>
            </w:r>
          </w:p>
        </w:tc>
      </w:tr>
      <w:tr w14:paraId="29EB5EB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73" w:type="dxa"/>
            <w:tcBorders>
              <w:top w:val="nil"/>
              <w:left w:val="nil"/>
              <w:bottom w:val="nil"/>
              <w:right w:val="nil"/>
            </w:tcBorders>
            <w:vAlign w:val="center"/>
          </w:tcPr>
          <w:p w14:paraId="7B5E4FAB">
            <w:pPr>
              <w:keepNext/>
              <w:spacing w:before="40" w:after="40" w:line="240" w:lineRule="auto"/>
              <w:ind w:firstLine="0"/>
            </w:pPr>
            <w:r>
              <w:rPr>
                <w:rFonts w:ascii="Times New Roman" w:hAnsi="Times New Roman" w:eastAsia="宋体"/>
                <w:b w:val="0"/>
                <w:sz w:val="16"/>
              </w:rPr>
              <w:t>SiamAttnUNet†</w:t>
            </w:r>
          </w:p>
        </w:tc>
        <w:tc>
          <w:tcPr>
            <w:tcW w:w="986" w:type="dxa"/>
            <w:tcBorders>
              <w:top w:val="nil"/>
              <w:left w:val="nil"/>
              <w:bottom w:val="nil"/>
              <w:right w:val="nil"/>
            </w:tcBorders>
            <w:vAlign w:val="center"/>
          </w:tcPr>
          <w:p w14:paraId="4787FFCF">
            <w:pPr>
              <w:keepNext/>
              <w:spacing w:before="40" w:after="40" w:line="240" w:lineRule="auto"/>
              <w:ind w:firstLine="0"/>
            </w:pPr>
            <w:r>
              <w:rPr>
                <w:rFonts w:ascii="Times New Roman" w:hAnsi="Times New Roman" w:eastAsia="宋体"/>
                <w:b w:val="0"/>
                <w:sz w:val="16"/>
              </w:rPr>
              <w:t>88.16</w:t>
            </w:r>
          </w:p>
        </w:tc>
        <w:tc>
          <w:tcPr>
            <w:tcW w:w="986" w:type="dxa"/>
            <w:tcBorders>
              <w:top w:val="nil"/>
              <w:left w:val="nil"/>
              <w:bottom w:val="nil"/>
              <w:right w:val="nil"/>
            </w:tcBorders>
            <w:vAlign w:val="center"/>
          </w:tcPr>
          <w:p w14:paraId="4DA054B3">
            <w:pPr>
              <w:keepNext/>
              <w:spacing w:before="40" w:after="40" w:line="240" w:lineRule="auto"/>
              <w:ind w:firstLine="0"/>
            </w:pPr>
            <w:r>
              <w:rPr>
                <w:rFonts w:ascii="Times New Roman" w:hAnsi="Times New Roman" w:eastAsia="宋体"/>
                <w:b w:val="0"/>
                <w:sz w:val="16"/>
              </w:rPr>
              <w:t>70.13</w:t>
            </w:r>
          </w:p>
        </w:tc>
        <w:tc>
          <w:tcPr>
            <w:tcW w:w="986" w:type="dxa"/>
            <w:tcBorders>
              <w:top w:val="nil"/>
              <w:left w:val="nil"/>
              <w:bottom w:val="nil"/>
              <w:right w:val="nil"/>
            </w:tcBorders>
            <w:vAlign w:val="center"/>
          </w:tcPr>
          <w:p w14:paraId="158C9568">
            <w:pPr>
              <w:keepNext/>
              <w:spacing w:before="40" w:after="40" w:line="240" w:lineRule="auto"/>
              <w:ind w:firstLine="0"/>
            </w:pPr>
            <w:r>
              <w:rPr>
                <w:rFonts w:ascii="Times New Roman" w:hAnsi="Times New Roman" w:eastAsia="宋体"/>
                <w:b w:val="0"/>
                <w:sz w:val="16"/>
              </w:rPr>
              <w:t>95.45</w:t>
            </w:r>
          </w:p>
        </w:tc>
        <w:tc>
          <w:tcPr>
            <w:tcW w:w="986" w:type="dxa"/>
            <w:tcBorders>
              <w:top w:val="nil"/>
              <w:left w:val="nil"/>
              <w:bottom w:val="nil"/>
              <w:right w:val="nil"/>
            </w:tcBorders>
            <w:vAlign w:val="center"/>
          </w:tcPr>
          <w:p w14:paraId="62CA45BA">
            <w:pPr>
              <w:keepNext/>
              <w:spacing w:before="40" w:after="40" w:line="240" w:lineRule="auto"/>
              <w:ind w:firstLine="0"/>
            </w:pPr>
            <w:r>
              <w:rPr>
                <w:rFonts w:ascii="Times New Roman" w:hAnsi="Times New Roman" w:eastAsia="宋体"/>
                <w:b w:val="0"/>
                <w:sz w:val="16"/>
              </w:rPr>
              <w:t>64.26</w:t>
            </w:r>
          </w:p>
        </w:tc>
        <w:tc>
          <w:tcPr>
            <w:tcW w:w="986" w:type="dxa"/>
            <w:tcBorders>
              <w:top w:val="nil"/>
              <w:left w:val="nil"/>
              <w:bottom w:val="nil"/>
              <w:right w:val="nil"/>
            </w:tcBorders>
            <w:vAlign w:val="center"/>
          </w:tcPr>
          <w:p w14:paraId="0D683032">
            <w:pPr>
              <w:keepNext/>
              <w:spacing w:before="40" w:after="40" w:line="240" w:lineRule="auto"/>
              <w:ind w:firstLine="0"/>
            </w:pPr>
            <w:r>
              <w:rPr>
                <w:rFonts w:ascii="Times New Roman" w:hAnsi="Times New Roman" w:eastAsia="宋体"/>
                <w:b w:val="0"/>
                <w:sz w:val="16"/>
              </w:rPr>
              <w:t>96.14</w:t>
            </w:r>
          </w:p>
        </w:tc>
        <w:tc>
          <w:tcPr>
            <w:tcW w:w="986" w:type="dxa"/>
            <w:tcBorders>
              <w:top w:val="nil"/>
              <w:left w:val="nil"/>
              <w:bottom w:val="nil"/>
              <w:right w:val="nil"/>
            </w:tcBorders>
            <w:vAlign w:val="center"/>
          </w:tcPr>
          <w:p w14:paraId="7D7A03DB">
            <w:pPr>
              <w:keepNext/>
              <w:spacing w:before="40" w:after="40" w:line="240" w:lineRule="auto"/>
              <w:ind w:firstLine="0"/>
            </w:pPr>
            <w:r>
              <w:rPr>
                <w:rFonts w:ascii="Times New Roman" w:hAnsi="Times New Roman" w:eastAsia="宋体"/>
                <w:b w:val="0"/>
                <w:sz w:val="16"/>
              </w:rPr>
              <w:t>71.90</w:t>
            </w:r>
          </w:p>
        </w:tc>
        <w:tc>
          <w:tcPr>
            <w:tcW w:w="986" w:type="dxa"/>
            <w:tcBorders>
              <w:top w:val="nil"/>
              <w:left w:val="nil"/>
              <w:bottom w:val="nil"/>
              <w:right w:val="nil"/>
            </w:tcBorders>
            <w:vAlign w:val="center"/>
          </w:tcPr>
          <w:p w14:paraId="1D9F00A6">
            <w:pPr>
              <w:keepNext/>
              <w:spacing w:before="40" w:after="40" w:line="240" w:lineRule="auto"/>
              <w:ind w:firstLine="0"/>
            </w:pPr>
            <w:r>
              <w:rPr>
                <w:rFonts w:ascii="Times New Roman" w:hAnsi="Times New Roman" w:eastAsia="宋体"/>
                <w:b w:val="0"/>
                <w:sz w:val="16"/>
              </w:rPr>
              <w:t>35.06</w:t>
            </w:r>
          </w:p>
        </w:tc>
        <w:tc>
          <w:tcPr>
            <w:tcW w:w="986" w:type="dxa"/>
            <w:tcBorders>
              <w:top w:val="nil"/>
              <w:left w:val="nil"/>
              <w:bottom w:val="nil"/>
              <w:right w:val="nil"/>
            </w:tcBorders>
            <w:vAlign w:val="center"/>
          </w:tcPr>
          <w:p w14:paraId="7E01029B">
            <w:pPr>
              <w:keepNext/>
              <w:spacing w:before="40" w:after="40" w:line="240" w:lineRule="auto"/>
              <w:ind w:firstLine="0"/>
            </w:pPr>
            <w:r>
              <w:rPr>
                <w:rFonts w:ascii="Times New Roman" w:hAnsi="Times New Roman" w:eastAsia="宋体"/>
                <w:b w:val="0"/>
                <w:sz w:val="16"/>
              </w:rPr>
              <w:t>53.92</w:t>
            </w:r>
          </w:p>
        </w:tc>
      </w:tr>
      <w:tr w14:paraId="4647811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73" w:type="dxa"/>
            <w:tcBorders>
              <w:top w:val="nil"/>
              <w:left w:val="nil"/>
              <w:bottom w:val="nil"/>
              <w:right w:val="nil"/>
            </w:tcBorders>
            <w:vAlign w:val="center"/>
          </w:tcPr>
          <w:p w14:paraId="243B98FD">
            <w:pPr>
              <w:keepNext/>
              <w:spacing w:before="40" w:after="40" w:line="240" w:lineRule="auto"/>
              <w:ind w:firstLine="0"/>
            </w:pPr>
            <w:r>
              <w:rPr>
                <w:rFonts w:ascii="Times New Roman" w:hAnsi="Times New Roman" w:eastAsia="宋体"/>
                <w:b w:val="0"/>
                <w:sz w:val="16"/>
              </w:rPr>
              <w:t>SiamCRNN†</w:t>
            </w:r>
          </w:p>
        </w:tc>
        <w:tc>
          <w:tcPr>
            <w:tcW w:w="986" w:type="dxa"/>
            <w:tcBorders>
              <w:top w:val="nil"/>
              <w:left w:val="nil"/>
              <w:bottom w:val="nil"/>
              <w:right w:val="nil"/>
            </w:tcBorders>
            <w:vAlign w:val="center"/>
          </w:tcPr>
          <w:p w14:paraId="6903351E">
            <w:pPr>
              <w:keepNext/>
              <w:spacing w:before="40" w:after="40" w:line="240" w:lineRule="auto"/>
              <w:ind w:firstLine="0"/>
            </w:pPr>
            <w:r>
              <w:rPr>
                <w:rFonts w:ascii="Times New Roman" w:hAnsi="Times New Roman" w:eastAsia="宋体"/>
                <w:b w:val="0"/>
                <w:sz w:val="16"/>
              </w:rPr>
              <w:t>89.45</w:t>
            </w:r>
          </w:p>
        </w:tc>
        <w:tc>
          <w:tcPr>
            <w:tcW w:w="986" w:type="dxa"/>
            <w:tcBorders>
              <w:top w:val="nil"/>
              <w:left w:val="nil"/>
              <w:bottom w:val="nil"/>
              <w:right w:val="nil"/>
            </w:tcBorders>
            <w:vAlign w:val="center"/>
          </w:tcPr>
          <w:p w14:paraId="1F1A19B7">
            <w:pPr>
              <w:keepNext/>
              <w:spacing w:before="40" w:after="40" w:line="240" w:lineRule="auto"/>
              <w:ind w:firstLine="0"/>
            </w:pPr>
            <w:r>
              <w:rPr>
                <w:rFonts w:ascii="Times New Roman" w:hAnsi="Times New Roman" w:eastAsia="宋体"/>
                <w:b w:val="0"/>
                <w:sz w:val="16"/>
              </w:rPr>
              <w:t>72.02</w:t>
            </w:r>
          </w:p>
        </w:tc>
        <w:tc>
          <w:tcPr>
            <w:tcW w:w="986" w:type="dxa"/>
            <w:tcBorders>
              <w:top w:val="nil"/>
              <w:left w:val="nil"/>
              <w:bottom w:val="nil"/>
              <w:right w:val="nil"/>
            </w:tcBorders>
            <w:vAlign w:val="center"/>
          </w:tcPr>
          <w:p w14:paraId="5C49732C">
            <w:pPr>
              <w:keepNext/>
              <w:spacing w:before="40" w:after="40" w:line="240" w:lineRule="auto"/>
              <w:ind w:firstLine="0"/>
            </w:pPr>
            <w:r>
              <w:rPr>
                <w:rFonts w:ascii="Times New Roman" w:hAnsi="Times New Roman" w:eastAsia="宋体"/>
                <w:b w:val="0"/>
                <w:sz w:val="16"/>
              </w:rPr>
              <w:t>95.76</w:t>
            </w:r>
          </w:p>
        </w:tc>
        <w:tc>
          <w:tcPr>
            <w:tcW w:w="986" w:type="dxa"/>
            <w:tcBorders>
              <w:top w:val="nil"/>
              <w:left w:val="nil"/>
              <w:bottom w:val="nil"/>
              <w:right w:val="nil"/>
            </w:tcBorders>
            <w:vAlign w:val="center"/>
          </w:tcPr>
          <w:p w14:paraId="738C7685">
            <w:pPr>
              <w:keepNext/>
              <w:spacing w:before="40" w:after="40" w:line="240" w:lineRule="auto"/>
              <w:ind w:firstLine="0"/>
            </w:pPr>
            <w:r>
              <w:rPr>
                <w:rFonts w:ascii="Times New Roman" w:hAnsi="Times New Roman" w:eastAsia="宋体"/>
                <w:b w:val="0"/>
                <w:sz w:val="16"/>
              </w:rPr>
              <w:t>65.73</w:t>
            </w:r>
          </w:p>
        </w:tc>
        <w:tc>
          <w:tcPr>
            <w:tcW w:w="986" w:type="dxa"/>
            <w:tcBorders>
              <w:top w:val="nil"/>
              <w:left w:val="nil"/>
              <w:bottom w:val="nil"/>
              <w:right w:val="nil"/>
            </w:tcBorders>
            <w:vAlign w:val="center"/>
          </w:tcPr>
          <w:p w14:paraId="79F0F3F7">
            <w:pPr>
              <w:keepNext/>
              <w:spacing w:before="40" w:after="40" w:line="240" w:lineRule="auto"/>
              <w:ind w:firstLine="0"/>
            </w:pPr>
            <w:r>
              <w:rPr>
                <w:rFonts w:ascii="Times New Roman" w:hAnsi="Times New Roman" w:eastAsia="宋体"/>
                <w:b w:val="0"/>
                <w:sz w:val="16"/>
              </w:rPr>
              <w:t>96.48</w:t>
            </w:r>
          </w:p>
        </w:tc>
        <w:tc>
          <w:tcPr>
            <w:tcW w:w="986" w:type="dxa"/>
            <w:tcBorders>
              <w:top w:val="nil"/>
              <w:left w:val="nil"/>
              <w:bottom w:val="nil"/>
              <w:right w:val="nil"/>
            </w:tcBorders>
            <w:vAlign w:val="center"/>
          </w:tcPr>
          <w:p w14:paraId="6BDA64E0">
            <w:pPr>
              <w:keepNext/>
              <w:spacing w:before="40" w:after="40" w:line="240" w:lineRule="auto"/>
              <w:ind w:firstLine="0"/>
            </w:pPr>
            <w:r>
              <w:rPr>
                <w:rFonts w:ascii="Times New Roman" w:hAnsi="Times New Roman" w:eastAsia="宋体"/>
                <w:b w:val="0"/>
                <w:sz w:val="16"/>
              </w:rPr>
              <w:t>73.44</w:t>
            </w:r>
          </w:p>
        </w:tc>
        <w:tc>
          <w:tcPr>
            <w:tcW w:w="986" w:type="dxa"/>
            <w:tcBorders>
              <w:top w:val="nil"/>
              <w:left w:val="nil"/>
              <w:bottom w:val="nil"/>
              <w:right w:val="nil"/>
            </w:tcBorders>
            <w:vAlign w:val="center"/>
          </w:tcPr>
          <w:p w14:paraId="38B9FD2F">
            <w:pPr>
              <w:keepNext/>
              <w:spacing w:before="40" w:after="40" w:line="240" w:lineRule="auto"/>
              <w:ind w:firstLine="0"/>
            </w:pPr>
            <w:r>
              <w:rPr>
                <w:rFonts w:ascii="Times New Roman" w:hAnsi="Times New Roman" w:eastAsia="宋体"/>
                <w:b w:val="0"/>
                <w:sz w:val="16"/>
              </w:rPr>
              <w:t>38.91</w:t>
            </w:r>
          </w:p>
        </w:tc>
        <w:tc>
          <w:tcPr>
            <w:tcW w:w="986" w:type="dxa"/>
            <w:tcBorders>
              <w:top w:val="nil"/>
              <w:left w:val="nil"/>
              <w:bottom w:val="nil"/>
              <w:right w:val="nil"/>
            </w:tcBorders>
            <w:vAlign w:val="center"/>
          </w:tcPr>
          <w:p w14:paraId="73D7F4F0">
            <w:pPr>
              <w:keepNext/>
              <w:spacing w:before="40" w:after="40" w:line="240" w:lineRule="auto"/>
              <w:ind w:firstLine="0"/>
            </w:pPr>
            <w:r>
              <w:rPr>
                <w:rFonts w:ascii="Times New Roman" w:hAnsi="Times New Roman" w:eastAsia="宋体"/>
                <w:b w:val="0"/>
                <w:sz w:val="16"/>
              </w:rPr>
              <w:t>54.18</w:t>
            </w:r>
          </w:p>
        </w:tc>
      </w:tr>
      <w:tr w14:paraId="2B66B28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73" w:type="dxa"/>
            <w:tcBorders>
              <w:top w:val="nil"/>
              <w:left w:val="nil"/>
              <w:bottom w:val="nil"/>
              <w:right w:val="nil"/>
            </w:tcBorders>
            <w:vAlign w:val="center"/>
          </w:tcPr>
          <w:p w14:paraId="199BAEF9">
            <w:pPr>
              <w:keepNext/>
              <w:spacing w:before="40" w:after="40" w:line="240" w:lineRule="auto"/>
              <w:ind w:firstLine="0"/>
            </w:pPr>
            <w:r>
              <w:rPr>
                <w:rFonts w:ascii="Times New Roman" w:hAnsi="Times New Roman" w:eastAsia="宋体"/>
                <w:b w:val="0"/>
                <w:sz w:val="16"/>
              </w:rPr>
              <w:t>ChangeOS†</w:t>
            </w:r>
          </w:p>
        </w:tc>
        <w:tc>
          <w:tcPr>
            <w:tcW w:w="986" w:type="dxa"/>
            <w:tcBorders>
              <w:top w:val="nil"/>
              <w:left w:val="nil"/>
              <w:bottom w:val="nil"/>
              <w:right w:val="nil"/>
            </w:tcBorders>
            <w:vAlign w:val="center"/>
          </w:tcPr>
          <w:p w14:paraId="29360627">
            <w:pPr>
              <w:keepNext/>
              <w:spacing w:before="40" w:after="40" w:line="240" w:lineRule="auto"/>
              <w:ind w:firstLine="0"/>
            </w:pPr>
            <w:r>
              <w:rPr>
                <w:rFonts w:ascii="Times New Roman" w:hAnsi="Times New Roman" w:eastAsia="宋体"/>
                <w:b w:val="0"/>
                <w:sz w:val="16"/>
              </w:rPr>
              <w:t>89.60</w:t>
            </w:r>
          </w:p>
        </w:tc>
        <w:tc>
          <w:tcPr>
            <w:tcW w:w="986" w:type="dxa"/>
            <w:tcBorders>
              <w:top w:val="nil"/>
              <w:left w:val="nil"/>
              <w:bottom w:val="nil"/>
              <w:right w:val="nil"/>
            </w:tcBorders>
            <w:vAlign w:val="center"/>
          </w:tcPr>
          <w:p w14:paraId="4CD18BC7">
            <w:pPr>
              <w:keepNext/>
              <w:spacing w:before="40" w:after="40" w:line="240" w:lineRule="auto"/>
              <w:ind w:firstLine="0"/>
            </w:pPr>
            <w:r>
              <w:rPr>
                <w:rFonts w:ascii="Times New Roman" w:hAnsi="Times New Roman" w:eastAsia="宋体"/>
                <w:b w:val="0"/>
                <w:sz w:val="16"/>
              </w:rPr>
              <w:t>71.88</w:t>
            </w:r>
          </w:p>
        </w:tc>
        <w:tc>
          <w:tcPr>
            <w:tcW w:w="986" w:type="dxa"/>
            <w:tcBorders>
              <w:top w:val="nil"/>
              <w:left w:val="nil"/>
              <w:bottom w:val="nil"/>
              <w:right w:val="nil"/>
            </w:tcBorders>
            <w:vAlign w:val="center"/>
          </w:tcPr>
          <w:p w14:paraId="3FB8C2B6">
            <w:pPr>
              <w:keepNext/>
              <w:spacing w:before="40" w:after="40" w:line="240" w:lineRule="auto"/>
              <w:ind w:firstLine="0"/>
            </w:pPr>
            <w:r>
              <w:rPr>
                <w:rFonts w:ascii="Times New Roman" w:hAnsi="Times New Roman" w:eastAsia="宋体"/>
                <w:b w:val="0"/>
                <w:sz w:val="16"/>
              </w:rPr>
              <w:t>95.84</w:t>
            </w:r>
          </w:p>
        </w:tc>
        <w:tc>
          <w:tcPr>
            <w:tcW w:w="986" w:type="dxa"/>
            <w:tcBorders>
              <w:top w:val="nil"/>
              <w:left w:val="nil"/>
              <w:bottom w:val="nil"/>
              <w:right w:val="nil"/>
            </w:tcBorders>
            <w:vAlign w:val="center"/>
          </w:tcPr>
          <w:p w14:paraId="781A84FB">
            <w:pPr>
              <w:keepNext/>
              <w:spacing w:before="40" w:after="40" w:line="240" w:lineRule="auto"/>
              <w:ind w:firstLine="0"/>
            </w:pPr>
            <w:r>
              <w:rPr>
                <w:rFonts w:ascii="Times New Roman" w:hAnsi="Times New Roman" w:eastAsia="宋体"/>
                <w:b w:val="0"/>
                <w:sz w:val="16"/>
              </w:rPr>
              <w:t>65.98</w:t>
            </w:r>
          </w:p>
        </w:tc>
        <w:tc>
          <w:tcPr>
            <w:tcW w:w="986" w:type="dxa"/>
            <w:tcBorders>
              <w:top w:val="nil"/>
              <w:left w:val="nil"/>
              <w:bottom w:val="nil"/>
              <w:right w:val="nil"/>
            </w:tcBorders>
            <w:vAlign w:val="center"/>
          </w:tcPr>
          <w:p w14:paraId="7F57CF01">
            <w:pPr>
              <w:keepNext/>
              <w:spacing w:before="40" w:after="40" w:line="240" w:lineRule="auto"/>
              <w:ind w:firstLine="0"/>
            </w:pPr>
            <w:r>
              <w:rPr>
                <w:rFonts w:ascii="Times New Roman" w:hAnsi="Times New Roman" w:eastAsia="宋体"/>
                <w:b w:val="0"/>
                <w:sz w:val="16"/>
              </w:rPr>
              <w:t>96.54</w:t>
            </w:r>
          </w:p>
        </w:tc>
        <w:tc>
          <w:tcPr>
            <w:tcW w:w="986" w:type="dxa"/>
            <w:tcBorders>
              <w:top w:val="nil"/>
              <w:left w:val="nil"/>
              <w:bottom w:val="nil"/>
              <w:right w:val="nil"/>
            </w:tcBorders>
            <w:vAlign w:val="center"/>
          </w:tcPr>
          <w:p w14:paraId="5E21E96F">
            <w:pPr>
              <w:keepNext/>
              <w:spacing w:before="40" w:after="40" w:line="240" w:lineRule="auto"/>
              <w:ind w:firstLine="0"/>
            </w:pPr>
            <w:r>
              <w:rPr>
                <w:rFonts w:ascii="Times New Roman" w:hAnsi="Times New Roman" w:eastAsia="宋体"/>
                <w:b w:val="0"/>
                <w:sz w:val="16"/>
              </w:rPr>
              <w:t>73.85</w:t>
            </w:r>
          </w:p>
        </w:tc>
        <w:tc>
          <w:tcPr>
            <w:tcW w:w="986" w:type="dxa"/>
            <w:tcBorders>
              <w:top w:val="nil"/>
              <w:left w:val="nil"/>
              <w:bottom w:val="nil"/>
              <w:right w:val="nil"/>
            </w:tcBorders>
            <w:vAlign w:val="center"/>
          </w:tcPr>
          <w:p w14:paraId="76089845">
            <w:pPr>
              <w:keepNext/>
              <w:spacing w:before="40" w:after="40" w:line="240" w:lineRule="auto"/>
              <w:ind w:firstLine="0"/>
            </w:pPr>
            <w:r>
              <w:rPr>
                <w:rFonts w:ascii="Times New Roman" w:hAnsi="Times New Roman" w:eastAsia="宋体"/>
                <w:b w:val="0"/>
                <w:sz w:val="16"/>
              </w:rPr>
              <w:t>38.99</w:t>
            </w:r>
          </w:p>
        </w:tc>
        <w:tc>
          <w:tcPr>
            <w:tcW w:w="986" w:type="dxa"/>
            <w:tcBorders>
              <w:top w:val="nil"/>
              <w:left w:val="nil"/>
              <w:bottom w:val="nil"/>
              <w:right w:val="nil"/>
            </w:tcBorders>
            <w:vAlign w:val="center"/>
          </w:tcPr>
          <w:p w14:paraId="673FC386">
            <w:pPr>
              <w:keepNext/>
              <w:spacing w:before="40" w:after="40" w:line="240" w:lineRule="auto"/>
              <w:ind w:firstLine="0"/>
            </w:pPr>
            <w:r>
              <w:rPr>
                <w:rFonts w:ascii="Times New Roman" w:hAnsi="Times New Roman" w:eastAsia="宋体"/>
                <w:b w:val="0"/>
                <w:sz w:val="16"/>
              </w:rPr>
              <w:t>54.53</w:t>
            </w:r>
          </w:p>
        </w:tc>
      </w:tr>
      <w:tr w14:paraId="2A2E4FB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73" w:type="dxa"/>
            <w:tcBorders>
              <w:top w:val="nil"/>
              <w:left w:val="nil"/>
              <w:bottom w:val="nil"/>
              <w:right w:val="nil"/>
            </w:tcBorders>
            <w:vAlign w:val="center"/>
          </w:tcPr>
          <w:p w14:paraId="6F1CB42C">
            <w:pPr>
              <w:keepNext/>
              <w:spacing w:before="40" w:after="40" w:line="240" w:lineRule="auto"/>
              <w:ind w:firstLine="0"/>
            </w:pPr>
            <w:r>
              <w:rPr>
                <w:rFonts w:ascii="Times New Roman" w:hAnsi="Times New Roman" w:eastAsia="宋体"/>
                <w:b w:val="0"/>
                <w:sz w:val="16"/>
              </w:rPr>
              <w:t>DamageFormer†</w:t>
            </w:r>
          </w:p>
        </w:tc>
        <w:tc>
          <w:tcPr>
            <w:tcW w:w="986" w:type="dxa"/>
            <w:tcBorders>
              <w:top w:val="nil"/>
              <w:left w:val="nil"/>
              <w:bottom w:val="nil"/>
              <w:right w:val="nil"/>
            </w:tcBorders>
            <w:vAlign w:val="center"/>
          </w:tcPr>
          <w:p w14:paraId="1D1777E5">
            <w:pPr>
              <w:keepNext/>
              <w:spacing w:before="40" w:after="40" w:line="240" w:lineRule="auto"/>
              <w:ind w:firstLine="0"/>
            </w:pPr>
            <w:r>
              <w:rPr>
                <w:rFonts w:ascii="Times New Roman" w:hAnsi="Times New Roman" w:eastAsia="宋体"/>
                <w:b w:val="0"/>
                <w:sz w:val="16"/>
              </w:rPr>
              <w:t>90.29</w:t>
            </w:r>
          </w:p>
        </w:tc>
        <w:tc>
          <w:tcPr>
            <w:tcW w:w="986" w:type="dxa"/>
            <w:tcBorders>
              <w:top w:val="nil"/>
              <w:left w:val="nil"/>
              <w:bottom w:val="nil"/>
              <w:right w:val="nil"/>
            </w:tcBorders>
            <w:vAlign w:val="center"/>
          </w:tcPr>
          <w:p w14:paraId="4EC695E9">
            <w:pPr>
              <w:keepNext/>
              <w:spacing w:before="40" w:after="40" w:line="240" w:lineRule="auto"/>
              <w:ind w:firstLine="0"/>
            </w:pPr>
            <w:r>
              <w:rPr>
                <w:rFonts w:ascii="Times New Roman" w:hAnsi="Times New Roman" w:eastAsia="宋体"/>
                <w:b w:val="0"/>
                <w:sz w:val="16"/>
              </w:rPr>
              <w:t>72.51</w:t>
            </w:r>
          </w:p>
        </w:tc>
        <w:tc>
          <w:tcPr>
            <w:tcW w:w="986" w:type="dxa"/>
            <w:tcBorders>
              <w:top w:val="nil"/>
              <w:left w:val="nil"/>
              <w:bottom w:val="nil"/>
              <w:right w:val="nil"/>
            </w:tcBorders>
            <w:vAlign w:val="center"/>
          </w:tcPr>
          <w:p w14:paraId="6A97AC69">
            <w:pPr>
              <w:keepNext/>
              <w:spacing w:before="40" w:after="40" w:line="240" w:lineRule="auto"/>
              <w:ind w:firstLine="0"/>
            </w:pPr>
            <w:r>
              <w:rPr>
                <w:rFonts w:ascii="Times New Roman" w:hAnsi="Times New Roman" w:eastAsia="宋体"/>
                <w:b w:val="0"/>
                <w:sz w:val="16"/>
              </w:rPr>
              <w:t>96.13</w:t>
            </w:r>
          </w:p>
        </w:tc>
        <w:tc>
          <w:tcPr>
            <w:tcW w:w="986" w:type="dxa"/>
            <w:tcBorders>
              <w:top w:val="nil"/>
              <w:left w:val="nil"/>
              <w:bottom w:val="nil"/>
              <w:right w:val="nil"/>
            </w:tcBorders>
            <w:vAlign w:val="center"/>
          </w:tcPr>
          <w:p w14:paraId="3369E394">
            <w:pPr>
              <w:keepNext/>
              <w:spacing w:before="40" w:after="40" w:line="240" w:lineRule="auto"/>
              <w:ind w:firstLine="0"/>
            </w:pPr>
            <w:r>
              <w:rPr>
                <w:rFonts w:ascii="Times New Roman" w:hAnsi="Times New Roman" w:eastAsia="宋体"/>
                <w:b w:val="0"/>
                <w:sz w:val="16"/>
              </w:rPr>
              <w:t>67.09</w:t>
            </w:r>
          </w:p>
        </w:tc>
        <w:tc>
          <w:tcPr>
            <w:tcW w:w="986" w:type="dxa"/>
            <w:tcBorders>
              <w:top w:val="nil"/>
              <w:left w:val="nil"/>
              <w:bottom w:val="nil"/>
              <w:right w:val="nil"/>
            </w:tcBorders>
            <w:vAlign w:val="center"/>
          </w:tcPr>
          <w:p w14:paraId="27C03F64">
            <w:pPr>
              <w:keepNext/>
              <w:spacing w:before="40" w:after="40" w:line="240" w:lineRule="auto"/>
              <w:ind w:firstLine="0"/>
            </w:pPr>
            <w:r>
              <w:rPr>
                <w:rFonts w:ascii="Times New Roman" w:hAnsi="Times New Roman" w:eastAsia="宋体"/>
                <w:b w:val="0"/>
                <w:sz w:val="16"/>
              </w:rPr>
              <w:t>96.87</w:t>
            </w:r>
          </w:p>
        </w:tc>
        <w:tc>
          <w:tcPr>
            <w:tcW w:w="986" w:type="dxa"/>
            <w:tcBorders>
              <w:top w:val="nil"/>
              <w:left w:val="nil"/>
              <w:bottom w:val="nil"/>
              <w:right w:val="nil"/>
            </w:tcBorders>
            <w:vAlign w:val="center"/>
          </w:tcPr>
          <w:p w14:paraId="0A2E4F1F">
            <w:pPr>
              <w:keepNext/>
              <w:spacing w:before="40" w:after="40" w:line="240" w:lineRule="auto"/>
              <w:ind w:firstLine="0"/>
            </w:pPr>
            <w:r>
              <w:rPr>
                <w:rFonts w:ascii="Times New Roman" w:hAnsi="Times New Roman" w:eastAsia="宋体"/>
                <w:b w:val="0"/>
                <w:sz w:val="16"/>
              </w:rPr>
              <w:t>75.04</w:t>
            </w:r>
          </w:p>
        </w:tc>
        <w:tc>
          <w:tcPr>
            <w:tcW w:w="986" w:type="dxa"/>
            <w:tcBorders>
              <w:top w:val="nil"/>
              <w:left w:val="nil"/>
              <w:bottom w:val="nil"/>
              <w:right w:val="nil"/>
            </w:tcBorders>
            <w:vAlign w:val="center"/>
          </w:tcPr>
          <w:p w14:paraId="2982941F">
            <w:pPr>
              <w:keepNext/>
              <w:spacing w:before="40" w:after="40" w:line="240" w:lineRule="auto"/>
              <w:ind w:firstLine="0"/>
            </w:pPr>
            <w:r>
              <w:rPr>
                <w:rFonts w:ascii="Times New Roman" w:hAnsi="Times New Roman" w:eastAsia="宋体"/>
                <w:b w:val="0"/>
                <w:sz w:val="16"/>
              </w:rPr>
              <w:t>39.86</w:t>
            </w:r>
          </w:p>
        </w:tc>
        <w:tc>
          <w:tcPr>
            <w:tcW w:w="986" w:type="dxa"/>
            <w:tcBorders>
              <w:top w:val="nil"/>
              <w:left w:val="nil"/>
              <w:bottom w:val="nil"/>
              <w:right w:val="nil"/>
            </w:tcBorders>
            <w:vAlign w:val="center"/>
          </w:tcPr>
          <w:p w14:paraId="0C82E921">
            <w:pPr>
              <w:keepNext/>
              <w:spacing w:before="40" w:after="40" w:line="240" w:lineRule="auto"/>
              <w:ind w:firstLine="0"/>
            </w:pPr>
            <w:r>
              <w:rPr>
                <w:rFonts w:ascii="Times New Roman" w:hAnsi="Times New Roman" w:eastAsia="宋体"/>
                <w:b w:val="0"/>
                <w:sz w:val="16"/>
              </w:rPr>
              <w:t>56.59</w:t>
            </w:r>
          </w:p>
        </w:tc>
      </w:tr>
      <w:tr w14:paraId="2C3CD56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73" w:type="dxa"/>
            <w:tcBorders>
              <w:top w:val="nil"/>
              <w:left w:val="nil"/>
              <w:bottom w:val="nil"/>
              <w:right w:val="nil"/>
            </w:tcBorders>
            <w:vAlign w:val="center"/>
          </w:tcPr>
          <w:p w14:paraId="4614FF9B">
            <w:pPr>
              <w:keepNext/>
              <w:spacing w:before="40" w:after="40" w:line="240" w:lineRule="auto"/>
              <w:ind w:firstLine="0"/>
            </w:pPr>
            <w:r>
              <w:rPr>
                <w:rFonts w:ascii="Times New Roman" w:hAnsi="Times New Roman" w:eastAsia="宋体"/>
                <w:b w:val="0"/>
                <w:sz w:val="16"/>
              </w:rPr>
              <w:t>ChangeMamba†</w:t>
            </w:r>
          </w:p>
        </w:tc>
        <w:tc>
          <w:tcPr>
            <w:tcW w:w="986" w:type="dxa"/>
            <w:tcBorders>
              <w:top w:val="nil"/>
              <w:left w:val="nil"/>
              <w:bottom w:val="nil"/>
              <w:right w:val="nil"/>
            </w:tcBorders>
            <w:vAlign w:val="center"/>
          </w:tcPr>
          <w:p w14:paraId="7A06EAFD">
            <w:pPr>
              <w:keepNext/>
              <w:spacing w:before="40" w:after="40" w:line="240" w:lineRule="auto"/>
              <w:ind w:firstLine="0"/>
            </w:pPr>
            <w:r>
              <w:rPr>
                <w:rFonts w:ascii="Times New Roman" w:hAnsi="Times New Roman" w:eastAsia="宋体"/>
                <w:b w:val="0"/>
                <w:sz w:val="16"/>
              </w:rPr>
              <w:t>90.90</w:t>
            </w:r>
          </w:p>
        </w:tc>
        <w:tc>
          <w:tcPr>
            <w:tcW w:w="986" w:type="dxa"/>
            <w:tcBorders>
              <w:top w:val="nil"/>
              <w:left w:val="nil"/>
              <w:bottom w:val="nil"/>
              <w:right w:val="nil"/>
            </w:tcBorders>
            <w:vAlign w:val="center"/>
          </w:tcPr>
          <w:p w14:paraId="4489B9CA">
            <w:pPr>
              <w:keepNext/>
              <w:spacing w:before="40" w:after="40" w:line="240" w:lineRule="auto"/>
              <w:ind w:firstLine="0"/>
            </w:pPr>
            <w:r>
              <w:rPr>
                <w:rFonts w:ascii="Times New Roman" w:hAnsi="Times New Roman" w:eastAsia="宋体"/>
                <w:b w:val="0"/>
                <w:sz w:val="16"/>
              </w:rPr>
              <w:t>72.70</w:t>
            </w:r>
          </w:p>
        </w:tc>
        <w:tc>
          <w:tcPr>
            <w:tcW w:w="986" w:type="dxa"/>
            <w:tcBorders>
              <w:top w:val="nil"/>
              <w:left w:val="nil"/>
              <w:bottom w:val="nil"/>
              <w:right w:val="nil"/>
            </w:tcBorders>
            <w:vAlign w:val="center"/>
          </w:tcPr>
          <w:p w14:paraId="1F8ACFA6">
            <w:pPr>
              <w:keepNext/>
              <w:spacing w:before="40" w:after="40" w:line="240" w:lineRule="auto"/>
              <w:ind w:firstLine="0"/>
            </w:pPr>
            <w:r>
              <w:rPr>
                <w:rFonts w:ascii="Times New Roman" w:hAnsi="Times New Roman" w:eastAsia="宋体"/>
                <w:b w:val="0"/>
                <w:sz w:val="16"/>
              </w:rPr>
              <w:t>96.22</w:t>
            </w:r>
          </w:p>
        </w:tc>
        <w:tc>
          <w:tcPr>
            <w:tcW w:w="986" w:type="dxa"/>
            <w:tcBorders>
              <w:top w:val="nil"/>
              <w:left w:val="nil"/>
              <w:bottom w:val="nil"/>
              <w:right w:val="nil"/>
            </w:tcBorders>
            <w:vAlign w:val="center"/>
          </w:tcPr>
          <w:p w14:paraId="5F613A82">
            <w:pPr>
              <w:keepNext/>
              <w:spacing w:before="40" w:after="40" w:line="240" w:lineRule="auto"/>
              <w:ind w:firstLine="0"/>
            </w:pPr>
            <w:r>
              <w:rPr>
                <w:rFonts w:ascii="Times New Roman" w:hAnsi="Times New Roman" w:eastAsia="宋体"/>
                <w:b w:val="0"/>
                <w:sz w:val="16"/>
              </w:rPr>
              <w:t>67.63</w:t>
            </w:r>
          </w:p>
        </w:tc>
        <w:tc>
          <w:tcPr>
            <w:tcW w:w="986" w:type="dxa"/>
            <w:tcBorders>
              <w:top w:val="nil"/>
              <w:left w:val="nil"/>
              <w:bottom w:val="nil"/>
              <w:right w:val="nil"/>
            </w:tcBorders>
            <w:vAlign w:val="center"/>
          </w:tcPr>
          <w:p w14:paraId="5D753E31">
            <w:pPr>
              <w:keepNext/>
              <w:spacing w:before="40" w:after="40" w:line="240" w:lineRule="auto"/>
              <w:ind w:firstLine="0"/>
            </w:pPr>
            <w:r>
              <w:rPr>
                <w:rFonts w:ascii="Times New Roman" w:hAnsi="Times New Roman" w:eastAsia="宋体"/>
                <w:b w:val="0"/>
                <w:sz w:val="16"/>
              </w:rPr>
              <w:t>96.96</w:t>
            </w:r>
          </w:p>
        </w:tc>
        <w:tc>
          <w:tcPr>
            <w:tcW w:w="986" w:type="dxa"/>
            <w:tcBorders>
              <w:top w:val="nil"/>
              <w:left w:val="nil"/>
              <w:bottom w:val="nil"/>
              <w:right w:val="nil"/>
            </w:tcBorders>
            <w:vAlign w:val="center"/>
          </w:tcPr>
          <w:p w14:paraId="7B3068E3">
            <w:pPr>
              <w:keepNext/>
              <w:spacing w:before="40" w:after="40" w:line="240" w:lineRule="auto"/>
              <w:ind w:firstLine="0"/>
            </w:pPr>
            <w:r>
              <w:rPr>
                <w:rFonts w:ascii="Times New Roman" w:hAnsi="Times New Roman" w:eastAsia="宋体"/>
                <w:b w:val="0"/>
                <w:sz w:val="16"/>
              </w:rPr>
              <w:t>75.59</w:t>
            </w:r>
          </w:p>
        </w:tc>
        <w:tc>
          <w:tcPr>
            <w:tcW w:w="986" w:type="dxa"/>
            <w:tcBorders>
              <w:top w:val="nil"/>
              <w:left w:val="nil"/>
              <w:bottom w:val="nil"/>
              <w:right w:val="nil"/>
            </w:tcBorders>
            <w:vAlign w:val="center"/>
          </w:tcPr>
          <w:p w14:paraId="1EF9190B">
            <w:pPr>
              <w:keepNext/>
              <w:spacing w:before="40" w:after="40" w:line="240" w:lineRule="auto"/>
              <w:ind w:firstLine="0"/>
            </w:pPr>
            <w:r>
              <w:rPr>
                <w:rFonts w:ascii="Times New Roman" w:hAnsi="Times New Roman" w:eastAsia="宋体"/>
                <w:b w:val="0"/>
                <w:sz w:val="16"/>
              </w:rPr>
              <w:t>40.05</w:t>
            </w:r>
          </w:p>
        </w:tc>
        <w:tc>
          <w:tcPr>
            <w:tcW w:w="986" w:type="dxa"/>
            <w:tcBorders>
              <w:top w:val="nil"/>
              <w:left w:val="nil"/>
              <w:bottom w:val="nil"/>
              <w:right w:val="nil"/>
            </w:tcBorders>
            <w:vAlign w:val="center"/>
          </w:tcPr>
          <w:p w14:paraId="616B102D">
            <w:pPr>
              <w:keepNext/>
              <w:spacing w:before="40" w:after="40" w:line="240" w:lineRule="auto"/>
              <w:ind w:firstLine="0"/>
            </w:pPr>
            <w:r>
              <w:rPr>
                <w:rFonts w:ascii="Times New Roman" w:hAnsi="Times New Roman" w:eastAsia="宋体"/>
                <w:b w:val="0"/>
                <w:sz w:val="16"/>
              </w:rPr>
              <w:t>57.91</w:t>
            </w:r>
          </w:p>
        </w:tc>
      </w:tr>
      <w:tr w14:paraId="7074C1A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73" w:type="dxa"/>
            <w:tcBorders>
              <w:top w:val="nil"/>
              <w:left w:val="nil"/>
              <w:bottom w:val="nil"/>
              <w:right w:val="nil"/>
            </w:tcBorders>
            <w:vAlign w:val="center"/>
          </w:tcPr>
          <w:p>
            <w:pPr>
              <w:ind w:firstLine="0"/>
            </w:pPr>
            <w:r>
              <w:rPr>
                <w:rFonts w:ascii="Times New Roman" w:hAnsi="Times New Roman" w:eastAsia="宋体"/>
                <w:sz w:val="16"/>
              </w:rPr>
              <w:t>MPF‡（本地Test）</w:t>
            </w:r>
          </w:p>
        </w:tc>
        <w:tc>
          <w:tcPr>
            <w:tcW w:w="986" w:type="dxa"/>
            <w:tcBorders>
              <w:top w:val="nil"/>
              <w:left w:val="nil"/>
              <w:bottom w:val="nil"/>
              <w:right w:val="nil"/>
            </w:tcBorders>
            <w:vAlign w:val="center"/>
          </w:tcPr>
          <w:p>
            <w:pPr>
              <w:ind w:firstLine="0"/>
            </w:pPr>
            <w:r>
              <w:rPr>
                <w:rFonts w:ascii="Times New Roman" w:hAnsi="Times New Roman" w:eastAsia="宋体"/>
                <w:sz w:val="16"/>
              </w:rPr>
              <w:t>90.70</w:t>
            </w:r>
          </w:p>
        </w:tc>
        <w:tc>
          <w:tcPr>
            <w:tcW w:w="986" w:type="dxa"/>
            <w:tcBorders>
              <w:top w:val="nil"/>
              <w:left w:val="nil"/>
              <w:bottom w:val="nil"/>
              <w:right w:val="nil"/>
            </w:tcBorders>
            <w:vAlign w:val="center"/>
          </w:tcPr>
          <w:p>
            <w:pPr>
              <w:ind w:firstLine="0"/>
            </w:pPr>
            <w:r>
              <w:rPr>
                <w:rFonts w:ascii="Times New Roman" w:hAnsi="Times New Roman" w:eastAsia="宋体"/>
                <w:sz w:val="16"/>
              </w:rPr>
              <w:t>73.29</w:t>
            </w:r>
          </w:p>
        </w:tc>
        <w:tc>
          <w:tcPr>
            <w:tcW w:w="986" w:type="dxa"/>
            <w:tcBorders>
              <w:top w:val="nil"/>
              <w:left w:val="nil"/>
              <w:bottom w:val="nil"/>
              <w:right w:val="nil"/>
            </w:tcBorders>
            <w:vAlign w:val="center"/>
          </w:tcPr>
          <w:p>
            <w:pPr>
              <w:ind w:firstLine="0"/>
            </w:pPr>
            <w:r>
              <w:rPr>
                <w:rFonts w:ascii="Times New Roman" w:hAnsi="Times New Roman" w:eastAsia="宋体"/>
                <w:sz w:val="16"/>
              </w:rPr>
              <w:t>96.31</w:t>
            </w:r>
          </w:p>
        </w:tc>
        <w:tc>
          <w:tcPr>
            <w:tcW w:w="986" w:type="dxa"/>
            <w:tcBorders>
              <w:top w:val="nil"/>
              <w:left w:val="nil"/>
              <w:bottom w:val="nil"/>
              <w:right w:val="nil"/>
            </w:tcBorders>
            <w:vAlign w:val="center"/>
          </w:tcPr>
          <w:p>
            <w:pPr>
              <w:ind w:firstLine="0"/>
            </w:pPr>
            <w:r>
              <w:rPr>
                <w:rFonts w:ascii="Times New Roman" w:hAnsi="Times New Roman" w:eastAsia="宋体"/>
                <w:sz w:val="16"/>
              </w:rPr>
              <w:t>68.54</w:t>
            </w:r>
          </w:p>
        </w:tc>
        <w:tc>
          <w:tcPr>
            <w:tcW w:w="986" w:type="dxa"/>
            <w:tcBorders>
              <w:top w:val="nil"/>
              <w:left w:val="nil"/>
              <w:bottom w:val="nil"/>
              <w:right w:val="nil"/>
            </w:tcBorders>
            <w:vAlign w:val="center"/>
          </w:tcPr>
          <w:p>
            <w:pPr>
              <w:ind w:firstLine="0"/>
            </w:pPr>
            <w:r>
              <w:rPr>
                <w:rFonts w:ascii="Times New Roman" w:hAnsi="Times New Roman" w:eastAsia="宋体"/>
                <w:sz w:val="16"/>
              </w:rPr>
              <w:t>96.99</w:t>
            </w:r>
          </w:p>
        </w:tc>
        <w:tc>
          <w:tcPr>
            <w:tcW w:w="986" w:type="dxa"/>
            <w:tcBorders>
              <w:top w:val="nil"/>
              <w:left w:val="nil"/>
              <w:bottom w:val="nil"/>
              <w:right w:val="nil"/>
            </w:tcBorders>
            <w:vAlign w:val="center"/>
          </w:tcPr>
          <w:p>
            <w:pPr>
              <w:ind w:firstLine="0"/>
            </w:pPr>
            <w:r>
              <w:rPr>
                <w:rFonts w:ascii="Times New Roman" w:hAnsi="Times New Roman" w:eastAsia="宋体"/>
                <w:sz w:val="16"/>
              </w:rPr>
              <w:t>76.24</w:t>
            </w:r>
          </w:p>
        </w:tc>
        <w:tc>
          <w:tcPr>
            <w:tcW w:w="986" w:type="dxa"/>
            <w:tcBorders>
              <w:top w:val="nil"/>
              <w:left w:val="nil"/>
              <w:bottom w:val="nil"/>
              <w:right w:val="nil"/>
            </w:tcBorders>
            <w:vAlign w:val="center"/>
          </w:tcPr>
          <w:p>
            <w:pPr>
              <w:ind w:firstLine="0"/>
            </w:pPr>
            <w:r>
              <w:rPr>
                <w:rFonts w:ascii="Times New Roman" w:hAnsi="Times New Roman" w:eastAsia="宋体"/>
                <w:sz w:val="16"/>
              </w:rPr>
              <w:t>42.21</w:t>
            </w:r>
          </w:p>
        </w:tc>
        <w:tc>
          <w:tcPr>
            <w:tcW w:w="986" w:type="dxa"/>
            <w:tcBorders>
              <w:top w:val="nil"/>
              <w:left w:val="nil"/>
              <w:bottom w:val="nil"/>
              <w:right w:val="nil"/>
            </w:tcBorders>
            <w:vAlign w:val="center"/>
          </w:tcPr>
          <w:p>
            <w:pPr>
              <w:ind w:firstLine="0"/>
            </w:pPr>
            <w:r>
              <w:rPr>
                <w:rFonts w:ascii="Times New Roman" w:hAnsi="Times New Roman" w:eastAsia="宋体"/>
                <w:sz w:val="16"/>
              </w:rPr>
              <w:t>58.72</w:t>
            </w:r>
          </w:p>
        </w:tc>
      </w:tr>
      <w:tr w14:paraId="00F666D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73" w:type="dxa"/>
            <w:tcBorders>
              <w:top w:val="nil"/>
              <w:left w:val="nil"/>
              <w:bottom w:val="single" w:color="000000" w:sz="10" w:space="0"/>
              <w:right w:val="nil"/>
            </w:tcBorders>
            <w:vAlign w:val="center"/>
          </w:tcPr>
          <w:p w14:paraId="3D06F14B">
            <w:pPr>
              <w:keepNext w:val="0"/>
              <w:spacing w:before="40" w:after="40" w:line="240" w:lineRule="auto"/>
              <w:ind w:firstLine="0"/>
            </w:pPr>
            <w:r>
              <w:rPr>
                <w:rFonts w:ascii="Times New Roman" w:hAnsi="Times New Roman" w:eastAsia="宋体"/>
                <w:b w:val="0"/>
                <w:sz w:val="16"/>
              </w:rPr>
              <w:t>Ours（完整）</w:t>
            </w:r>
          </w:p>
        </w:tc>
        <w:tc>
          <w:tcPr>
            <w:tcW w:w="986"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986"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986"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986"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986"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986"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986"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986"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r>
    </w:tbl>
    <w:p w14:paraId="1DA228A8">
      <w:pPr>
        <w:widowControl/>
      </w:pPr>
    </w:p>
    <w:p w14:paraId="700216F9">
      <w:pPr>
        <w:widowControl/>
      </w:pPr>
      <w:r>
        <w:rPr>
          <w:rFonts w:ascii="Times New Roman" w:hAnsi="Times New Roman" w:eastAsia="宋体"/>
          <w:sz w:val="21"/>
        </w:rPr>
        <w:t>表注：†为BRIGHT原文表5公开报告[2]，‡为用户确认同一MPF权重的完整Test汇总，本轮未重新执行推理。图5–8的MPF与该行模型身份对应，但各外部模型图列的本地权重不自动等同于公开表格的运行。SiamCRNN原表报告65.73%，打印分项均值为65.7525%，此处保留原文并披露差异。来源不同的分数差作为报告值比较，不解释为同种子、同预算的独立模块增益。</w:t>
      </w:r>
    </w:p>
    <w:p>
      <w:pPr>
        <w:widowControl/>
      </w:pPr>
      <w:r>
        <w:rPr>
          <w:rFonts w:ascii="Times New Roman" w:hAnsi="Times New Roman" w:eastAsia="宋体"/>
          <w:sz w:val="21"/>
        </w:rPr>
        <w:t>与公开DamageFormer报告比较，MPF的四类mIoU增加1.45个百分点；背景、完好、受损和毁坏IoU分别增加0.12、1.20、2.35和2.13个百分点。增量更多分布在受损和毁坏等级，而不是仅由背景提高驱动。定位F1和分类F1分别高0.41和0.78个百分点，OA高0.18个百分点。这里的IoU差不能进一步区分TP增加、FP下降或FN减少，原因分析还需要原始混淆矩阵和同像素预测。</w:t>
      </w:r>
    </w:p>
    <w:p>
      <w:pPr>
        <w:widowControl/>
      </w:pPr>
      <w:r>
        <w:rPr>
          <w:rFonts w:ascii="Times New Roman" w:hAnsi="Times New Roman" w:eastAsia="宋体"/>
          <w:sz w:val="21"/>
        </w:rPr>
        <w:t>与公开ChangeMamba报告比较，MPF四类mIoU高0.91个百分点，受损IoU高2.16个百分点、毁坏IoU高0.81个百分点；但定位F1低0.20个百分点。因此，不宜表述为所有指标领先。MPF前景三类均值为(76.24＋42.21＋58.72)/3≈59.0567%，与68.54%的差异来自是否包含背景；不能把前景与四类指标直接相减作为模型提升，也不能把Val前景成绩与Test四类成绩混作同口径比较。</w:t>
      </w:r>
    </w:p>
    <w:p w14:paraId="75E5EAB9">
      <w:pPr>
        <w:widowControl/>
      </w:pPr>
      <w:r>
        <w:rPr>
          <w:rFonts w:ascii="Times New Roman" w:hAnsi="Times New Roman" w:eastAsia="宋体"/>
          <w:sz w:val="21"/>
        </w:rPr>
        <w:t>与表1配合，图5保留18个真实测试裁窗，按地震与冲突、火山与山火、飓风/洪水/爆炸三个子图展示。每行各列使用相同坐标；模型列是总体方法集合的子集，因此ChangeOS或ChangeMamba未出现在图中不构成矛盾。最后一列统一标为MPF，其来源记录绑定像素前端best_val_miou.pth；不能因旧图写“Ours (A1)”就将它改称完整检索模型。</w:t>
      </w:r>
    </w:p>
    <w:p w14:paraId="3C254680">
      <w:pPr>
        <w:keepNext/>
        <w:widowControl/>
        <w:ind w:firstLine="0"/>
        <w:jc w:val="center"/>
      </w:pPr>
      <w:r>
        <w:drawing>
          <wp:inline distT="0" distB="0" distL="114300" distR="114300">
            <wp:extent cx="5488305" cy="40430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rcRect l="11869" b="6519"/>
                    <a:stretch>
                      <a:fillRect/>
                    </a:stretch>
                  </pic:blipFill>
                  <pic:spPr>
                    <a:xfrm>
                      <a:off x="0" y="0"/>
                      <a:ext cx="5488305" cy="4043045"/>
                    </a:xfrm>
                    <a:prstGeom prst="rect">
                      <a:avLst/>
                    </a:prstGeom>
                  </pic:spPr>
                </pic:pic>
              </a:graphicData>
            </a:graphic>
          </wp:inline>
        </w:drawing>
      </w:r>
    </w:p>
    <w:p w14:paraId="461B3FE9">
      <w:pPr>
        <w:pStyle w:val="15"/>
        <w:keepNext w:val="0"/>
        <w:widowControl/>
      </w:pPr>
      <w:r>
        <w:rPr>
          <w:rFonts w:ascii="Times New Roman" w:hAnsi="Times New Roman" w:eastAsia="宋体"/>
          <w:sz w:val="19"/>
        </w:rPr>
        <w:t>图5(a)　多灾种所选测试裁窗：地震与冲突。每行依次为灾前RGB、灾后SAR、GT、U-Net、DeepLabv3+、SiamAttnUNet、SiamCRNN、DamageFormer、MPF。白、绿、浅棕、红依次表示背景、完好、受损、毁坏；每个子图6例。不同裁窗按相同显示尺寸排版，不表示相同物理尺度。</w:t>
      </w:r>
    </w:p>
    <w:p w14:paraId="4733108B">
      <w:pPr>
        <w:widowControl/>
      </w:pPr>
      <w:r>
        <w:rPr>
          <w:rFonts w:ascii="Times New Roman" w:hAnsi="Times New Roman" w:eastAsia="宋体"/>
          <w:sz w:val="21"/>
        </w:rPr>
        <w:t>图5(a)前两行的土耳其样例同时包含完好、受损与毁坏建筑。即使建筑范围相近，不同模型仍有不同等级分配：首行DamageFormer在所选屋顶附近保留红绿混合，而MPF呈现较多浅棕色受损区域。能登第三行具有成片毁坏标签，多数对照将相当部分判为绿色完好，MPF在对应位置恢复较大范围红色；但绿色残留与边缘偏差仍然存在。乌克兰两行以完好为主，各模型主体范围接近，细小损毁仍有遗漏。由此可见，局部差异既有等级判断，也有定位，不宜概括为所有灾种一致改善。</w:t>
      </w:r>
    </w:p>
    <w:p w14:paraId="29F65AF4">
      <w:pPr>
        <w:keepNext/>
        <w:widowControl/>
        <w:ind w:firstLine="0"/>
        <w:jc w:val="center"/>
      </w:pPr>
      <w:r>
        <w:drawing>
          <wp:inline distT="0" distB="0" distL="114300" distR="114300">
            <wp:extent cx="5500370" cy="40138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rcRect l="11482" r="194" b="7194"/>
                    <a:stretch>
                      <a:fillRect/>
                    </a:stretch>
                  </pic:blipFill>
                  <pic:spPr>
                    <a:xfrm>
                      <a:off x="0" y="0"/>
                      <a:ext cx="5500370" cy="4013835"/>
                    </a:xfrm>
                    <a:prstGeom prst="rect">
                      <a:avLst/>
                    </a:prstGeom>
                  </pic:spPr>
                </pic:pic>
              </a:graphicData>
            </a:graphic>
          </wp:inline>
        </w:drawing>
      </w:r>
    </w:p>
    <w:p w14:paraId="3254A31B">
      <w:pPr>
        <w:pStyle w:val="15"/>
        <w:keepNext w:val="0"/>
        <w:widowControl/>
      </w:pPr>
      <w:r>
        <w:rPr>
          <w:rFonts w:ascii="Times New Roman" w:hAnsi="Times New Roman" w:eastAsia="宋体"/>
          <w:sz w:val="19"/>
        </w:rPr>
        <w:t>图5(b)　多灾种所选测试裁窗：火山与山火。每行依次为灾前RGB、灾后SAR、GT、U-Net、DeepLabv3+、SiamAttnUNet、SiamCRNN、DamageFormer、MPF。白、绿、浅棕、红依次表示背景、完好、受损、毁坏；每个子图6例。不同裁窗按相同显示尺寸排版，不表示相同物理尺度。</w:t>
      </w:r>
    </w:p>
    <w:p w14:paraId="7B864488">
      <w:pPr>
        <w:widowControl/>
      </w:pPr>
      <w:r>
        <w:rPr>
          <w:rFonts w:ascii="Times New Roman" w:hAnsi="Times New Roman" w:eastAsia="宋体"/>
          <w:sz w:val="21"/>
        </w:rPr>
        <w:t>图5(b)中的刚果样例包含相邻完好与毁坏建筑，应比较红绿交界与GT，而不是把红色更多当作更好。La Palma具有大面积背景，部分模型在稀疏建筑附近产生附加损毁斑块，需计入背景假阳性。夏威夷山火包含受损与毁坏混合建筑，各模型仍有等级互换和漏检，MPF也未消除这些错误。这些例子提示，图像解释应同时包含救回、误改和背景误报，避免只报告成功区域。</w:t>
      </w:r>
    </w:p>
    <w:p w14:paraId="159CFE7A">
      <w:pPr>
        <w:keepNext/>
        <w:widowControl/>
        <w:ind w:firstLine="0"/>
        <w:jc w:val="center"/>
      </w:pPr>
      <w:r>
        <w:drawing>
          <wp:inline distT="0" distB="0" distL="114300" distR="114300">
            <wp:extent cx="5523865" cy="40805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rcRect l="11298" b="5653"/>
                    <a:stretch>
                      <a:fillRect/>
                    </a:stretch>
                  </pic:blipFill>
                  <pic:spPr>
                    <a:xfrm>
                      <a:off x="0" y="0"/>
                      <a:ext cx="5523865" cy="4080510"/>
                    </a:xfrm>
                    <a:prstGeom prst="rect">
                      <a:avLst/>
                    </a:prstGeom>
                  </pic:spPr>
                </pic:pic>
              </a:graphicData>
            </a:graphic>
          </wp:inline>
        </w:drawing>
      </w:r>
    </w:p>
    <w:p w14:paraId="2905F405">
      <w:pPr>
        <w:pStyle w:val="15"/>
        <w:keepNext w:val="0"/>
        <w:widowControl/>
      </w:pPr>
      <w:r>
        <w:rPr>
          <w:rFonts w:ascii="Times New Roman" w:hAnsi="Times New Roman" w:eastAsia="宋体"/>
          <w:sz w:val="19"/>
        </w:rPr>
        <w:t>图5(c)　多灾种所选测试裁窗：飓风、洪水与爆炸。每行依次为灾前RGB、灾后SAR、GT、U-Net、DeepLabv3+、SiamAttnUNet、SiamCRNN、DamageFormer、MPF。白、绿、浅棕、红依次表示背景、完好、受损、毁坏；每个子图6例。不同裁窗按相同显示尺寸排版，不表示相同物理尺度。</w:t>
      </w:r>
    </w:p>
    <w:p w14:paraId="4FB46F0B">
      <w:pPr>
        <w:widowControl/>
      </w:pPr>
      <w:r>
        <w:rPr>
          <w:rFonts w:ascii="Times New Roman" w:hAnsi="Times New Roman" w:eastAsia="宋体"/>
          <w:sz w:val="21"/>
        </w:rPr>
        <w:t>图5(c)墨西哥样例的大面积受损主体在多数方法中能够保留，但局部毁坏仍有遗漏。缅甸两行建筑稀疏且较小，缩略图不足以评价损毁恢复，需要同坐标放大。利比亚样例中受损区域会混入完好或毁坏；Bata样例中仍可见毁坏被判为完好，MPF也存在剩余错误。图5所示是具体错误形态，不能由18个所选裁窗推出整个Test、事件或稀有等级的总体提升。</w:t>
      </w:r>
    </w:p>
    <w:p w14:paraId="61FED344">
      <w:pPr>
        <w:widowControl/>
      </w:pPr>
      <w:r>
        <w:rPr>
          <w:rFonts w:ascii="Times New Roman" w:hAnsi="Times New Roman" w:eastAsia="宋体"/>
          <w:sz w:val="21"/>
        </w:rPr>
        <w:t>表1与图5互为补充：已确认MPF的全量Test成绩为68.54%，图5说明该像素前端在所选位置呈现何种差异。图像选例不能解释总体增量中的全部像素来源；尤其毁坏大块恢复、受损屋顶一致性和背景误报可能同时出现。完整框架的定量及定性结论，仍需在相同Test协议和同一窗口补充Ours实际输出，不能仅修改图列名称。</w:t>
      </w:r>
    </w:p>
    <w:p w14:paraId="1F989390">
      <w:pPr>
        <w:pStyle w:val="4"/>
        <w:widowControl/>
      </w:pPr>
      <w:r>
        <w:rPr>
          <w:rFonts w:ascii="Times New Roman" w:hAnsi="Times New Roman" w:eastAsia="宋体"/>
          <w:sz w:val="21"/>
        </w:rPr>
        <w:t>C. 递进配置汇总与三类局部误差</w:t>
      </w:r>
    </w:p>
    <w:p w14:paraId="73C24D86">
      <w:pPr>
        <w:widowControl/>
      </w:pPr>
      <w:r>
        <w:rPr>
          <w:rFonts w:ascii="Times New Roman" w:hAnsi="Times New Roman" w:eastAsia="宋体"/>
          <w:sz w:val="21"/>
        </w:rPr>
        <w:t>表2(a)保留base、region、roi、memory四个既有配置。用户已确认roi对应MPF像素前端及图中权重，因此统一写为“MPF（原roi）”；不再把它自动当成本文结构Adapter的单独开关版本。其他旧配置的前端、Q、Reader、支持规则和预算仍需运行记录确认。这张表用于分析既有报告的变化，不能直接代替表3–6针对当前新框架的机制消融。</w:t>
      </w:r>
    </w:p>
    <w:p w14:paraId="1BC2132A">
      <w:pPr>
        <w:pStyle w:val="15"/>
        <w:keepNext/>
        <w:widowControl/>
      </w:pPr>
      <w:r>
        <w:rPr>
          <w:rFonts w:ascii="Times New Roman" w:hAnsi="Times New Roman" w:eastAsia="宋体"/>
          <w:sz w:val="19"/>
        </w:rPr>
        <w:t>表2(a)　既有配置结果汇总（%，MPF身份已由用户确认）</w:t>
      </w:r>
    </w:p>
    <w:tbl>
      <w:tblPr>
        <w:tblStyle w:val="33"/>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49"/>
        <w:gridCol w:w="939"/>
        <w:gridCol w:w="939"/>
        <w:gridCol w:w="939"/>
        <w:gridCol w:w="939"/>
        <w:gridCol w:w="939"/>
        <w:gridCol w:w="939"/>
        <w:gridCol w:w="939"/>
        <w:gridCol w:w="939"/>
      </w:tblGrid>
      <w:tr w14:paraId="2DEC6D5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349" w:type="dxa"/>
            <w:tcBorders>
              <w:top w:val="single" w:color="000000" w:sz="10" w:space="0"/>
              <w:left w:val="nil"/>
              <w:bottom w:val="single" w:color="000000" w:sz="4" w:space="0"/>
              <w:right w:val="nil"/>
            </w:tcBorders>
            <w:vAlign w:val="center"/>
          </w:tcPr>
          <w:p w14:paraId="51B51828">
            <w:pPr>
              <w:keepNext/>
              <w:spacing w:before="40" w:after="40" w:line="240" w:lineRule="auto"/>
              <w:ind w:firstLine="0"/>
            </w:pPr>
            <w:r>
              <w:rPr>
                <w:rFonts w:ascii="Times New Roman" w:hAnsi="Times New Roman" w:eastAsia="宋体"/>
                <w:b/>
                <w:sz w:val="16"/>
              </w:rPr>
              <w:t>配置</w:t>
            </w:r>
          </w:p>
        </w:tc>
        <w:tc>
          <w:tcPr>
            <w:tcW w:w="939" w:type="dxa"/>
            <w:tcBorders>
              <w:top w:val="single" w:color="000000" w:sz="10" w:space="0"/>
              <w:left w:val="nil"/>
              <w:bottom w:val="single" w:color="000000" w:sz="4" w:space="0"/>
              <w:right w:val="nil"/>
            </w:tcBorders>
            <w:vAlign w:val="center"/>
          </w:tcPr>
          <w:p w14:paraId="3495F606">
            <w:pPr>
              <w:keepNext/>
              <w:spacing w:before="40" w:after="40" w:line="240" w:lineRule="auto"/>
              <w:ind w:firstLine="0"/>
            </w:pPr>
            <w:r>
              <w:rPr>
                <w:rFonts w:ascii="Times New Roman" w:hAnsi="Times New Roman" w:eastAsia="宋体"/>
                <w:b/>
                <w:sz w:val="16"/>
              </w:rPr>
              <w:t>定位F1</w:t>
            </w:r>
          </w:p>
        </w:tc>
        <w:tc>
          <w:tcPr>
            <w:tcW w:w="939" w:type="dxa"/>
            <w:tcBorders>
              <w:top w:val="single" w:color="000000" w:sz="10" w:space="0"/>
              <w:left w:val="nil"/>
              <w:bottom w:val="single" w:color="000000" w:sz="4" w:space="0"/>
              <w:right w:val="nil"/>
            </w:tcBorders>
            <w:vAlign w:val="center"/>
          </w:tcPr>
          <w:p w14:paraId="149EC17B">
            <w:pPr>
              <w:keepNext/>
              <w:spacing w:before="40" w:after="40" w:line="240" w:lineRule="auto"/>
              <w:ind w:firstLine="0"/>
            </w:pPr>
            <w:r>
              <w:rPr>
                <w:rFonts w:ascii="Times New Roman" w:hAnsi="Times New Roman" w:eastAsia="宋体"/>
                <w:b/>
                <w:sz w:val="16"/>
              </w:rPr>
              <w:t>分类F1</w:t>
            </w:r>
          </w:p>
        </w:tc>
        <w:tc>
          <w:tcPr>
            <w:tcW w:w="939" w:type="dxa"/>
            <w:tcBorders>
              <w:top w:val="single" w:color="000000" w:sz="10" w:space="0"/>
              <w:left w:val="nil"/>
              <w:bottom w:val="single" w:color="000000" w:sz="4" w:space="0"/>
              <w:right w:val="nil"/>
            </w:tcBorders>
            <w:vAlign w:val="center"/>
          </w:tcPr>
          <w:p w14:paraId="3CF04A17">
            <w:pPr>
              <w:keepNext/>
              <w:spacing w:before="40" w:after="40" w:line="240" w:lineRule="auto"/>
              <w:ind w:firstLine="0"/>
            </w:pPr>
            <w:r>
              <w:rPr>
                <w:rFonts w:ascii="Times New Roman" w:hAnsi="Times New Roman" w:eastAsia="宋体"/>
                <w:b/>
                <w:sz w:val="16"/>
              </w:rPr>
              <w:t>OA</w:t>
            </w:r>
          </w:p>
        </w:tc>
        <w:tc>
          <w:tcPr>
            <w:tcW w:w="939" w:type="dxa"/>
            <w:tcBorders>
              <w:top w:val="single" w:color="000000" w:sz="10" w:space="0"/>
              <w:left w:val="nil"/>
              <w:bottom w:val="single" w:color="000000" w:sz="4" w:space="0"/>
              <w:right w:val="nil"/>
            </w:tcBorders>
            <w:vAlign w:val="center"/>
          </w:tcPr>
          <w:p w14:paraId="0D43ECE2">
            <w:pPr>
              <w:keepNext/>
              <w:spacing w:before="40" w:after="40" w:line="240" w:lineRule="auto"/>
              <w:ind w:firstLine="0"/>
            </w:pPr>
            <w:r>
              <w:rPr>
                <w:rFonts w:ascii="Times New Roman" w:hAnsi="Times New Roman" w:eastAsia="宋体"/>
                <w:b/>
                <w:sz w:val="16"/>
              </w:rPr>
              <w:t>四类mIoU</w:t>
            </w:r>
          </w:p>
        </w:tc>
        <w:tc>
          <w:tcPr>
            <w:tcW w:w="939" w:type="dxa"/>
            <w:tcBorders>
              <w:top w:val="single" w:color="000000" w:sz="10" w:space="0"/>
              <w:left w:val="nil"/>
              <w:bottom w:val="single" w:color="000000" w:sz="4" w:space="0"/>
              <w:right w:val="nil"/>
            </w:tcBorders>
            <w:vAlign w:val="center"/>
          </w:tcPr>
          <w:p w14:paraId="75779B7A">
            <w:pPr>
              <w:keepNext/>
              <w:spacing w:before="40" w:after="40" w:line="240" w:lineRule="auto"/>
              <w:ind w:firstLine="0"/>
            </w:pPr>
            <w:r>
              <w:rPr>
                <w:rFonts w:ascii="Times New Roman" w:hAnsi="Times New Roman" w:eastAsia="宋体"/>
                <w:b/>
                <w:sz w:val="16"/>
              </w:rPr>
              <w:t>背景IoU</w:t>
            </w:r>
          </w:p>
        </w:tc>
        <w:tc>
          <w:tcPr>
            <w:tcW w:w="939" w:type="dxa"/>
            <w:tcBorders>
              <w:top w:val="single" w:color="000000" w:sz="10" w:space="0"/>
              <w:left w:val="nil"/>
              <w:bottom w:val="single" w:color="000000" w:sz="4" w:space="0"/>
              <w:right w:val="nil"/>
            </w:tcBorders>
            <w:vAlign w:val="center"/>
          </w:tcPr>
          <w:p w14:paraId="548BA1DA">
            <w:pPr>
              <w:keepNext/>
              <w:spacing w:before="40" w:after="40" w:line="240" w:lineRule="auto"/>
              <w:ind w:firstLine="0"/>
            </w:pPr>
            <w:r>
              <w:rPr>
                <w:rFonts w:ascii="Times New Roman" w:hAnsi="Times New Roman" w:eastAsia="宋体"/>
                <w:b/>
                <w:sz w:val="16"/>
              </w:rPr>
              <w:t>完好IoU</w:t>
            </w:r>
          </w:p>
        </w:tc>
        <w:tc>
          <w:tcPr>
            <w:tcW w:w="939" w:type="dxa"/>
            <w:tcBorders>
              <w:top w:val="single" w:color="000000" w:sz="10" w:space="0"/>
              <w:left w:val="nil"/>
              <w:bottom w:val="single" w:color="000000" w:sz="4" w:space="0"/>
              <w:right w:val="nil"/>
            </w:tcBorders>
            <w:vAlign w:val="center"/>
          </w:tcPr>
          <w:p w14:paraId="3623A586">
            <w:pPr>
              <w:keepNext/>
              <w:spacing w:before="40" w:after="40" w:line="240" w:lineRule="auto"/>
              <w:ind w:firstLine="0"/>
            </w:pPr>
            <w:r>
              <w:rPr>
                <w:rFonts w:ascii="Times New Roman" w:hAnsi="Times New Roman" w:eastAsia="宋体"/>
                <w:b/>
                <w:sz w:val="16"/>
              </w:rPr>
              <w:t>受损IoU</w:t>
            </w:r>
          </w:p>
        </w:tc>
        <w:tc>
          <w:tcPr>
            <w:tcW w:w="939" w:type="dxa"/>
            <w:tcBorders>
              <w:top w:val="single" w:color="000000" w:sz="10" w:space="0"/>
              <w:left w:val="nil"/>
              <w:bottom w:val="single" w:color="000000" w:sz="4" w:space="0"/>
              <w:right w:val="nil"/>
            </w:tcBorders>
            <w:vAlign w:val="center"/>
          </w:tcPr>
          <w:p w14:paraId="72460909">
            <w:pPr>
              <w:keepNext/>
              <w:spacing w:before="40" w:after="40" w:line="240" w:lineRule="auto"/>
              <w:ind w:firstLine="0"/>
            </w:pPr>
            <w:r>
              <w:rPr>
                <w:rFonts w:ascii="Times New Roman" w:hAnsi="Times New Roman" w:eastAsia="宋体"/>
                <w:b/>
                <w:sz w:val="16"/>
              </w:rPr>
              <w:t>毁坏IoU</w:t>
            </w:r>
          </w:p>
        </w:tc>
      </w:tr>
      <w:tr w14:paraId="3538547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49" w:type="dxa"/>
            <w:tcBorders>
              <w:top w:val="nil"/>
              <w:left w:val="nil"/>
              <w:bottom w:val="nil"/>
              <w:right w:val="nil"/>
            </w:tcBorders>
            <w:vAlign w:val="center"/>
          </w:tcPr>
          <w:p>
            <w:pPr>
              <w:ind w:firstLine="0"/>
            </w:pPr>
            <w:r>
              <w:rPr>
                <w:rFonts w:ascii="Times New Roman" w:hAnsi="Times New Roman" w:eastAsia="宋体"/>
                <w:sz w:val="16"/>
              </w:rPr>
              <w:t>基础模型（base）</w:t>
            </w:r>
          </w:p>
        </w:tc>
        <w:tc>
          <w:tcPr>
            <w:tcW w:w="939" w:type="dxa"/>
            <w:tcBorders>
              <w:top w:val="nil"/>
              <w:left w:val="nil"/>
              <w:bottom w:val="nil"/>
              <w:right w:val="nil"/>
            </w:tcBorders>
            <w:vAlign w:val="center"/>
          </w:tcPr>
          <w:p w14:paraId="19102147">
            <w:pPr>
              <w:keepNext/>
              <w:spacing w:before="40" w:after="40" w:line="240" w:lineRule="auto"/>
              <w:ind w:firstLine="0"/>
            </w:pPr>
            <w:r>
              <w:rPr>
                <w:rFonts w:ascii="Times New Roman" w:hAnsi="Times New Roman" w:eastAsia="宋体"/>
                <w:b w:val="0"/>
                <w:sz w:val="16"/>
              </w:rPr>
              <w:t>90.29</w:t>
            </w:r>
          </w:p>
        </w:tc>
        <w:tc>
          <w:tcPr>
            <w:tcW w:w="939" w:type="dxa"/>
            <w:tcBorders>
              <w:top w:val="nil"/>
              <w:left w:val="nil"/>
              <w:bottom w:val="nil"/>
              <w:right w:val="nil"/>
            </w:tcBorders>
            <w:vAlign w:val="center"/>
          </w:tcPr>
          <w:p w14:paraId="119ECE1D">
            <w:pPr>
              <w:keepNext/>
              <w:spacing w:before="40" w:after="40" w:line="240" w:lineRule="auto"/>
              <w:ind w:firstLine="0"/>
            </w:pPr>
            <w:r>
              <w:rPr>
                <w:rFonts w:ascii="Times New Roman" w:hAnsi="Times New Roman" w:eastAsia="宋体"/>
                <w:b w:val="0"/>
                <w:sz w:val="16"/>
              </w:rPr>
              <w:t>72.51</w:t>
            </w:r>
          </w:p>
        </w:tc>
        <w:tc>
          <w:tcPr>
            <w:tcW w:w="939" w:type="dxa"/>
            <w:tcBorders>
              <w:top w:val="nil"/>
              <w:left w:val="nil"/>
              <w:bottom w:val="nil"/>
              <w:right w:val="nil"/>
            </w:tcBorders>
            <w:vAlign w:val="center"/>
          </w:tcPr>
          <w:p w14:paraId="477CB249">
            <w:pPr>
              <w:keepNext/>
              <w:spacing w:before="40" w:after="40" w:line="240" w:lineRule="auto"/>
              <w:ind w:firstLine="0"/>
            </w:pPr>
            <w:r>
              <w:rPr>
                <w:rFonts w:ascii="Times New Roman" w:hAnsi="Times New Roman" w:eastAsia="宋体"/>
                <w:b w:val="0"/>
                <w:sz w:val="16"/>
              </w:rPr>
              <w:t>96.12</w:t>
            </w:r>
          </w:p>
        </w:tc>
        <w:tc>
          <w:tcPr>
            <w:tcW w:w="939" w:type="dxa"/>
            <w:tcBorders>
              <w:top w:val="nil"/>
              <w:left w:val="nil"/>
              <w:bottom w:val="nil"/>
              <w:right w:val="nil"/>
            </w:tcBorders>
            <w:vAlign w:val="center"/>
          </w:tcPr>
          <w:p w14:paraId="7BDBDEE7">
            <w:pPr>
              <w:keepNext/>
              <w:spacing w:before="40" w:after="40" w:line="240" w:lineRule="auto"/>
              <w:ind w:firstLine="0"/>
            </w:pPr>
            <w:r>
              <w:rPr>
                <w:rFonts w:ascii="Times New Roman" w:hAnsi="Times New Roman" w:eastAsia="宋体"/>
                <w:b w:val="0"/>
                <w:sz w:val="16"/>
              </w:rPr>
              <w:t>67.09</w:t>
            </w:r>
          </w:p>
        </w:tc>
        <w:tc>
          <w:tcPr>
            <w:tcW w:w="939" w:type="dxa"/>
            <w:tcBorders>
              <w:top w:val="nil"/>
              <w:left w:val="nil"/>
              <w:bottom w:val="nil"/>
              <w:right w:val="nil"/>
            </w:tcBorders>
            <w:vAlign w:val="center"/>
          </w:tcPr>
          <w:p w14:paraId="368EE6D9">
            <w:pPr>
              <w:keepNext/>
              <w:spacing w:before="40" w:after="40" w:line="240" w:lineRule="auto"/>
              <w:ind w:firstLine="0"/>
            </w:pPr>
            <w:r>
              <w:rPr>
                <w:rFonts w:ascii="Times New Roman" w:hAnsi="Times New Roman" w:eastAsia="宋体"/>
                <w:b w:val="0"/>
                <w:sz w:val="16"/>
              </w:rPr>
              <w:t>96.87</w:t>
            </w:r>
          </w:p>
        </w:tc>
        <w:tc>
          <w:tcPr>
            <w:tcW w:w="939" w:type="dxa"/>
            <w:tcBorders>
              <w:top w:val="nil"/>
              <w:left w:val="nil"/>
              <w:bottom w:val="nil"/>
              <w:right w:val="nil"/>
            </w:tcBorders>
            <w:vAlign w:val="center"/>
          </w:tcPr>
          <w:p w14:paraId="0C78983B">
            <w:pPr>
              <w:keepNext/>
              <w:spacing w:before="40" w:after="40" w:line="240" w:lineRule="auto"/>
              <w:ind w:firstLine="0"/>
            </w:pPr>
            <w:r>
              <w:rPr>
                <w:rFonts w:ascii="Times New Roman" w:hAnsi="Times New Roman" w:eastAsia="宋体"/>
                <w:b w:val="0"/>
                <w:sz w:val="16"/>
              </w:rPr>
              <w:t>75.04</w:t>
            </w:r>
          </w:p>
        </w:tc>
        <w:tc>
          <w:tcPr>
            <w:tcW w:w="939" w:type="dxa"/>
            <w:tcBorders>
              <w:top w:val="nil"/>
              <w:left w:val="nil"/>
              <w:bottom w:val="nil"/>
              <w:right w:val="nil"/>
            </w:tcBorders>
            <w:vAlign w:val="center"/>
          </w:tcPr>
          <w:p w14:paraId="66F3C8E4">
            <w:pPr>
              <w:keepNext/>
              <w:spacing w:before="40" w:after="40" w:line="240" w:lineRule="auto"/>
              <w:ind w:firstLine="0"/>
            </w:pPr>
            <w:r>
              <w:rPr>
                <w:rFonts w:ascii="Times New Roman" w:hAnsi="Times New Roman" w:eastAsia="宋体"/>
                <w:b w:val="0"/>
                <w:sz w:val="16"/>
              </w:rPr>
              <w:t>39.86</w:t>
            </w:r>
          </w:p>
        </w:tc>
        <w:tc>
          <w:tcPr>
            <w:tcW w:w="939" w:type="dxa"/>
            <w:tcBorders>
              <w:top w:val="nil"/>
              <w:left w:val="nil"/>
              <w:bottom w:val="nil"/>
              <w:right w:val="nil"/>
            </w:tcBorders>
            <w:vAlign w:val="center"/>
          </w:tcPr>
          <w:p w14:paraId="1A498189">
            <w:pPr>
              <w:keepNext/>
              <w:spacing w:before="40" w:after="40" w:line="240" w:lineRule="auto"/>
              <w:ind w:firstLine="0"/>
            </w:pPr>
            <w:r>
              <w:rPr>
                <w:rFonts w:ascii="Times New Roman" w:hAnsi="Times New Roman" w:eastAsia="宋体"/>
                <w:b w:val="0"/>
                <w:sz w:val="16"/>
              </w:rPr>
              <w:t>56.59</w:t>
            </w:r>
          </w:p>
        </w:tc>
      </w:tr>
      <w:tr w14:paraId="0480899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49" w:type="dxa"/>
            <w:tcBorders>
              <w:top w:val="nil"/>
              <w:left w:val="nil"/>
              <w:bottom w:val="nil"/>
              <w:right w:val="nil"/>
            </w:tcBorders>
            <w:vAlign w:val="center"/>
          </w:tcPr>
          <w:p>
            <w:pPr>
              <w:ind w:firstLine="0"/>
            </w:pPr>
            <w:r>
              <w:rPr>
                <w:rFonts w:ascii="Times New Roman" w:hAnsi="Times New Roman" w:eastAsia="宋体"/>
                <w:sz w:val="16"/>
              </w:rPr>
              <w:t>区域配置（region）</w:t>
            </w:r>
          </w:p>
        </w:tc>
        <w:tc>
          <w:tcPr>
            <w:tcW w:w="939" w:type="dxa"/>
            <w:tcBorders>
              <w:top w:val="nil"/>
              <w:left w:val="nil"/>
              <w:bottom w:val="nil"/>
              <w:right w:val="nil"/>
            </w:tcBorders>
            <w:vAlign w:val="center"/>
          </w:tcPr>
          <w:p w14:paraId="6A13591A">
            <w:pPr>
              <w:keepNext/>
              <w:spacing w:before="40" w:after="40" w:line="240" w:lineRule="auto"/>
              <w:ind w:firstLine="0"/>
            </w:pPr>
            <w:r>
              <w:rPr>
                <w:rFonts w:ascii="Times New Roman" w:hAnsi="Times New Roman" w:eastAsia="宋体"/>
                <w:b w:val="0"/>
                <w:sz w:val="16"/>
              </w:rPr>
              <w:t>90.36</w:t>
            </w:r>
          </w:p>
        </w:tc>
        <w:tc>
          <w:tcPr>
            <w:tcW w:w="939" w:type="dxa"/>
            <w:tcBorders>
              <w:top w:val="nil"/>
              <w:left w:val="nil"/>
              <w:bottom w:val="nil"/>
              <w:right w:val="nil"/>
            </w:tcBorders>
            <w:vAlign w:val="center"/>
          </w:tcPr>
          <w:p w14:paraId="399E489A">
            <w:pPr>
              <w:keepNext/>
              <w:spacing w:before="40" w:after="40" w:line="240" w:lineRule="auto"/>
              <w:ind w:firstLine="0"/>
            </w:pPr>
            <w:r>
              <w:rPr>
                <w:rFonts w:ascii="Times New Roman" w:hAnsi="Times New Roman" w:eastAsia="宋体"/>
                <w:b w:val="0"/>
                <w:sz w:val="16"/>
              </w:rPr>
              <w:t>72.72</w:t>
            </w:r>
          </w:p>
        </w:tc>
        <w:tc>
          <w:tcPr>
            <w:tcW w:w="939" w:type="dxa"/>
            <w:tcBorders>
              <w:top w:val="nil"/>
              <w:left w:val="nil"/>
              <w:bottom w:val="nil"/>
              <w:right w:val="nil"/>
            </w:tcBorders>
            <w:vAlign w:val="center"/>
          </w:tcPr>
          <w:p w14:paraId="7FF92F09">
            <w:pPr>
              <w:keepNext/>
              <w:spacing w:before="40" w:after="40" w:line="240" w:lineRule="auto"/>
              <w:ind w:firstLine="0"/>
            </w:pPr>
            <w:r>
              <w:rPr>
                <w:rFonts w:ascii="Times New Roman" w:hAnsi="Times New Roman" w:eastAsia="宋体"/>
                <w:b w:val="0"/>
                <w:sz w:val="16"/>
              </w:rPr>
              <w:t>96.28</w:t>
            </w:r>
          </w:p>
        </w:tc>
        <w:tc>
          <w:tcPr>
            <w:tcW w:w="939" w:type="dxa"/>
            <w:tcBorders>
              <w:top w:val="nil"/>
              <w:left w:val="nil"/>
              <w:bottom w:val="nil"/>
              <w:right w:val="nil"/>
            </w:tcBorders>
            <w:vAlign w:val="center"/>
          </w:tcPr>
          <w:p w14:paraId="70B7E54F">
            <w:pPr>
              <w:keepNext/>
              <w:spacing w:before="40" w:after="40" w:line="240" w:lineRule="auto"/>
              <w:ind w:firstLine="0"/>
            </w:pPr>
            <w:r>
              <w:rPr>
                <w:rFonts w:ascii="Times New Roman" w:hAnsi="Times New Roman" w:eastAsia="宋体"/>
                <w:b w:val="0"/>
                <w:sz w:val="16"/>
              </w:rPr>
              <w:t>67.84</w:t>
            </w:r>
          </w:p>
        </w:tc>
        <w:tc>
          <w:tcPr>
            <w:tcW w:w="939" w:type="dxa"/>
            <w:tcBorders>
              <w:top w:val="nil"/>
              <w:left w:val="nil"/>
              <w:bottom w:val="nil"/>
              <w:right w:val="nil"/>
            </w:tcBorders>
            <w:vAlign w:val="center"/>
          </w:tcPr>
          <w:p w14:paraId="70EC3360">
            <w:pPr>
              <w:keepNext/>
              <w:spacing w:before="40" w:after="40" w:line="240" w:lineRule="auto"/>
              <w:ind w:firstLine="0"/>
            </w:pPr>
            <w:r>
              <w:rPr>
                <w:rFonts w:ascii="Times New Roman" w:hAnsi="Times New Roman" w:eastAsia="宋体"/>
                <w:b w:val="0"/>
                <w:sz w:val="16"/>
              </w:rPr>
              <w:t>96.81</w:t>
            </w:r>
          </w:p>
        </w:tc>
        <w:tc>
          <w:tcPr>
            <w:tcW w:w="939" w:type="dxa"/>
            <w:tcBorders>
              <w:top w:val="nil"/>
              <w:left w:val="nil"/>
              <w:bottom w:val="nil"/>
              <w:right w:val="nil"/>
            </w:tcBorders>
            <w:vAlign w:val="center"/>
          </w:tcPr>
          <w:p w14:paraId="4BEE1C99">
            <w:pPr>
              <w:keepNext/>
              <w:spacing w:before="40" w:after="40" w:line="240" w:lineRule="auto"/>
              <w:ind w:firstLine="0"/>
            </w:pPr>
            <w:r>
              <w:rPr>
                <w:rFonts w:ascii="Times New Roman" w:hAnsi="Times New Roman" w:eastAsia="宋体"/>
                <w:b w:val="0"/>
                <w:sz w:val="16"/>
              </w:rPr>
              <w:t>75.23</w:t>
            </w:r>
          </w:p>
        </w:tc>
        <w:tc>
          <w:tcPr>
            <w:tcW w:w="939" w:type="dxa"/>
            <w:tcBorders>
              <w:top w:val="nil"/>
              <w:left w:val="nil"/>
              <w:bottom w:val="nil"/>
              <w:right w:val="nil"/>
            </w:tcBorders>
            <w:vAlign w:val="center"/>
          </w:tcPr>
          <w:p w14:paraId="4E6069C6">
            <w:pPr>
              <w:keepNext/>
              <w:spacing w:before="40" w:after="40" w:line="240" w:lineRule="auto"/>
              <w:ind w:firstLine="0"/>
            </w:pPr>
            <w:r>
              <w:rPr>
                <w:rFonts w:ascii="Times New Roman" w:hAnsi="Times New Roman" w:eastAsia="宋体"/>
                <w:b w:val="0"/>
                <w:sz w:val="16"/>
              </w:rPr>
              <w:t>41.00</w:t>
            </w:r>
          </w:p>
        </w:tc>
        <w:tc>
          <w:tcPr>
            <w:tcW w:w="939" w:type="dxa"/>
            <w:tcBorders>
              <w:top w:val="nil"/>
              <w:left w:val="nil"/>
              <w:bottom w:val="nil"/>
              <w:right w:val="nil"/>
            </w:tcBorders>
            <w:vAlign w:val="center"/>
          </w:tcPr>
          <w:p w14:paraId="70164991">
            <w:pPr>
              <w:keepNext/>
              <w:spacing w:before="40" w:after="40" w:line="240" w:lineRule="auto"/>
              <w:ind w:firstLine="0"/>
            </w:pPr>
            <w:r>
              <w:rPr>
                <w:rFonts w:ascii="Times New Roman" w:hAnsi="Times New Roman" w:eastAsia="宋体"/>
                <w:b w:val="0"/>
                <w:sz w:val="16"/>
              </w:rPr>
              <w:t>58.33</w:t>
            </w:r>
          </w:p>
        </w:tc>
      </w:tr>
      <w:tr w14:paraId="5BF5999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49" w:type="dxa"/>
            <w:tcBorders>
              <w:top w:val="nil"/>
              <w:left w:val="nil"/>
              <w:bottom w:val="nil"/>
              <w:right w:val="nil"/>
            </w:tcBorders>
            <w:vAlign w:val="center"/>
          </w:tcPr>
          <w:p>
            <w:pPr>
              <w:ind w:firstLine="0"/>
            </w:pPr>
            <w:r>
              <w:rPr>
                <w:rFonts w:ascii="Times New Roman" w:hAnsi="Times New Roman" w:eastAsia="宋体"/>
                <w:sz w:val="16"/>
              </w:rPr>
              <w:t>MPF（原roi）</w:t>
            </w:r>
          </w:p>
        </w:tc>
        <w:tc>
          <w:tcPr>
            <w:tcW w:w="939" w:type="dxa"/>
            <w:tcBorders>
              <w:top w:val="nil"/>
              <w:left w:val="nil"/>
              <w:bottom w:val="nil"/>
              <w:right w:val="nil"/>
            </w:tcBorders>
            <w:vAlign w:val="center"/>
          </w:tcPr>
          <w:p w14:paraId="51477062">
            <w:pPr>
              <w:keepNext/>
              <w:spacing w:before="40" w:after="40" w:line="240" w:lineRule="auto"/>
              <w:ind w:firstLine="0"/>
            </w:pPr>
            <w:r>
              <w:rPr>
                <w:rFonts w:ascii="Times New Roman" w:hAnsi="Times New Roman" w:eastAsia="宋体"/>
                <w:b w:val="0"/>
                <w:sz w:val="16"/>
              </w:rPr>
              <w:t>90.70</w:t>
            </w:r>
          </w:p>
        </w:tc>
        <w:tc>
          <w:tcPr>
            <w:tcW w:w="939" w:type="dxa"/>
            <w:tcBorders>
              <w:top w:val="nil"/>
              <w:left w:val="nil"/>
              <w:bottom w:val="nil"/>
              <w:right w:val="nil"/>
            </w:tcBorders>
            <w:vAlign w:val="center"/>
          </w:tcPr>
          <w:p w14:paraId="56F3542B">
            <w:pPr>
              <w:keepNext/>
              <w:spacing w:before="40" w:after="40" w:line="240" w:lineRule="auto"/>
              <w:ind w:firstLine="0"/>
            </w:pPr>
            <w:r>
              <w:rPr>
                <w:rFonts w:ascii="Times New Roman" w:hAnsi="Times New Roman" w:eastAsia="宋体"/>
                <w:b w:val="0"/>
                <w:sz w:val="16"/>
              </w:rPr>
              <w:t>73.29</w:t>
            </w:r>
          </w:p>
        </w:tc>
        <w:tc>
          <w:tcPr>
            <w:tcW w:w="939" w:type="dxa"/>
            <w:tcBorders>
              <w:top w:val="nil"/>
              <w:left w:val="nil"/>
              <w:bottom w:val="nil"/>
              <w:right w:val="nil"/>
            </w:tcBorders>
            <w:vAlign w:val="center"/>
          </w:tcPr>
          <w:p w14:paraId="087D8331">
            <w:pPr>
              <w:keepNext/>
              <w:spacing w:before="40" w:after="40" w:line="240" w:lineRule="auto"/>
              <w:ind w:firstLine="0"/>
            </w:pPr>
            <w:r>
              <w:rPr>
                <w:rFonts w:ascii="Times New Roman" w:hAnsi="Times New Roman" w:eastAsia="宋体"/>
                <w:b w:val="0"/>
                <w:sz w:val="16"/>
              </w:rPr>
              <w:t>96.31</w:t>
            </w:r>
          </w:p>
        </w:tc>
        <w:tc>
          <w:tcPr>
            <w:tcW w:w="939" w:type="dxa"/>
            <w:tcBorders>
              <w:top w:val="nil"/>
              <w:left w:val="nil"/>
              <w:bottom w:val="nil"/>
              <w:right w:val="nil"/>
            </w:tcBorders>
            <w:vAlign w:val="center"/>
          </w:tcPr>
          <w:p w14:paraId="0230AF32">
            <w:pPr>
              <w:keepNext/>
              <w:spacing w:before="40" w:after="40" w:line="240" w:lineRule="auto"/>
              <w:ind w:firstLine="0"/>
            </w:pPr>
            <w:r>
              <w:rPr>
                <w:rFonts w:ascii="Times New Roman" w:hAnsi="Times New Roman" w:eastAsia="宋体"/>
                <w:b w:val="0"/>
                <w:sz w:val="16"/>
              </w:rPr>
              <w:t>68.54</w:t>
            </w:r>
          </w:p>
        </w:tc>
        <w:tc>
          <w:tcPr>
            <w:tcW w:w="939" w:type="dxa"/>
            <w:tcBorders>
              <w:top w:val="nil"/>
              <w:left w:val="nil"/>
              <w:bottom w:val="nil"/>
              <w:right w:val="nil"/>
            </w:tcBorders>
            <w:vAlign w:val="center"/>
          </w:tcPr>
          <w:p w14:paraId="259BC5A9">
            <w:pPr>
              <w:keepNext/>
              <w:spacing w:before="40" w:after="40" w:line="240" w:lineRule="auto"/>
              <w:ind w:firstLine="0"/>
            </w:pPr>
            <w:r>
              <w:rPr>
                <w:rFonts w:ascii="Times New Roman" w:hAnsi="Times New Roman" w:eastAsia="宋体"/>
                <w:b w:val="0"/>
                <w:sz w:val="16"/>
              </w:rPr>
              <w:t>96.99</w:t>
            </w:r>
          </w:p>
        </w:tc>
        <w:tc>
          <w:tcPr>
            <w:tcW w:w="939" w:type="dxa"/>
            <w:tcBorders>
              <w:top w:val="nil"/>
              <w:left w:val="nil"/>
              <w:bottom w:val="nil"/>
              <w:right w:val="nil"/>
            </w:tcBorders>
            <w:vAlign w:val="center"/>
          </w:tcPr>
          <w:p w14:paraId="6D9B0255">
            <w:pPr>
              <w:keepNext/>
              <w:spacing w:before="40" w:after="40" w:line="240" w:lineRule="auto"/>
              <w:ind w:firstLine="0"/>
            </w:pPr>
            <w:r>
              <w:rPr>
                <w:rFonts w:ascii="Times New Roman" w:hAnsi="Times New Roman" w:eastAsia="宋体"/>
                <w:b w:val="0"/>
                <w:sz w:val="16"/>
              </w:rPr>
              <w:t>76.24</w:t>
            </w:r>
          </w:p>
        </w:tc>
        <w:tc>
          <w:tcPr>
            <w:tcW w:w="939" w:type="dxa"/>
            <w:tcBorders>
              <w:top w:val="nil"/>
              <w:left w:val="nil"/>
              <w:bottom w:val="nil"/>
              <w:right w:val="nil"/>
            </w:tcBorders>
            <w:vAlign w:val="center"/>
          </w:tcPr>
          <w:p w14:paraId="4B3F3FF3">
            <w:pPr>
              <w:keepNext/>
              <w:spacing w:before="40" w:after="40" w:line="240" w:lineRule="auto"/>
              <w:ind w:firstLine="0"/>
            </w:pPr>
            <w:r>
              <w:rPr>
                <w:rFonts w:ascii="Times New Roman" w:hAnsi="Times New Roman" w:eastAsia="宋体"/>
                <w:b w:val="0"/>
                <w:sz w:val="16"/>
              </w:rPr>
              <w:t>42.21</w:t>
            </w:r>
          </w:p>
        </w:tc>
        <w:tc>
          <w:tcPr>
            <w:tcW w:w="939" w:type="dxa"/>
            <w:tcBorders>
              <w:top w:val="nil"/>
              <w:left w:val="nil"/>
              <w:bottom w:val="nil"/>
              <w:right w:val="nil"/>
            </w:tcBorders>
            <w:vAlign w:val="center"/>
          </w:tcPr>
          <w:p w14:paraId="7F631B45">
            <w:pPr>
              <w:keepNext/>
              <w:spacing w:before="40" w:after="40" w:line="240" w:lineRule="auto"/>
              <w:ind w:firstLine="0"/>
            </w:pPr>
            <w:r>
              <w:rPr>
                <w:rFonts w:ascii="Times New Roman" w:hAnsi="Times New Roman" w:eastAsia="宋体"/>
                <w:b w:val="0"/>
                <w:sz w:val="16"/>
              </w:rPr>
              <w:t>58.72</w:t>
            </w:r>
          </w:p>
        </w:tc>
      </w:tr>
      <w:tr w14:paraId="32D5BC9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349" w:type="dxa"/>
            <w:tcBorders>
              <w:top w:val="nil"/>
              <w:left w:val="nil"/>
              <w:bottom w:val="single" w:color="000000" w:sz="10" w:space="0"/>
              <w:right w:val="nil"/>
            </w:tcBorders>
            <w:vAlign w:val="center"/>
          </w:tcPr>
          <w:p>
            <w:pPr>
              <w:ind w:firstLine="0"/>
            </w:pPr>
            <w:r>
              <w:rPr>
                <w:rFonts w:ascii="Times New Roman" w:hAnsi="Times New Roman" w:eastAsia="宋体"/>
                <w:sz w:val="16"/>
              </w:rPr>
              <w:t>历史检索（memory）</w:t>
            </w:r>
          </w:p>
        </w:tc>
        <w:tc>
          <w:tcPr>
            <w:tcW w:w="939" w:type="dxa"/>
            <w:tcBorders>
              <w:top w:val="nil"/>
              <w:left w:val="nil"/>
              <w:bottom w:val="single" w:color="000000" w:sz="10" w:space="0"/>
              <w:right w:val="nil"/>
            </w:tcBorders>
            <w:vAlign w:val="center"/>
          </w:tcPr>
          <w:p w14:paraId="3E4781BC">
            <w:pPr>
              <w:keepNext w:val="0"/>
              <w:spacing w:before="40" w:after="40" w:line="240" w:lineRule="auto"/>
              <w:ind w:firstLine="0"/>
            </w:pPr>
            <w:r>
              <w:rPr>
                <w:rFonts w:ascii="Times New Roman" w:hAnsi="Times New Roman" w:eastAsia="宋体"/>
                <w:b w:val="0"/>
                <w:sz w:val="16"/>
              </w:rPr>
              <w:t>90.91</w:t>
            </w:r>
          </w:p>
        </w:tc>
        <w:tc>
          <w:tcPr>
            <w:tcW w:w="939" w:type="dxa"/>
            <w:tcBorders>
              <w:top w:val="nil"/>
              <w:left w:val="nil"/>
              <w:bottom w:val="single" w:color="000000" w:sz="10" w:space="0"/>
              <w:right w:val="nil"/>
            </w:tcBorders>
            <w:vAlign w:val="center"/>
          </w:tcPr>
          <w:p w14:paraId="1389CAAA">
            <w:pPr>
              <w:keepNext w:val="0"/>
              <w:spacing w:before="40" w:after="40" w:line="240" w:lineRule="auto"/>
              <w:ind w:firstLine="0"/>
            </w:pPr>
            <w:r>
              <w:rPr>
                <w:rFonts w:ascii="Times New Roman" w:hAnsi="Times New Roman" w:eastAsia="宋体"/>
                <w:b w:val="0"/>
                <w:sz w:val="16"/>
              </w:rPr>
              <w:t>74.40</w:t>
            </w:r>
          </w:p>
        </w:tc>
        <w:tc>
          <w:tcPr>
            <w:tcW w:w="939" w:type="dxa"/>
            <w:tcBorders>
              <w:top w:val="nil"/>
              <w:left w:val="nil"/>
              <w:bottom w:val="single" w:color="000000" w:sz="10" w:space="0"/>
              <w:right w:val="nil"/>
            </w:tcBorders>
            <w:vAlign w:val="center"/>
          </w:tcPr>
          <w:p w14:paraId="3E136665">
            <w:pPr>
              <w:keepNext w:val="0"/>
              <w:spacing w:before="40" w:after="40" w:line="240" w:lineRule="auto"/>
              <w:ind w:firstLine="0"/>
            </w:pPr>
            <w:r>
              <w:rPr>
                <w:rFonts w:ascii="Times New Roman" w:hAnsi="Times New Roman" w:eastAsia="宋体"/>
                <w:b w:val="0"/>
                <w:sz w:val="16"/>
              </w:rPr>
              <w:t>96.12</w:t>
            </w:r>
          </w:p>
        </w:tc>
        <w:tc>
          <w:tcPr>
            <w:tcW w:w="939" w:type="dxa"/>
            <w:tcBorders>
              <w:top w:val="nil"/>
              <w:left w:val="nil"/>
              <w:bottom w:val="single" w:color="000000" w:sz="10" w:space="0"/>
              <w:right w:val="nil"/>
            </w:tcBorders>
            <w:vAlign w:val="center"/>
          </w:tcPr>
          <w:p>
            <w:pPr>
              <w:ind w:firstLine="0"/>
            </w:pPr>
            <w:r>
              <w:rPr>
                <w:rFonts w:ascii="Times New Roman" w:hAnsi="Times New Roman" w:eastAsia="宋体"/>
                <w:sz w:val="16"/>
              </w:rPr>
              <w:t>待核</w:t>
            </w:r>
          </w:p>
        </w:tc>
        <w:tc>
          <w:tcPr>
            <w:tcW w:w="939" w:type="dxa"/>
            <w:tcBorders>
              <w:top w:val="nil"/>
              <w:left w:val="nil"/>
              <w:bottom w:val="single" w:color="000000" w:sz="10" w:space="0"/>
              <w:right w:val="nil"/>
            </w:tcBorders>
            <w:vAlign w:val="center"/>
          </w:tcPr>
          <w:p w14:paraId="1B7840E3">
            <w:pPr>
              <w:keepNext w:val="0"/>
              <w:spacing w:before="40" w:after="40" w:line="240" w:lineRule="auto"/>
              <w:ind w:firstLine="0"/>
            </w:pPr>
            <w:r>
              <w:rPr>
                <w:rFonts w:ascii="Times New Roman" w:hAnsi="Times New Roman" w:eastAsia="宋体"/>
                <w:b w:val="0"/>
                <w:sz w:val="16"/>
              </w:rPr>
              <w:t>96.89</w:t>
            </w:r>
          </w:p>
        </w:tc>
        <w:tc>
          <w:tcPr>
            <w:tcW w:w="939" w:type="dxa"/>
            <w:tcBorders>
              <w:top w:val="nil"/>
              <w:left w:val="nil"/>
              <w:bottom w:val="single" w:color="000000" w:sz="10" w:space="0"/>
              <w:right w:val="nil"/>
            </w:tcBorders>
            <w:vAlign w:val="center"/>
          </w:tcPr>
          <w:p w14:paraId="7686F45A">
            <w:pPr>
              <w:keepNext w:val="0"/>
              <w:spacing w:before="40" w:after="40" w:line="240" w:lineRule="auto"/>
              <w:ind w:firstLine="0"/>
            </w:pPr>
            <w:r>
              <w:rPr>
                <w:rFonts w:ascii="Times New Roman" w:hAnsi="Times New Roman" w:eastAsia="宋体"/>
                <w:b w:val="0"/>
                <w:sz w:val="16"/>
              </w:rPr>
              <w:t>76.24</w:t>
            </w:r>
          </w:p>
        </w:tc>
        <w:tc>
          <w:tcPr>
            <w:tcW w:w="939" w:type="dxa"/>
            <w:tcBorders>
              <w:top w:val="nil"/>
              <w:left w:val="nil"/>
              <w:bottom w:val="single" w:color="000000" w:sz="10" w:space="0"/>
              <w:right w:val="nil"/>
            </w:tcBorders>
            <w:vAlign w:val="center"/>
          </w:tcPr>
          <w:p w14:paraId="5E953AA5">
            <w:pPr>
              <w:keepNext w:val="0"/>
              <w:spacing w:before="40" w:after="40" w:line="240" w:lineRule="auto"/>
              <w:ind w:firstLine="0"/>
            </w:pPr>
            <w:r>
              <w:rPr>
                <w:rFonts w:ascii="Times New Roman" w:hAnsi="Times New Roman" w:eastAsia="宋体"/>
                <w:b w:val="0"/>
                <w:sz w:val="16"/>
              </w:rPr>
              <w:t>43.84</w:t>
            </w:r>
          </w:p>
        </w:tc>
        <w:tc>
          <w:tcPr>
            <w:tcW w:w="939" w:type="dxa"/>
            <w:tcBorders>
              <w:top w:val="nil"/>
              <w:left w:val="nil"/>
              <w:bottom w:val="single" w:color="000000" w:sz="10" w:space="0"/>
              <w:right w:val="nil"/>
            </w:tcBorders>
            <w:vAlign w:val="center"/>
          </w:tcPr>
          <w:p w14:paraId="357F6626">
            <w:pPr>
              <w:keepNext w:val="0"/>
              <w:spacing w:before="40" w:after="40" w:line="240" w:lineRule="auto"/>
              <w:ind w:firstLine="0"/>
            </w:pPr>
            <w:r>
              <w:rPr>
                <w:rFonts w:ascii="Times New Roman" w:hAnsi="Times New Roman" w:eastAsia="宋体"/>
                <w:b w:val="0"/>
                <w:sz w:val="16"/>
              </w:rPr>
              <w:t>61.59</w:t>
            </w:r>
          </w:p>
        </w:tc>
      </w:tr>
    </w:tbl>
    <w:p w14:paraId="403AAFC3">
      <w:pPr>
        <w:widowControl/>
      </w:pPr>
    </w:p>
    <w:p w14:paraId="53CAF002">
      <w:pPr>
        <w:widowControl/>
      </w:pPr>
      <w:r>
        <w:rPr>
          <w:rFonts w:ascii="Times New Roman" w:hAnsi="Times New Roman" w:eastAsia="宋体"/>
          <w:sz w:val="21"/>
        </w:rPr>
        <w:t>表注：除已确认的MPF身份外，旧配置的实际开关仍待记录绑定。memory旧报四类mIoU为69.62%，但打印IoU的算术均值为69.64%，不能通过常规两位小数舍入解释，故该单元格标为“待核”。本轮不选择其中一个作为实测结果。base的OA=96.12%与公开DamageFormer的96.13%分属现有记录，保留差别而不强行修改。</w:t>
      </w:r>
    </w:p>
    <w:p w14:paraId="5293A5D5">
      <w:pPr>
        <w:widowControl/>
      </w:pPr>
      <w:r>
        <w:rPr>
          <w:rFonts w:ascii="Times New Roman" w:hAnsi="Times New Roman" w:eastAsia="宋体"/>
          <w:sz w:val="21"/>
        </w:rPr>
        <w:t>按既有报告计算，region相对base的四类mIoU由67.09%变为67.84%，增加0.75个百分点；受损和毁坏IoU分别增加1.14和1.74个百分点，背景下降0.06个百分点。MPF相对region的四类mIoU高0.70个百分点，完好、受损、毁坏分别高1.01、1.21和0.39个百分点，背景也高0.18个百分点。这些记录显示不同配置的类别变化并不相同，但尚不能确定变化完全来自区域汇总或建筑加权，因为前端、训练流和读出是否保持一致还需要核对。</w:t>
      </w:r>
    </w:p>
    <w:p>
      <w:pPr>
        <w:widowControl/>
      </w:pPr>
      <w:r>
        <w:rPr>
          <w:rFonts w:ascii="Times New Roman" w:hAnsi="Times New Roman" w:eastAsia="宋体"/>
          <w:sz w:val="21"/>
        </w:rPr>
        <w:t>旧memory相对MPF的受损与毁坏IoU分别高1.63和2.87个百分点，完好同为76.24%，背景低0.10个百分点；分类F1高1.11个百分点，但OA低0.19个百分点。因而旧报告体现的是损毁等级与背景/总体准确率之间的取舍，不能写成“所有指标单调提高”。四类mIoU冲突解决前，不报告memory的总体增益；更不能用这行代替当前跨事件监督排序的完整框架。</w:t>
      </w:r>
    </w:p>
    <w:p>
      <w:pPr>
        <w:widowControl/>
      </w:pPr>
      <w:r>
        <w:rPr>
          <w:rFonts w:ascii="Times New Roman" w:hAnsi="Times New Roman" w:eastAsia="宋体"/>
          <w:sz w:val="21"/>
        </w:rPr>
        <w:t>表2(b)补充从打印分项IoU直接推算的前景均值，明确它属于算术派生，不是新的服务器评测。四阶段前景均值依次约为57.1633%、58.1867%、59.0567%和60.5567%。最后一项反映旧memory行后三个报告分项的关系，仍不解决其四类mIoU来源冲突；也不验证真实案例、排序空间或Reader中的哪一部分起作用。</w:t>
      </w:r>
    </w:p>
    <w:p>
      <w:pPr>
        <w:pStyle w:val="15"/>
        <w:keepNext/>
        <w:widowControl/>
      </w:pPr>
      <w:r>
        <w:rPr>
          <w:rFonts w:ascii="Times New Roman" w:hAnsi="Times New Roman" w:eastAsia="宋体"/>
          <w:sz w:val="19"/>
        </w:rPr>
        <w:t>表2(b)　由报告分项IoU推算的前景均值与差值</w:t>
      </w:r>
    </w:p>
    <w:tbl>
      <w:tblPr>
        <w:tblW w:type="auto" w:w="0"/>
        <w:jc w:val="center"/>
        <w:tblLayout w:type="fixed"/>
        <w:tblLook w:firstColumn="1" w:firstRow="1" w:lastColumn="0" w:lastRow="0" w:noHBand="0" w:noVBand="1" w:val="04A0"/>
      </w:tblPr>
      <w:tblGrid>
        <w:gridCol w:w="2381"/>
        <w:gridCol w:w="2438"/>
        <w:gridCol w:w="2381"/>
        <w:gridCol w:w="2494"/>
      </w:tblGrid>
      <w:tr>
        <w:trPr>
          <w:cantSplit/>
          <w:tblHeader/>
        </w:trPr>
        <w:tc>
          <w:tcPr>
            <w:tcW w:type="dxa" w:w="2466"/>
            <w:tcBorders>
              <w:top w:val="single" w:sz="6"/>
              <w:bottom w:val="single" w:sz="6"/>
              <w:left w:val="nil" w:sz="6"/>
              <w:right w:val="nil" w:sz="6"/>
            </w:tcBorders>
          </w:tcPr>
          <w:p>
            <w:pPr>
              <w:keepNext/>
              <w:ind w:firstLine="0"/>
            </w:pPr>
            <w:r>
              <w:rPr>
                <w:rFonts w:ascii="Times New Roman" w:hAnsi="Times New Roman" w:eastAsia="宋体"/>
                <w:sz w:val="16"/>
              </w:rPr>
              <w:t>既有配置</w:t>
            </w:r>
          </w:p>
        </w:tc>
        <w:tc>
          <w:tcPr>
            <w:tcW w:type="dxa" w:w="2466"/>
            <w:tcBorders>
              <w:top w:val="single" w:sz="6"/>
              <w:bottom w:val="single" w:sz="6"/>
              <w:left w:val="nil" w:sz="6"/>
              <w:right w:val="nil" w:sz="6"/>
            </w:tcBorders>
          </w:tcPr>
          <w:p>
            <w:pPr>
              <w:keepNext/>
              <w:ind w:firstLine="0"/>
            </w:pPr>
            <w:r>
              <w:rPr>
                <w:rFonts w:ascii="Times New Roman" w:hAnsi="Times New Roman" w:eastAsia="宋体"/>
                <w:sz w:val="16"/>
              </w:rPr>
              <w:t>前景mIoU%（派生）</w:t>
            </w:r>
          </w:p>
        </w:tc>
        <w:tc>
          <w:tcPr>
            <w:tcW w:type="dxa" w:w="2466"/>
            <w:tcBorders>
              <w:top w:val="single" w:sz="6"/>
              <w:bottom w:val="single" w:sz="6"/>
              <w:left w:val="nil" w:sz="6"/>
              <w:right w:val="nil" w:sz="6"/>
            </w:tcBorders>
          </w:tcPr>
          <w:p>
            <w:pPr>
              <w:keepNext/>
              <w:ind w:firstLine="0"/>
            </w:pPr>
            <w:r>
              <w:rPr>
                <w:rFonts w:ascii="Times New Roman" w:hAnsi="Times New Roman" w:eastAsia="宋体"/>
                <w:sz w:val="16"/>
              </w:rPr>
              <w:t>相对base差值pp</w:t>
            </w:r>
          </w:p>
        </w:tc>
        <w:tc>
          <w:tcPr>
            <w:tcW w:type="dxa" w:w="2466"/>
            <w:tcBorders>
              <w:top w:val="single" w:sz="6"/>
              <w:bottom w:val="single" w:sz="6"/>
              <w:left w:val="nil" w:sz="6"/>
              <w:right w:val="nil" w:sz="6"/>
            </w:tcBorders>
          </w:tcPr>
          <w:p>
            <w:pPr>
              <w:keepNext/>
              <w:ind w:firstLine="0"/>
            </w:pPr>
            <w:r>
              <w:rPr>
                <w:rFonts w:ascii="Times New Roman" w:hAnsi="Times New Roman" w:eastAsia="宋体"/>
                <w:sz w:val="16"/>
              </w:rPr>
              <w:t>相邻配置差值pp</w:t>
            </w:r>
          </w:p>
        </w:tc>
      </w:tr>
      <w:tr>
        <w:trPr>
          <w:cantSplit/>
        </w:trPr>
        <w:tc>
          <w:tcPr>
            <w:tcW w:type="dxa" w:w="2381"/>
            <w:tcBorders>
              <w:top w:val="nil" w:sz="6"/>
              <w:bottom w:val="nil" w:sz="6"/>
              <w:left w:val="nil" w:sz="6"/>
              <w:right w:val="nil" w:sz="6"/>
            </w:tcBorders>
          </w:tcPr>
          <w:p>
            <w:pPr>
              <w:keepNext/>
              <w:ind w:firstLine="0"/>
            </w:pPr>
            <w:r>
              <w:rPr>
                <w:rFonts w:ascii="Times New Roman" w:hAnsi="Times New Roman" w:eastAsia="宋体"/>
                <w:sz w:val="16"/>
              </w:rPr>
              <w:t>base</w:t>
            </w:r>
          </w:p>
        </w:tc>
        <w:tc>
          <w:tcPr>
            <w:tcW w:type="dxa" w:w="2438"/>
            <w:tcBorders>
              <w:top w:val="nil" w:sz="6"/>
              <w:bottom w:val="nil" w:sz="6"/>
              <w:left w:val="nil" w:sz="6"/>
              <w:right w:val="nil" w:sz="6"/>
            </w:tcBorders>
          </w:tcPr>
          <w:p>
            <w:pPr>
              <w:keepNext/>
              <w:ind w:firstLine="0"/>
            </w:pPr>
            <w:r>
              <w:rPr>
                <w:rFonts w:ascii="Times New Roman" w:hAnsi="Times New Roman" w:eastAsia="宋体"/>
                <w:sz w:val="16"/>
              </w:rPr>
              <w:t>57.1633</w:t>
            </w:r>
          </w:p>
        </w:tc>
        <w:tc>
          <w:tcPr>
            <w:tcW w:type="dxa" w:w="2381"/>
            <w:tcBorders>
              <w:top w:val="nil" w:sz="6"/>
              <w:bottom w:val="nil" w:sz="6"/>
              <w:left w:val="nil" w:sz="6"/>
              <w:right w:val="nil" w:sz="6"/>
            </w:tcBorders>
          </w:tcPr>
          <w:p>
            <w:pPr>
              <w:keepNext/>
              <w:ind w:firstLine="0"/>
            </w:pPr>
            <w:r>
              <w:rPr>
                <w:rFonts w:ascii="Times New Roman" w:hAnsi="Times New Roman" w:eastAsia="宋体"/>
                <w:sz w:val="16"/>
              </w:rPr>
              <w:t>+0.0000</w:t>
            </w:r>
          </w:p>
        </w:tc>
        <w:tc>
          <w:tcPr>
            <w:tcW w:type="dxa" w:w="2494"/>
            <w:tcBorders>
              <w:top w:val="nil" w:sz="6"/>
              <w:bottom w:val="nil" w:sz="6"/>
              <w:left w:val="nil" w:sz="6"/>
              <w:right w:val="nil" w:sz="6"/>
            </w:tcBorders>
          </w:tcPr>
          <w:p>
            <w:pPr>
              <w:keepNext/>
              <w:ind w:firstLine="0"/>
            </w:pPr>
            <w:r>
              <w:rPr>
                <w:rFonts w:ascii="Times New Roman" w:hAnsi="Times New Roman" w:eastAsia="宋体"/>
                <w:sz w:val="16"/>
              </w:rPr>
              <w:t>不适用</w:t>
            </w:r>
          </w:p>
        </w:tc>
      </w:tr>
      <w:tr>
        <w:trPr>
          <w:cantSplit/>
        </w:trPr>
        <w:tc>
          <w:tcPr>
            <w:tcW w:type="dxa" w:w="2381"/>
            <w:tcBorders>
              <w:top w:val="nil" w:sz="6"/>
              <w:bottom w:val="nil" w:sz="6"/>
              <w:left w:val="nil" w:sz="6"/>
              <w:right w:val="nil" w:sz="6"/>
            </w:tcBorders>
          </w:tcPr>
          <w:p>
            <w:pPr>
              <w:keepNext/>
              <w:ind w:firstLine="0"/>
            </w:pPr>
            <w:r>
              <w:rPr>
                <w:rFonts w:ascii="Times New Roman" w:hAnsi="Times New Roman" w:eastAsia="宋体"/>
                <w:sz w:val="16"/>
              </w:rPr>
              <w:t>region</w:t>
            </w:r>
          </w:p>
        </w:tc>
        <w:tc>
          <w:tcPr>
            <w:tcW w:type="dxa" w:w="2438"/>
            <w:tcBorders>
              <w:top w:val="nil" w:sz="6"/>
              <w:bottom w:val="nil" w:sz="6"/>
              <w:left w:val="nil" w:sz="6"/>
              <w:right w:val="nil" w:sz="6"/>
            </w:tcBorders>
          </w:tcPr>
          <w:p>
            <w:pPr>
              <w:keepNext/>
              <w:ind w:firstLine="0"/>
            </w:pPr>
            <w:r>
              <w:rPr>
                <w:rFonts w:ascii="Times New Roman" w:hAnsi="Times New Roman" w:eastAsia="宋体"/>
                <w:sz w:val="16"/>
              </w:rPr>
              <w:t>58.1867</w:t>
            </w:r>
          </w:p>
        </w:tc>
        <w:tc>
          <w:tcPr>
            <w:tcW w:type="dxa" w:w="2381"/>
            <w:tcBorders>
              <w:top w:val="nil" w:sz="6"/>
              <w:bottom w:val="nil" w:sz="6"/>
              <w:left w:val="nil" w:sz="6"/>
              <w:right w:val="nil" w:sz="6"/>
            </w:tcBorders>
          </w:tcPr>
          <w:p>
            <w:pPr>
              <w:keepNext/>
              <w:ind w:firstLine="0"/>
            </w:pPr>
            <w:r>
              <w:rPr>
                <w:rFonts w:ascii="Times New Roman" w:hAnsi="Times New Roman" w:eastAsia="宋体"/>
                <w:sz w:val="16"/>
              </w:rPr>
              <w:t>+1.0233</w:t>
            </w:r>
          </w:p>
        </w:tc>
        <w:tc>
          <w:tcPr>
            <w:tcW w:type="dxa" w:w="2494"/>
            <w:tcBorders>
              <w:top w:val="nil" w:sz="6"/>
              <w:bottom w:val="nil" w:sz="6"/>
              <w:left w:val="nil" w:sz="6"/>
              <w:right w:val="nil" w:sz="6"/>
            </w:tcBorders>
          </w:tcPr>
          <w:p>
            <w:pPr>
              <w:keepNext/>
              <w:ind w:firstLine="0"/>
            </w:pPr>
            <w:r>
              <w:rPr>
                <w:rFonts w:ascii="Times New Roman" w:hAnsi="Times New Roman" w:eastAsia="宋体"/>
                <w:sz w:val="16"/>
              </w:rPr>
              <w:t>+1.0233</w:t>
            </w:r>
          </w:p>
        </w:tc>
      </w:tr>
      <w:tr>
        <w:trPr>
          <w:cantSplit/>
        </w:trPr>
        <w:tc>
          <w:tcPr>
            <w:tcW w:type="dxa" w:w="2381"/>
            <w:tcBorders>
              <w:top w:val="nil" w:sz="6"/>
              <w:bottom w:val="nil" w:sz="6"/>
              <w:left w:val="nil" w:sz="6"/>
              <w:right w:val="nil" w:sz="6"/>
            </w:tcBorders>
          </w:tcPr>
          <w:p>
            <w:pPr>
              <w:keepNext/>
              <w:ind w:firstLine="0"/>
            </w:pPr>
            <w:r>
              <w:rPr>
                <w:rFonts w:ascii="Times New Roman" w:hAnsi="Times New Roman" w:eastAsia="宋体"/>
                <w:sz w:val="16"/>
              </w:rPr>
              <w:t>MPF（原roi）</w:t>
            </w:r>
          </w:p>
        </w:tc>
        <w:tc>
          <w:tcPr>
            <w:tcW w:type="dxa" w:w="2438"/>
            <w:tcBorders>
              <w:top w:val="nil" w:sz="6"/>
              <w:bottom w:val="nil" w:sz="6"/>
              <w:left w:val="nil" w:sz="6"/>
              <w:right w:val="nil" w:sz="6"/>
            </w:tcBorders>
          </w:tcPr>
          <w:p>
            <w:pPr>
              <w:keepNext/>
              <w:ind w:firstLine="0"/>
            </w:pPr>
            <w:r>
              <w:rPr>
                <w:rFonts w:ascii="Times New Roman" w:hAnsi="Times New Roman" w:eastAsia="宋体"/>
                <w:sz w:val="16"/>
              </w:rPr>
              <w:t>59.0567</w:t>
            </w:r>
          </w:p>
        </w:tc>
        <w:tc>
          <w:tcPr>
            <w:tcW w:type="dxa" w:w="2381"/>
            <w:tcBorders>
              <w:top w:val="nil" w:sz="6"/>
              <w:bottom w:val="nil" w:sz="6"/>
              <w:left w:val="nil" w:sz="6"/>
              <w:right w:val="nil" w:sz="6"/>
            </w:tcBorders>
          </w:tcPr>
          <w:p>
            <w:pPr>
              <w:keepNext/>
              <w:ind w:firstLine="0"/>
            </w:pPr>
            <w:r>
              <w:rPr>
                <w:rFonts w:ascii="Times New Roman" w:hAnsi="Times New Roman" w:eastAsia="宋体"/>
                <w:sz w:val="16"/>
              </w:rPr>
              <w:t>+1.8933</w:t>
            </w:r>
          </w:p>
        </w:tc>
        <w:tc>
          <w:tcPr>
            <w:tcW w:type="dxa" w:w="2494"/>
            <w:tcBorders>
              <w:top w:val="nil" w:sz="6"/>
              <w:bottom w:val="nil" w:sz="6"/>
              <w:left w:val="nil" w:sz="6"/>
              <w:right w:val="nil" w:sz="6"/>
            </w:tcBorders>
          </w:tcPr>
          <w:p>
            <w:pPr>
              <w:keepNext/>
              <w:ind w:firstLine="0"/>
            </w:pPr>
            <w:r>
              <w:rPr>
                <w:rFonts w:ascii="Times New Roman" w:hAnsi="Times New Roman" w:eastAsia="宋体"/>
                <w:sz w:val="16"/>
              </w:rPr>
              <w:t>+0.8700</w:t>
            </w:r>
          </w:p>
        </w:tc>
      </w:tr>
      <w:tr>
        <w:trPr>
          <w:cantSplit/>
        </w:trPr>
        <w:tc>
          <w:tcPr>
            <w:tcW w:type="dxa" w:w="2381"/>
            <w:tcBorders>
              <w:top w:val="nil" w:sz="6"/>
              <w:bottom w:val="single" w:sz="6"/>
              <w:left w:val="nil" w:sz="6"/>
              <w:right w:val="nil" w:sz="6"/>
            </w:tcBorders>
          </w:tcPr>
          <w:p>
            <w:pPr>
              <w:keepNext w:val="0"/>
              <w:ind w:firstLine="0"/>
            </w:pPr>
            <w:r>
              <w:rPr>
                <w:rFonts w:ascii="Times New Roman" w:hAnsi="Times New Roman" w:eastAsia="宋体"/>
                <w:sz w:val="16"/>
              </w:rPr>
              <w:t>memory（旧报告）</w:t>
            </w:r>
          </w:p>
        </w:tc>
        <w:tc>
          <w:tcPr>
            <w:tcW w:type="dxa" w:w="2438"/>
            <w:tcBorders>
              <w:top w:val="nil" w:sz="6"/>
              <w:bottom w:val="single" w:sz="6"/>
              <w:left w:val="nil" w:sz="6"/>
              <w:right w:val="nil" w:sz="6"/>
            </w:tcBorders>
          </w:tcPr>
          <w:p>
            <w:pPr>
              <w:keepNext w:val="0"/>
              <w:ind w:firstLine="0"/>
            </w:pPr>
            <w:r>
              <w:rPr>
                <w:rFonts w:ascii="Times New Roman" w:hAnsi="Times New Roman" w:eastAsia="宋体"/>
                <w:sz w:val="16"/>
              </w:rPr>
              <w:t>60.5567</w:t>
            </w:r>
          </w:p>
        </w:tc>
        <w:tc>
          <w:tcPr>
            <w:tcW w:type="dxa" w:w="2381"/>
            <w:tcBorders>
              <w:top w:val="nil" w:sz="6"/>
              <w:bottom w:val="single" w:sz="6"/>
              <w:left w:val="nil" w:sz="6"/>
              <w:right w:val="nil" w:sz="6"/>
            </w:tcBorders>
          </w:tcPr>
          <w:p>
            <w:pPr>
              <w:keepNext w:val="0"/>
              <w:ind w:firstLine="0"/>
            </w:pPr>
            <w:r>
              <w:rPr>
                <w:rFonts w:ascii="Times New Roman" w:hAnsi="Times New Roman" w:eastAsia="宋体"/>
                <w:sz w:val="16"/>
              </w:rPr>
              <w:t>+3.3933</w:t>
            </w:r>
          </w:p>
        </w:tc>
        <w:tc>
          <w:tcPr>
            <w:tcW w:type="dxa" w:w="2494"/>
            <w:tcBorders>
              <w:top w:val="nil" w:sz="6"/>
              <w:bottom w:val="single" w:sz="6"/>
              <w:left w:val="nil" w:sz="6"/>
              <w:right w:val="nil" w:sz="6"/>
            </w:tcBorders>
          </w:tcPr>
          <w:p>
            <w:pPr>
              <w:keepNext w:val="0"/>
              <w:ind w:firstLine="0"/>
            </w:pPr>
            <w:r>
              <w:rPr>
                <w:rFonts w:ascii="Times New Roman" w:hAnsi="Times New Roman" w:eastAsia="宋体"/>
                <w:sz w:val="16"/>
              </w:rPr>
              <w:t>+1.5000</w:t>
            </w:r>
          </w:p>
        </w:tc>
      </w:tr>
    </w:tbl>
    <w:p w14:paraId="00724B8C">
      <w:pPr>
        <w:widowControl/>
      </w:pPr>
      <w:r>
        <w:rPr>
          <w:rFonts w:ascii="Times New Roman" w:hAnsi="Times New Roman" w:eastAsia="宋体"/>
          <w:sz w:val="21"/>
        </w:rPr>
        <w:t>图6–图8紧接递进表，分别分析毁坏漏判、屋顶等级混杂和稀疏目标恢复。三图目前都只比较DamageFormer与MPF，能解释像素前端的局部现象；它们没有region/roi/memory各阶段列，不能一一对应三个模块。补齐同一窗口各阶段真实预测后，才能进一步把图像现象与阶段增量连接。蓝框只定位放大窗口，不表示注意力、建筑实例或检索返回区域。</w:t>
      </w:r>
    </w:p>
    <w:p w14:paraId="418D67CC">
      <w:pPr>
        <w:keepNext/>
        <w:widowControl/>
        <w:ind w:firstLine="0"/>
        <w:jc w:val="center"/>
      </w:pPr>
      <w:r>
        <w:drawing>
          <wp:inline distT="0" distB="0" distL="114300" distR="114300">
            <wp:extent cx="6047740" cy="3427095"/>
            <wp:effectExtent l="0" t="0" r="1016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6048000" cy="3427200"/>
                    </a:xfrm>
                    <a:prstGeom prst="rect">
                      <a:avLst/>
                    </a:prstGeom>
                  </pic:spPr>
                </pic:pic>
              </a:graphicData>
            </a:graphic>
          </wp:inline>
        </w:drawing>
      </w:r>
    </w:p>
    <w:p w14:paraId="7B755F21">
      <w:pPr>
        <w:pStyle w:val="15"/>
        <w:keepNext w:val="0"/>
        <w:widowControl/>
      </w:pPr>
      <w:r>
        <w:rPr>
          <w:rFonts w:ascii="Times New Roman" w:hAnsi="Times New Roman" w:eastAsia="宋体"/>
          <w:sz w:val="19"/>
        </w:rPr>
        <w:t>图6　能登地震：毁坏被判为完好的局部比较。上排为灾前RGB、GT、DamageFormer、MPF，下排为相同蓝框窗口的放大。样例noto-earthquake；类别配色与图5一致。</w:t>
      </w:r>
    </w:p>
    <w:p w14:paraId="68A52900">
      <w:pPr>
        <w:widowControl/>
      </w:pPr>
      <w:r>
        <w:rPr>
          <w:rFonts w:ascii="Times New Roman" w:hAnsi="Times New Roman" w:eastAsia="宋体"/>
          <w:sz w:val="21"/>
        </w:rPr>
        <w:t>图6的GT将蓝框内多栋建筑标为毁坏，DamageFormer在主体范围主要输出绿色完好，MPF在相同位置输出较大面积红色，与参考等级更接近。这里主要是Destroyed→Intact混淆减少，不是Damaged类别恢复。红色预测较多只有在与真实毁坏位置相符时才是救回；落入GT背景或其它等级的部分应计为误报。MPF仍有绿色残留和建筑间隔偏差，因此该例同时包含局部纠错与剩余错误，不能写成全部建筑结构已恢复。</w:t>
      </w:r>
    </w:p>
    <w:p>
      <w:pPr>
        <w:widowControl/>
      </w:pPr>
      <w:r>
        <w:rPr>
          <w:rFonts w:ascii="Times New Roman" w:hAnsi="Times New Roman" w:eastAsia="宋体"/>
          <w:sz w:val="21"/>
        </w:rPr>
        <w:t>这一现象与表1中MPF的毁坏IoU高于公开DamageFormer报告方向一致，但选取的能登窗口并不能证明总体2.13个百分点的来源，更不能把差异归于图中未展示的Memory。后续应在该固定窗口累积Destroyed的TP、FP、FN，并相对同一DamageFormer预测统计毁坏类救回、误改及背景→建筑FP；有实例标注时再讨论建筑内一致性。</w:t>
      </w:r>
    </w:p>
    <w:p w14:paraId="6108984D">
      <w:pPr>
        <w:keepNext/>
        <w:widowControl/>
        <w:ind w:firstLine="0"/>
        <w:jc w:val="center"/>
      </w:pPr>
      <w:r>
        <w:drawing>
          <wp:inline distT="0" distB="0" distL="114300" distR="114300">
            <wp:extent cx="6047740" cy="3427095"/>
            <wp:effectExtent l="0" t="0" r="1016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6048000" cy="3427200"/>
                    </a:xfrm>
                    <a:prstGeom prst="rect">
                      <a:avLst/>
                    </a:prstGeom>
                  </pic:spPr>
                </pic:pic>
              </a:graphicData>
            </a:graphic>
          </wp:inline>
        </w:drawing>
      </w:r>
    </w:p>
    <w:p w14:paraId="4267EE7A">
      <w:pPr>
        <w:pStyle w:val="15"/>
        <w:keepNext w:val="0"/>
        <w:widowControl/>
      </w:pPr>
      <w:r>
        <w:rPr>
          <w:rFonts w:ascii="Times New Roman" w:hAnsi="Times New Roman" w:eastAsia="宋体"/>
          <w:sz w:val="19"/>
        </w:rPr>
        <w:t>图7　土耳其地震：受损屋顶内部等级混杂。上排依次为灾前RGB、GT、DamageFormer、MPF，下排为同一蓝框屋顶放大。样例turkey-earthquake；浅棕、绿、红分别为受损、完好、毁坏。</w:t>
      </w:r>
    </w:p>
    <w:p w14:paraId="6B02A989">
      <w:pPr>
        <w:widowControl/>
      </w:pPr>
      <w:r>
        <w:rPr>
          <w:rFonts w:ascii="Times New Roman" w:hAnsi="Times New Roman" w:eastAsia="宋体"/>
          <w:sz w:val="21"/>
        </w:rPr>
        <w:t>图7的参考标签将蓝框屋顶主体标为受损，DamageFormer在同一屋顶内分配了绿色完好与红色毁坏，MPF则以浅棕色覆盖较多主体，体现所选位置的Damaged等级恢复。MPF仍有红色残留、绿色小孔和边缘扩张，说明等级判断与建筑轮廓没有同时完全解决。GT在这里采用单一建筑等级，因此预测中的多色混合是相对标注的不一致，不能反过来描述为模型识别出了真实的多种局部损毁程度。</w:t>
      </w:r>
    </w:p>
    <w:p>
      <w:pPr>
        <w:widowControl/>
      </w:pPr>
      <w:r>
        <w:rPr>
          <w:rFonts w:ascii="Times New Roman" w:hAnsi="Times New Roman" w:eastAsia="宋体"/>
          <w:sz w:val="21"/>
        </w:rPr>
        <w:t>该例能够解释受损IoU可能如何提高，却不能从截图计算增量。尤其将原本的红色误判变为浅棕色可提高Damaged TP，同时可能改变Destroyed FP；轮廓外浅棕扩张又会增加Damaged FP。需把这几类变化分开统计，才能判断局部IoU变化来自等级纠正还是范围扩张。图片不含当前Q相容项或Adapter的关闭版本，不能作为两项结构机制的独立证据。</w:t>
      </w:r>
    </w:p>
    <w:p w14:paraId="71D3F90C">
      <w:pPr>
        <w:keepNext/>
        <w:widowControl/>
        <w:ind w:firstLine="0"/>
        <w:jc w:val="center"/>
      </w:pPr>
      <w:r>
        <w:drawing>
          <wp:inline distT="0" distB="0" distL="114300" distR="114300">
            <wp:extent cx="6047740" cy="2845435"/>
            <wp:effectExtent l="0" t="0" r="10160"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6048000" cy="2845920"/>
                    </a:xfrm>
                    <a:prstGeom prst="rect">
                      <a:avLst/>
                    </a:prstGeom>
                  </pic:spPr>
                </pic:pic>
              </a:graphicData>
            </a:graphic>
          </wp:inline>
        </w:drawing>
      </w:r>
    </w:p>
    <w:p w14:paraId="795BE0C7">
      <w:pPr>
        <w:pStyle w:val="15"/>
        <w:keepNext w:val="0"/>
        <w:widowControl/>
      </w:pPr>
      <w:r>
        <w:rPr>
          <w:rFonts w:ascii="Times New Roman" w:hAnsi="Times New Roman" w:eastAsia="宋体"/>
          <w:sz w:val="19"/>
        </w:rPr>
        <w:t>图8　缅甸飓风：稀疏受损目标恢复与背景误报。上排为灾前RGB、灾后SAR、GT、DamageFormer、MPF，下排为相同96×96原始像素窗口。样例myanmar-hurricane；原图局部分数待原始计数复核。</w:t>
      </w:r>
    </w:p>
    <w:p w14:paraId="0DD062BB">
      <w:pPr>
        <w:widowControl/>
      </w:pPr>
      <w:r>
        <w:rPr>
          <w:rFonts w:ascii="Times New Roman" w:hAnsi="Times New Roman" w:eastAsia="宋体"/>
          <w:sz w:val="21"/>
        </w:rPr>
        <w:t>图8的96×96放大窗口包含两个浅棕色受损目标。DamageFormer对其中一目标仅保留较小受损区域并混入绿色，MPF恢复了更完整的浅棕主体；其左侧同时出现额外绿色斑块，相应GT主要是背景。因而，这个例子的准确表述是“部分受损目标恢复更完整，但建筑假阳性仍存在”。缩略整图中的受损像素较少，必须保持所有列同一原始窗口和缩放，不能用显示后的目标大小推断真实尺度。</w:t>
      </w:r>
    </w:p>
    <w:p>
      <w:pPr>
        <w:widowControl/>
      </w:pPr>
      <w:r>
        <w:rPr>
          <w:rFonts w:ascii="Times New Roman" w:hAnsi="Times New Roman" w:eastAsia="宋体"/>
          <w:sz w:val="21"/>
        </w:rPr>
        <w:t>稀疏小目标情况下，少量像素即可明显改变局部IoU，不能把单窗变化外推为整个事件或Test的增益。后续应同时报告Damaged召回、Damaged FP、背景→建筑FP和有效目标像素数，并与图6大块毁坏、图7屋顶内部混杂相区分。图8现有预测来自MPF，不提供检索支持ID或读取干预，故仍不能证明历史案例是其恢复原因。</w:t>
      </w:r>
    </w:p>
    <w:p w14:paraId="5AB1ADE8">
      <w:pPr>
        <w:widowControl/>
      </w:pPr>
      <w:r>
        <w:rPr>
          <w:rFonts w:ascii="Times New Roman" w:hAnsi="Times New Roman" w:eastAsia="宋体"/>
          <w:sz w:val="21"/>
        </w:rPr>
        <w:t>三幅图共同表明，定位、等级和背景误报需要分开解释。它们保留了既有可追溯预测，而不以模拟热图或预估分数替代实测。真正的机制证明应使用下节控制实验；新的Q/Adapter/支持开关预测应保持图6–图8同一图像与裁窗，不另挑更有利区域。</w:t>
      </w:r>
    </w:p>
    <w:p w14:paraId="74770A13">
      <w:pPr>
        <w:pStyle w:val="4"/>
        <w:widowControl/>
      </w:pPr>
      <w:r>
        <w:rPr>
          <w:rFonts w:ascii="Times New Roman" w:hAnsi="Times New Roman" w:eastAsia="宋体"/>
          <w:sz w:val="21"/>
        </w:rPr>
        <w:t>D. 三项设计的控制实验与结果填写位置</w:t>
      </w:r>
    </w:p>
    <w:p w14:paraId="08176EAF">
      <w:pPr>
        <w:widowControl/>
      </w:pPr>
      <w:r>
        <w:rPr>
          <w:rFonts w:ascii="Times New Roman" w:hAnsi="Times New Roman" w:eastAsia="宋体"/>
          <w:sz w:val="21"/>
        </w:rPr>
        <w:t>当前表3–6是针对本文设计的待完成控制实验。既有MPF及旧memory结果来自不同计算路径，不能按名称相似直接回填。没有实测依据时无法给出可信的期望分数；本稿以“待测”保留位置，并明确何种结果支持或不支持相应判断。可能的正向、负向或无变化趋势在配套分析说明中作为假设讨论，不写成实验结论。</w:t>
      </w:r>
    </w:p>
    <w:p w14:paraId="1B1B962E">
      <w:pPr>
        <w:pStyle w:val="5"/>
        <w:widowControl/>
      </w:pPr>
      <w:r>
        <w:rPr>
          <w:rFonts w:ascii="Times New Roman" w:hAnsi="Times New Roman" w:eastAsia="宋体"/>
          <w:sz w:val="21"/>
        </w:rPr>
        <w:t>1) 区域成员与区域内容是否分别有效</w:t>
      </w:r>
    </w:p>
    <w:p w14:paraId="01517C60">
      <w:pPr>
        <w:pStyle w:val="15"/>
        <w:keepNext/>
        <w:widowControl/>
      </w:pPr>
      <w:r>
        <w:rPr>
          <w:rFonts w:ascii="Times New Roman" w:hAnsi="Times New Roman" w:eastAsia="宋体"/>
          <w:sz w:val="19"/>
        </w:rPr>
        <w:t>表3(a)　建筑相容项×结构适配的二因素控制</w:t>
      </w:r>
    </w:p>
    <w:tbl>
      <w:tblPr>
        <w:tblStyle w:val="33"/>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92"/>
        <w:gridCol w:w="1096"/>
        <w:gridCol w:w="1096"/>
        <w:gridCol w:w="1096"/>
        <w:gridCol w:w="1096"/>
        <w:gridCol w:w="1096"/>
        <w:gridCol w:w="1096"/>
        <w:gridCol w:w="1096"/>
      </w:tblGrid>
      <w:tr w14:paraId="09432BB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192" w:type="dxa"/>
            <w:tcBorders>
              <w:top w:val="single" w:color="000000" w:sz="10" w:space="0"/>
              <w:left w:val="nil"/>
              <w:bottom w:val="single" w:color="000000" w:sz="4" w:space="0"/>
              <w:right w:val="nil"/>
            </w:tcBorders>
            <w:vAlign w:val="center"/>
          </w:tcPr>
          <w:p w14:paraId="3EBA8E81">
            <w:pPr>
              <w:keepNext/>
              <w:spacing w:before="40" w:after="40" w:line="240" w:lineRule="auto"/>
              <w:ind w:firstLine="0"/>
            </w:pPr>
            <w:r>
              <w:rPr>
                <w:rFonts w:ascii="Times New Roman" w:hAnsi="Times New Roman" w:eastAsia="宋体"/>
                <w:b/>
                <w:sz w:val="16"/>
              </w:rPr>
              <w:t>B→Q</w:t>
            </w:r>
          </w:p>
        </w:tc>
        <w:tc>
          <w:tcPr>
            <w:tcW w:w="1096" w:type="dxa"/>
            <w:tcBorders>
              <w:top w:val="single" w:color="000000" w:sz="10" w:space="0"/>
              <w:left w:val="nil"/>
              <w:bottom w:val="single" w:color="000000" w:sz="4" w:space="0"/>
              <w:right w:val="nil"/>
            </w:tcBorders>
            <w:vAlign w:val="center"/>
          </w:tcPr>
          <w:p w14:paraId="09A3D552">
            <w:pPr>
              <w:keepNext/>
              <w:spacing w:before="40" w:after="40" w:line="240" w:lineRule="auto"/>
              <w:ind w:firstLine="0"/>
            </w:pPr>
            <w:r>
              <w:rPr>
                <w:rFonts w:ascii="Times New Roman" w:hAnsi="Times New Roman" w:eastAsia="宋体"/>
                <w:b/>
                <w:sz w:val="16"/>
              </w:rPr>
              <w:t>结构适配</w:t>
            </w:r>
          </w:p>
        </w:tc>
        <w:tc>
          <w:tcPr>
            <w:tcW w:w="1096" w:type="dxa"/>
            <w:tcBorders>
              <w:top w:val="single" w:color="000000" w:sz="10" w:space="0"/>
              <w:left w:val="nil"/>
              <w:bottom w:val="single" w:color="000000" w:sz="4" w:space="0"/>
              <w:right w:val="nil"/>
            </w:tcBorders>
            <w:vAlign w:val="center"/>
          </w:tcPr>
          <w:p w14:paraId="70CB1BA1">
            <w:pPr>
              <w:keepNext/>
              <w:spacing w:before="40" w:after="40" w:line="240" w:lineRule="auto"/>
              <w:ind w:firstLine="0"/>
            </w:pPr>
            <w:r>
              <w:rPr>
                <w:rFonts w:ascii="Times New Roman" w:hAnsi="Times New Roman" w:eastAsia="宋体"/>
                <w:b/>
                <w:sz w:val="16"/>
              </w:rPr>
              <w:t>四类mIoU%</w:t>
            </w:r>
          </w:p>
        </w:tc>
        <w:tc>
          <w:tcPr>
            <w:tcW w:w="1096" w:type="dxa"/>
            <w:tcBorders>
              <w:top w:val="single" w:color="000000" w:sz="10" w:space="0"/>
              <w:left w:val="nil"/>
              <w:bottom w:val="single" w:color="000000" w:sz="4" w:space="0"/>
              <w:right w:val="nil"/>
            </w:tcBorders>
            <w:vAlign w:val="center"/>
          </w:tcPr>
          <w:p w14:paraId="3E0599EC">
            <w:pPr>
              <w:keepNext/>
              <w:spacing w:before="40" w:after="40" w:line="240" w:lineRule="auto"/>
              <w:ind w:firstLine="0"/>
            </w:pPr>
            <w:r>
              <w:rPr>
                <w:rFonts w:ascii="Times New Roman" w:hAnsi="Times New Roman" w:eastAsia="宋体"/>
                <w:b/>
                <w:sz w:val="16"/>
              </w:rPr>
              <w:t>前景mIoU%</w:t>
            </w:r>
          </w:p>
        </w:tc>
        <w:tc>
          <w:tcPr>
            <w:tcW w:w="1096" w:type="dxa"/>
            <w:tcBorders>
              <w:top w:val="single" w:color="000000" w:sz="10" w:space="0"/>
              <w:left w:val="nil"/>
              <w:bottom w:val="single" w:color="000000" w:sz="4" w:space="0"/>
              <w:right w:val="nil"/>
            </w:tcBorders>
            <w:vAlign w:val="center"/>
          </w:tcPr>
          <w:p w14:paraId="5006C8D1">
            <w:pPr>
              <w:keepNext/>
              <w:spacing w:before="40" w:after="40" w:line="240" w:lineRule="auto"/>
              <w:ind w:firstLine="0"/>
            </w:pPr>
            <w:r>
              <w:rPr>
                <w:rFonts w:ascii="Times New Roman" w:hAnsi="Times New Roman" w:eastAsia="宋体"/>
                <w:b/>
                <w:sz w:val="16"/>
              </w:rPr>
              <w:t>受损IoU%</w:t>
            </w:r>
          </w:p>
        </w:tc>
        <w:tc>
          <w:tcPr>
            <w:tcW w:w="1096" w:type="dxa"/>
            <w:tcBorders>
              <w:top w:val="single" w:color="000000" w:sz="10" w:space="0"/>
              <w:left w:val="nil"/>
              <w:bottom w:val="single" w:color="000000" w:sz="4" w:space="0"/>
              <w:right w:val="nil"/>
            </w:tcBorders>
            <w:vAlign w:val="center"/>
          </w:tcPr>
          <w:p w14:paraId="685839D7">
            <w:pPr>
              <w:keepNext/>
              <w:spacing w:before="40" w:after="40" w:line="240" w:lineRule="auto"/>
              <w:ind w:firstLine="0"/>
            </w:pPr>
            <w:r>
              <w:rPr>
                <w:rFonts w:ascii="Times New Roman" w:hAnsi="Times New Roman" w:eastAsia="宋体"/>
                <w:b/>
                <w:sz w:val="16"/>
              </w:rPr>
              <w:t>毁坏IoU%</w:t>
            </w:r>
          </w:p>
        </w:tc>
        <w:tc>
          <w:tcPr>
            <w:tcW w:w="1096" w:type="dxa"/>
            <w:tcBorders>
              <w:top w:val="single" w:color="000000" w:sz="10" w:space="0"/>
              <w:left w:val="nil"/>
              <w:bottom w:val="single" w:color="000000" w:sz="4" w:space="0"/>
              <w:right w:val="nil"/>
            </w:tcBorders>
            <w:vAlign w:val="center"/>
          </w:tcPr>
          <w:p w14:paraId="69AB66EB">
            <w:pPr>
              <w:keepNext/>
              <w:spacing w:before="40" w:after="40" w:line="240" w:lineRule="auto"/>
              <w:ind w:firstLine="0"/>
            </w:pPr>
            <w:r>
              <w:rPr>
                <w:rFonts w:ascii="Times New Roman" w:hAnsi="Times New Roman" w:eastAsia="宋体"/>
                <w:b/>
                <w:sz w:val="16"/>
              </w:rPr>
              <w:t>混合率%</w:t>
            </w:r>
          </w:p>
        </w:tc>
        <w:tc>
          <w:tcPr>
            <w:tcW w:w="1096" w:type="dxa"/>
            <w:tcBorders>
              <w:top w:val="single" w:color="000000" w:sz="10" w:space="0"/>
              <w:left w:val="nil"/>
              <w:bottom w:val="single" w:color="000000" w:sz="4" w:space="0"/>
              <w:right w:val="nil"/>
            </w:tcBorders>
            <w:vAlign w:val="center"/>
          </w:tcPr>
          <w:p w14:paraId="63B19F20">
            <w:pPr>
              <w:keepNext/>
              <w:spacing w:before="40" w:after="40" w:line="240" w:lineRule="auto"/>
              <w:ind w:firstLine="0"/>
            </w:pPr>
            <w:r>
              <w:rPr>
                <w:rFonts w:ascii="Times New Roman" w:hAnsi="Times New Roman" w:eastAsia="宋体"/>
                <w:b/>
                <w:sz w:val="16"/>
              </w:rPr>
              <w:t>边缘错率%</w:t>
            </w:r>
          </w:p>
        </w:tc>
      </w:tr>
      <w:tr w14:paraId="4773805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192" w:type="dxa"/>
            <w:tcBorders>
              <w:top w:val="nil"/>
              <w:left w:val="nil"/>
              <w:bottom w:val="nil"/>
              <w:right w:val="nil"/>
            </w:tcBorders>
            <w:vAlign w:val="center"/>
          </w:tcPr>
          <w:p w14:paraId="1906334F">
            <w:pPr>
              <w:keepNext/>
              <w:spacing w:before="40" w:after="40" w:line="240" w:lineRule="auto"/>
              <w:ind w:firstLine="0"/>
            </w:pPr>
            <w:r>
              <w:rPr>
                <w:rFonts w:ascii="Times New Roman" w:hAnsi="Times New Roman" w:eastAsia="宋体"/>
                <w:b w:val="0"/>
                <w:sz w:val="16"/>
              </w:rPr>
              <w:t>关</w:t>
            </w:r>
          </w:p>
        </w:tc>
        <w:tc>
          <w:tcPr>
            <w:tcW w:w="1096" w:type="dxa"/>
            <w:tcBorders>
              <w:top w:val="nil"/>
              <w:left w:val="nil"/>
              <w:bottom w:val="nil"/>
              <w:right w:val="nil"/>
            </w:tcBorders>
            <w:vAlign w:val="center"/>
          </w:tcPr>
          <w:p w14:paraId="0788C77F">
            <w:pPr>
              <w:keepNext/>
              <w:spacing w:before="40" w:after="40" w:line="240" w:lineRule="auto"/>
              <w:ind w:firstLine="0"/>
            </w:pPr>
            <w:r>
              <w:rPr>
                <w:rFonts w:ascii="Times New Roman" w:hAnsi="Times New Roman" w:eastAsia="宋体"/>
                <w:b w:val="0"/>
                <w:sz w:val="16"/>
              </w:rPr>
              <w:t>关</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r>
      <w:tr w14:paraId="7031362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192" w:type="dxa"/>
            <w:tcBorders>
              <w:top w:val="nil"/>
              <w:left w:val="nil"/>
              <w:bottom w:val="nil"/>
              <w:right w:val="nil"/>
            </w:tcBorders>
            <w:vAlign w:val="center"/>
          </w:tcPr>
          <w:p w14:paraId="593426C5">
            <w:pPr>
              <w:keepNext/>
              <w:spacing w:before="40" w:after="40" w:line="240" w:lineRule="auto"/>
              <w:ind w:firstLine="0"/>
            </w:pPr>
            <w:r>
              <w:rPr>
                <w:rFonts w:ascii="Times New Roman" w:hAnsi="Times New Roman" w:eastAsia="宋体"/>
                <w:b w:val="0"/>
                <w:sz w:val="16"/>
              </w:rPr>
              <w:t>开</w:t>
            </w:r>
          </w:p>
        </w:tc>
        <w:tc>
          <w:tcPr>
            <w:tcW w:w="1096" w:type="dxa"/>
            <w:tcBorders>
              <w:top w:val="nil"/>
              <w:left w:val="nil"/>
              <w:bottom w:val="nil"/>
              <w:right w:val="nil"/>
            </w:tcBorders>
            <w:vAlign w:val="center"/>
          </w:tcPr>
          <w:p w14:paraId="5DCD5FBA">
            <w:pPr>
              <w:keepNext/>
              <w:spacing w:before="40" w:after="40" w:line="240" w:lineRule="auto"/>
              <w:ind w:firstLine="0"/>
            </w:pPr>
            <w:r>
              <w:rPr>
                <w:rFonts w:ascii="Times New Roman" w:hAnsi="Times New Roman" w:eastAsia="宋体"/>
                <w:b w:val="0"/>
                <w:sz w:val="16"/>
              </w:rPr>
              <w:t>关</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r>
      <w:tr w14:paraId="303A1B9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192" w:type="dxa"/>
            <w:tcBorders>
              <w:top w:val="nil"/>
              <w:left w:val="nil"/>
              <w:bottom w:val="nil"/>
              <w:right w:val="nil"/>
            </w:tcBorders>
            <w:vAlign w:val="center"/>
          </w:tcPr>
          <w:p w14:paraId="510C021E">
            <w:pPr>
              <w:keepNext/>
              <w:spacing w:before="40" w:after="40" w:line="240" w:lineRule="auto"/>
              <w:ind w:firstLine="0"/>
            </w:pPr>
            <w:r>
              <w:rPr>
                <w:rFonts w:ascii="Times New Roman" w:hAnsi="Times New Roman" w:eastAsia="宋体"/>
                <w:b w:val="0"/>
                <w:sz w:val="16"/>
              </w:rPr>
              <w:t>关</w:t>
            </w:r>
          </w:p>
        </w:tc>
        <w:tc>
          <w:tcPr>
            <w:tcW w:w="1096" w:type="dxa"/>
            <w:tcBorders>
              <w:top w:val="nil"/>
              <w:left w:val="nil"/>
              <w:bottom w:val="nil"/>
              <w:right w:val="nil"/>
            </w:tcBorders>
            <w:vAlign w:val="center"/>
          </w:tcPr>
          <w:p w14:paraId="5860C02C">
            <w:pPr>
              <w:keepNext/>
              <w:spacing w:before="40" w:after="40" w:line="240" w:lineRule="auto"/>
              <w:ind w:firstLine="0"/>
            </w:pPr>
            <w:r>
              <w:rPr>
                <w:rFonts w:ascii="Times New Roman" w:hAnsi="Times New Roman" w:eastAsia="宋体"/>
                <w:b w:val="0"/>
                <w:sz w:val="16"/>
              </w:rPr>
              <w:t>开</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c>
          <w:tcPr>
            <w:tcW w:w="1096" w:type="dxa"/>
            <w:tcBorders>
              <w:top w:val="nil"/>
              <w:left w:val="nil"/>
              <w:bottom w:val="nil"/>
              <w:right w:val="nil"/>
            </w:tcBorders>
            <w:vAlign w:val="center"/>
          </w:tcPr>
          <w:p>
            <w:pPr>
              <w:ind w:firstLine="0"/>
            </w:pPr>
            <w:r>
              <w:rPr>
                <w:rFonts w:ascii="Times New Roman" w:hAnsi="Times New Roman" w:eastAsia="宋体"/>
                <w:sz w:val="16"/>
              </w:rPr>
              <w:t>待测</w:t>
            </w:r>
          </w:p>
        </w:tc>
      </w:tr>
      <w:tr w14:paraId="275FA4E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192" w:type="dxa"/>
            <w:tcBorders>
              <w:top w:val="nil"/>
              <w:left w:val="nil"/>
              <w:bottom w:val="single" w:color="000000" w:sz="10" w:space="0"/>
              <w:right w:val="nil"/>
            </w:tcBorders>
            <w:vAlign w:val="center"/>
          </w:tcPr>
          <w:p w14:paraId="4AC7A134">
            <w:pPr>
              <w:keepNext w:val="0"/>
              <w:spacing w:before="40" w:after="40" w:line="240" w:lineRule="auto"/>
              <w:ind w:firstLine="0"/>
            </w:pPr>
            <w:r>
              <w:rPr>
                <w:rFonts w:ascii="Times New Roman" w:hAnsi="Times New Roman" w:eastAsia="宋体"/>
                <w:b w:val="0"/>
                <w:sz w:val="16"/>
              </w:rPr>
              <w:t>开</w:t>
            </w:r>
          </w:p>
        </w:tc>
        <w:tc>
          <w:tcPr>
            <w:tcW w:w="1096" w:type="dxa"/>
            <w:tcBorders>
              <w:top w:val="nil"/>
              <w:left w:val="nil"/>
              <w:bottom w:val="single" w:color="000000" w:sz="10" w:space="0"/>
              <w:right w:val="nil"/>
            </w:tcBorders>
            <w:vAlign w:val="center"/>
          </w:tcPr>
          <w:p w14:paraId="61D435CE">
            <w:pPr>
              <w:keepNext w:val="0"/>
              <w:spacing w:before="40" w:after="40" w:line="240" w:lineRule="auto"/>
              <w:ind w:firstLine="0"/>
            </w:pPr>
            <w:r>
              <w:rPr>
                <w:rFonts w:ascii="Times New Roman" w:hAnsi="Times New Roman" w:eastAsia="宋体"/>
                <w:b w:val="0"/>
                <w:sz w:val="16"/>
              </w:rPr>
              <w:t>开</w:t>
            </w:r>
          </w:p>
        </w:tc>
        <w:tc>
          <w:tcPr>
            <w:tcW w:w="1096"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096"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096"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096"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096"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096"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r>
    </w:tbl>
    <w:p w14:paraId="6F3FF7F3">
      <w:pPr>
        <w:widowControl/>
      </w:pPr>
    </w:p>
    <w:p w14:paraId="5AEC6933">
      <w:pPr>
        <w:widowControl/>
      </w:pPr>
      <w:r>
        <w:rPr>
          <w:rFonts w:ascii="Times New Roman" w:hAnsi="Times New Roman" w:eastAsia="宋体"/>
          <w:sz w:val="21"/>
        </w:rPr>
        <w:t>四组固定MPF、区域预算、数据流与更新次数，统一将区域特征经Q直接回投后与F联合分类，不设Reader或支持槽。关闭B→Q仅将新增相容项权重置零；关闭Adapter仍保留基础内容投影及输出维度。两种Q下分别比较Adapter的有无，两种Adapter设置下分别比较B→Q的有无；交互为“联用−仅相容项−仅适配＋基准”。各差值及交互均待测。若相容项仅降低混合率而分类无变化，只支持区域组织改变；若仅联用提高，不应宣称两项各自独立有效。</w:t>
      </w:r>
    </w:p>
    <w:p w14:paraId="088A9F80">
      <w:pPr>
        <w:widowControl/>
      </w:pPr>
      <w:r>
        <w:rPr>
          <w:rFonts w:ascii="Times New Roman" w:hAnsi="Times New Roman" w:eastAsia="宋体"/>
          <w:sz w:val="21"/>
        </w:rPr>
        <w:t>混合率在有效区域中统计Q加权GT建筑比例介于0.1与0.9的区域比例，同时报告有效区域数、质量分布和前景等级混合。边缘错率在预先固定宽度的GT建筑边界带内计算四类错误及分母，GT仅用于评价。本轮不新增或修改图片；后续结构诊断需导出同窗口预测B、Q开关、b(Q)、H(Q)及四组分类结果，不能以GT边界替代模型响应。</w:t>
      </w:r>
    </w:p>
    <w:p w14:paraId="147E7E0E">
      <w:pPr>
        <w:pStyle w:val="15"/>
        <w:keepNext/>
        <w:widowControl/>
      </w:pPr>
      <w:r>
        <w:rPr>
          <w:rFonts w:ascii="Times New Roman" w:hAnsi="Times New Roman" w:eastAsia="宋体"/>
          <w:sz w:val="19"/>
        </w:rPr>
        <w:t>表3(b)　固定同一Q的内容条件与容量对照</w:t>
      </w:r>
    </w:p>
    <w:tbl>
      <w:tblPr>
        <w:tblStyle w:val="33"/>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18"/>
        <w:gridCol w:w="1409"/>
        <w:gridCol w:w="1409"/>
        <w:gridCol w:w="1409"/>
        <w:gridCol w:w="1409"/>
        <w:gridCol w:w="1409"/>
      </w:tblGrid>
      <w:tr w14:paraId="45BB240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818" w:type="dxa"/>
            <w:tcBorders>
              <w:top w:val="single" w:color="000000" w:sz="10" w:space="0"/>
              <w:left w:val="nil"/>
              <w:bottom w:val="single" w:color="000000" w:sz="4" w:space="0"/>
              <w:right w:val="nil"/>
            </w:tcBorders>
            <w:vAlign w:val="center"/>
          </w:tcPr>
          <w:p w14:paraId="657D18C1">
            <w:pPr>
              <w:keepNext/>
              <w:spacing w:before="40" w:after="40" w:line="240" w:lineRule="auto"/>
              <w:ind w:firstLine="0"/>
            </w:pPr>
            <w:r>
              <w:rPr>
                <w:rFonts w:ascii="Times New Roman" w:hAnsi="Times New Roman" w:eastAsia="宋体"/>
                <w:b/>
                <w:sz w:val="18"/>
              </w:rPr>
              <w:t>适配设置</w:t>
            </w:r>
          </w:p>
        </w:tc>
        <w:tc>
          <w:tcPr>
            <w:tcW w:w="1409" w:type="dxa"/>
            <w:tcBorders>
              <w:top w:val="single" w:color="000000" w:sz="10" w:space="0"/>
              <w:left w:val="nil"/>
              <w:bottom w:val="single" w:color="000000" w:sz="4" w:space="0"/>
              <w:right w:val="nil"/>
            </w:tcBorders>
            <w:vAlign w:val="center"/>
          </w:tcPr>
          <w:p w14:paraId="735E9A95">
            <w:pPr>
              <w:keepNext/>
              <w:spacing w:before="40" w:after="40" w:line="240" w:lineRule="auto"/>
              <w:ind w:firstLine="0"/>
            </w:pPr>
            <w:r>
              <w:rPr>
                <w:rFonts w:ascii="Times New Roman" w:hAnsi="Times New Roman" w:eastAsia="宋体"/>
                <w:b/>
                <w:sz w:val="18"/>
              </w:rPr>
              <w:t>活跃参数M</w:t>
            </w:r>
          </w:p>
        </w:tc>
        <w:tc>
          <w:tcPr>
            <w:tcW w:w="1409" w:type="dxa"/>
            <w:tcBorders>
              <w:top w:val="single" w:color="000000" w:sz="10" w:space="0"/>
              <w:left w:val="nil"/>
              <w:bottom w:val="single" w:color="000000" w:sz="4" w:space="0"/>
              <w:right w:val="nil"/>
            </w:tcBorders>
            <w:vAlign w:val="center"/>
          </w:tcPr>
          <w:p w14:paraId="4E948A6B">
            <w:pPr>
              <w:keepNext/>
              <w:spacing w:before="40" w:after="40" w:line="240" w:lineRule="auto"/>
              <w:ind w:firstLine="0"/>
            </w:pPr>
            <w:r>
              <w:rPr>
                <w:rFonts w:ascii="Times New Roman" w:hAnsi="Times New Roman" w:eastAsia="宋体"/>
                <w:b/>
                <w:sz w:val="18"/>
              </w:rPr>
              <w:t>前景mIoU%</w:t>
            </w:r>
          </w:p>
        </w:tc>
        <w:tc>
          <w:tcPr>
            <w:tcW w:w="1409" w:type="dxa"/>
            <w:tcBorders>
              <w:top w:val="single" w:color="000000" w:sz="10" w:space="0"/>
              <w:left w:val="nil"/>
              <w:bottom w:val="single" w:color="000000" w:sz="4" w:space="0"/>
              <w:right w:val="nil"/>
            </w:tcBorders>
            <w:vAlign w:val="center"/>
          </w:tcPr>
          <w:p w14:paraId="6C931974">
            <w:pPr>
              <w:keepNext/>
              <w:spacing w:before="40" w:after="40" w:line="240" w:lineRule="auto"/>
              <w:ind w:firstLine="0"/>
            </w:pPr>
            <w:r>
              <w:rPr>
                <w:rFonts w:ascii="Times New Roman" w:hAnsi="Times New Roman" w:eastAsia="宋体"/>
                <w:b/>
                <w:sz w:val="18"/>
              </w:rPr>
              <w:t>受损IoU%</w:t>
            </w:r>
          </w:p>
        </w:tc>
        <w:tc>
          <w:tcPr>
            <w:tcW w:w="1409" w:type="dxa"/>
            <w:tcBorders>
              <w:top w:val="single" w:color="000000" w:sz="10" w:space="0"/>
              <w:left w:val="nil"/>
              <w:bottom w:val="single" w:color="000000" w:sz="4" w:space="0"/>
              <w:right w:val="nil"/>
            </w:tcBorders>
            <w:vAlign w:val="center"/>
          </w:tcPr>
          <w:p w14:paraId="59F88972">
            <w:pPr>
              <w:keepNext/>
              <w:spacing w:before="40" w:after="40" w:line="240" w:lineRule="auto"/>
              <w:ind w:firstLine="0"/>
            </w:pPr>
            <w:r>
              <w:rPr>
                <w:rFonts w:ascii="Times New Roman" w:hAnsi="Times New Roman" w:eastAsia="宋体"/>
                <w:b/>
                <w:sz w:val="18"/>
              </w:rPr>
              <w:t>毁坏IoU%</w:t>
            </w:r>
          </w:p>
        </w:tc>
        <w:tc>
          <w:tcPr>
            <w:tcW w:w="1409" w:type="dxa"/>
            <w:tcBorders>
              <w:top w:val="single" w:color="000000" w:sz="10" w:space="0"/>
              <w:left w:val="nil"/>
              <w:bottom w:val="single" w:color="000000" w:sz="4" w:space="0"/>
              <w:right w:val="nil"/>
            </w:tcBorders>
            <w:vAlign w:val="center"/>
          </w:tcPr>
          <w:p w14:paraId="67DD2445">
            <w:pPr>
              <w:keepNext/>
              <w:spacing w:before="40" w:after="40" w:line="240" w:lineRule="auto"/>
              <w:ind w:firstLine="0"/>
            </w:pPr>
            <w:r>
              <w:rPr>
                <w:rFonts w:ascii="Times New Roman" w:hAnsi="Times New Roman" w:eastAsia="宋体"/>
                <w:b/>
                <w:sz w:val="18"/>
              </w:rPr>
              <w:t>边缘错率%</w:t>
            </w:r>
          </w:p>
        </w:tc>
      </w:tr>
      <w:tr w14:paraId="58F8C00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18" w:type="dxa"/>
            <w:tcBorders>
              <w:top w:val="nil"/>
              <w:left w:val="nil"/>
              <w:bottom w:val="nil"/>
              <w:right w:val="nil"/>
            </w:tcBorders>
            <w:vAlign w:val="center"/>
          </w:tcPr>
          <w:p w14:paraId="5E0E424D">
            <w:pPr>
              <w:keepNext/>
              <w:spacing w:before="40" w:after="40" w:line="240" w:lineRule="auto"/>
              <w:ind w:firstLine="0"/>
            </w:pPr>
            <w:r>
              <w:rPr>
                <w:rFonts w:ascii="Times New Roman" w:hAnsi="Times New Roman" w:eastAsia="宋体"/>
                <w:b w:val="0"/>
                <w:sz w:val="18"/>
              </w:rPr>
              <w:t>普通内容Adapter</w:t>
            </w:r>
          </w:p>
        </w:tc>
        <w:tc>
          <w:tcPr>
            <w:tcW w:w="1409" w:type="dxa"/>
            <w:tcBorders>
              <w:top w:val="nil"/>
              <w:left w:val="nil"/>
              <w:bottom w:val="nil"/>
              <w:right w:val="nil"/>
            </w:tcBorders>
            <w:vAlign w:val="center"/>
          </w:tcPr>
          <w:p>
            <w:pPr>
              <w:ind w:firstLine="0"/>
            </w:pPr>
            <w:r>
              <w:rPr>
                <w:rFonts w:ascii="Times New Roman" w:hAnsi="Times New Roman" w:eastAsia="宋体"/>
                <w:sz w:val="16"/>
              </w:rPr>
              <w:t>待核</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r>
      <w:tr w14:paraId="3F3FFFC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18" w:type="dxa"/>
            <w:tcBorders>
              <w:top w:val="nil"/>
              <w:left w:val="nil"/>
              <w:bottom w:val="nil"/>
              <w:right w:val="nil"/>
            </w:tcBorders>
            <w:vAlign w:val="center"/>
          </w:tcPr>
          <w:p w14:paraId="00562713">
            <w:pPr>
              <w:keepNext/>
              <w:spacing w:before="40" w:after="40" w:line="240" w:lineRule="auto"/>
              <w:ind w:firstLine="0"/>
            </w:pPr>
            <w:r>
              <w:rPr>
                <w:rFonts w:ascii="Times New Roman" w:hAnsi="Times New Roman" w:eastAsia="宋体"/>
                <w:b w:val="0"/>
                <w:sz w:val="18"/>
              </w:rPr>
              <w:t>完整B、b(Q)、H(Q)</w:t>
            </w:r>
          </w:p>
        </w:tc>
        <w:tc>
          <w:tcPr>
            <w:tcW w:w="1409" w:type="dxa"/>
            <w:tcBorders>
              <w:top w:val="nil"/>
              <w:left w:val="nil"/>
              <w:bottom w:val="nil"/>
              <w:right w:val="nil"/>
            </w:tcBorders>
            <w:vAlign w:val="center"/>
          </w:tcPr>
          <w:p>
            <w:pPr>
              <w:ind w:firstLine="0"/>
            </w:pPr>
            <w:r>
              <w:rPr>
                <w:rFonts w:ascii="Times New Roman" w:hAnsi="Times New Roman" w:eastAsia="宋体"/>
                <w:sz w:val="16"/>
              </w:rPr>
              <w:t>待核</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r>
      <w:tr w14:paraId="4CF75C4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18" w:type="dxa"/>
            <w:tcBorders>
              <w:top w:val="nil"/>
              <w:left w:val="nil"/>
              <w:bottom w:val="nil"/>
              <w:right w:val="nil"/>
            </w:tcBorders>
            <w:vAlign w:val="center"/>
          </w:tcPr>
          <w:p w14:paraId="20C568B0">
            <w:pPr>
              <w:keepNext/>
              <w:spacing w:before="40" w:after="40" w:line="240" w:lineRule="auto"/>
              <w:ind w:firstLine="0"/>
            </w:pPr>
            <w:r>
              <w:rPr>
                <w:rFonts w:ascii="Times New Roman" w:hAnsi="Times New Roman" w:eastAsia="宋体"/>
                <w:b w:val="0"/>
                <w:sz w:val="18"/>
              </w:rPr>
              <w:t>去显式B</w:t>
            </w:r>
          </w:p>
        </w:tc>
        <w:tc>
          <w:tcPr>
            <w:tcW w:w="1409" w:type="dxa"/>
            <w:tcBorders>
              <w:top w:val="nil"/>
              <w:left w:val="nil"/>
              <w:bottom w:val="nil"/>
              <w:right w:val="nil"/>
            </w:tcBorders>
            <w:vAlign w:val="center"/>
          </w:tcPr>
          <w:p>
            <w:pPr>
              <w:ind w:firstLine="0"/>
            </w:pPr>
            <w:r>
              <w:rPr>
                <w:rFonts w:ascii="Times New Roman" w:hAnsi="Times New Roman" w:eastAsia="宋体"/>
                <w:sz w:val="16"/>
              </w:rPr>
              <w:t>待核</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r>
      <w:tr w14:paraId="098FD28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18" w:type="dxa"/>
            <w:tcBorders>
              <w:top w:val="nil"/>
              <w:left w:val="nil"/>
              <w:bottom w:val="nil"/>
              <w:right w:val="nil"/>
            </w:tcBorders>
            <w:vAlign w:val="center"/>
          </w:tcPr>
          <w:p w14:paraId="4F1F5941">
            <w:pPr>
              <w:keepNext/>
              <w:spacing w:before="40" w:after="40" w:line="240" w:lineRule="auto"/>
              <w:ind w:firstLine="0"/>
            </w:pPr>
            <w:r>
              <w:rPr>
                <w:rFonts w:ascii="Times New Roman" w:hAnsi="Times New Roman" w:eastAsia="宋体"/>
                <w:b w:val="0"/>
                <w:sz w:val="18"/>
              </w:rPr>
              <w:t>去b(Q)</w:t>
            </w:r>
          </w:p>
        </w:tc>
        <w:tc>
          <w:tcPr>
            <w:tcW w:w="1409" w:type="dxa"/>
            <w:tcBorders>
              <w:top w:val="nil"/>
              <w:left w:val="nil"/>
              <w:bottom w:val="nil"/>
              <w:right w:val="nil"/>
            </w:tcBorders>
            <w:vAlign w:val="center"/>
          </w:tcPr>
          <w:p>
            <w:pPr>
              <w:ind w:firstLine="0"/>
            </w:pPr>
            <w:r>
              <w:rPr>
                <w:rFonts w:ascii="Times New Roman" w:hAnsi="Times New Roman" w:eastAsia="宋体"/>
                <w:sz w:val="16"/>
              </w:rPr>
              <w:t>待核</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c>
          <w:tcPr>
            <w:tcW w:w="1409" w:type="dxa"/>
            <w:tcBorders>
              <w:top w:val="nil"/>
              <w:left w:val="nil"/>
              <w:bottom w:val="nil"/>
              <w:right w:val="nil"/>
            </w:tcBorders>
            <w:vAlign w:val="center"/>
          </w:tcPr>
          <w:p>
            <w:pPr>
              <w:ind w:firstLine="0"/>
            </w:pPr>
            <w:r>
              <w:rPr>
                <w:rFonts w:ascii="Times New Roman" w:hAnsi="Times New Roman" w:eastAsia="宋体"/>
                <w:sz w:val="16"/>
              </w:rPr>
              <w:t>待测</w:t>
            </w:r>
          </w:p>
        </w:tc>
      </w:tr>
      <w:tr w14:paraId="08A9439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818" w:type="dxa"/>
            <w:tcBorders>
              <w:top w:val="nil"/>
              <w:left w:val="nil"/>
              <w:bottom w:val="single" w:color="000000" w:sz="10" w:space="0"/>
              <w:right w:val="nil"/>
            </w:tcBorders>
            <w:vAlign w:val="center"/>
          </w:tcPr>
          <w:p w14:paraId="42B4FEC9">
            <w:pPr>
              <w:keepNext w:val="0"/>
              <w:spacing w:before="40" w:after="40" w:line="240" w:lineRule="auto"/>
              <w:ind w:firstLine="0"/>
            </w:pPr>
            <w:r>
              <w:rPr>
                <w:rFonts w:ascii="Times New Roman" w:hAnsi="Times New Roman" w:eastAsia="宋体"/>
                <w:b w:val="0"/>
                <w:sz w:val="18"/>
              </w:rPr>
              <w:t>去H(Q)</w:t>
            </w:r>
          </w:p>
        </w:tc>
        <w:tc>
          <w:tcPr>
            <w:tcW w:w="1409" w:type="dxa"/>
            <w:tcBorders>
              <w:top w:val="nil"/>
              <w:left w:val="nil"/>
              <w:bottom w:val="single" w:color="000000" w:sz="10" w:space="0"/>
              <w:right w:val="nil"/>
            </w:tcBorders>
            <w:vAlign w:val="center"/>
          </w:tcPr>
          <w:p>
            <w:pPr>
              <w:ind w:firstLine="0"/>
            </w:pPr>
            <w:r>
              <w:rPr>
                <w:rFonts w:ascii="Times New Roman" w:hAnsi="Times New Roman" w:eastAsia="宋体"/>
                <w:sz w:val="16"/>
              </w:rPr>
              <w:t>待核</w:t>
            </w:r>
          </w:p>
        </w:tc>
        <w:tc>
          <w:tcPr>
            <w:tcW w:w="1409"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409"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409"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409"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r>
    </w:tbl>
    <w:p w14:paraId="52904B8D">
      <w:pPr>
        <w:widowControl/>
      </w:pPr>
    </w:p>
    <w:p w14:paraId="4250177F">
      <w:pPr>
        <w:widowControl/>
      </w:pPr>
      <w:r>
        <w:rPr>
          <w:rFonts w:ascii="Times New Roman" w:hAnsi="Times New Roman" w:eastAsia="宋体"/>
          <w:sz w:val="21"/>
        </w:rPr>
        <w:t>表3(b)固定同一Q和融合输入，在本协议下训练完整条件与各去除版本；普通Adapter匹配活跃计算和容量，不能用闲置参数凑数。去显式B不会移除其经Q传递的影响。完整条件、普通Adapter及逐项去除的差值均待测。如果完整条件只优于无Adapter而不优于普通Adapter，证据更接近额外内容处理容量，而非结构条件本身；若去某一条件无变化，也不必断言它无信息，仍需检查与其它条件的冗余及统计稳定性。</w:t>
      </w:r>
    </w:p>
    <w:p w14:paraId="070B848C">
      <w:pPr>
        <w:pStyle w:val="5"/>
        <w:widowControl/>
      </w:pPr>
      <w:r>
        <w:rPr>
          <w:rFonts w:ascii="Times New Roman" w:hAnsi="Times New Roman" w:eastAsia="宋体"/>
          <w:sz w:val="21"/>
        </w:rPr>
        <w:t>2) 当前区域、读取容量和真实历史案例是否有增量</w:t>
      </w:r>
    </w:p>
    <w:p w14:paraId="09AAC703">
      <w:pPr>
        <w:pStyle w:val="15"/>
        <w:keepNext/>
        <w:widowControl/>
      </w:pPr>
      <w:r>
        <w:rPr>
          <w:rFonts w:ascii="Times New Roman" w:hAnsi="Times New Roman" w:eastAsia="宋体"/>
          <w:sz w:val="19"/>
        </w:rPr>
        <w:t>表4　信息来源及读取方式对照</w:t>
      </w:r>
    </w:p>
    <w:tbl>
      <w:tblPr>
        <w:tblStyle w:val="33"/>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50"/>
        <w:gridCol w:w="918"/>
        <w:gridCol w:w="1032"/>
        <w:gridCol w:w="1376"/>
        <w:gridCol w:w="1147"/>
        <w:gridCol w:w="1147"/>
        <w:gridCol w:w="1147"/>
        <w:gridCol w:w="1147"/>
      </w:tblGrid>
      <w:tr w14:paraId="6159385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950" w:type="dxa"/>
            <w:tcBorders>
              <w:top w:val="single" w:color="000000" w:sz="10" w:space="0"/>
              <w:left w:val="nil"/>
              <w:bottom w:val="single" w:color="000000" w:sz="4" w:space="0"/>
              <w:right w:val="nil"/>
            </w:tcBorders>
            <w:vAlign w:val="center"/>
          </w:tcPr>
          <w:p w14:paraId="52ECF1A6">
            <w:pPr>
              <w:keepNext/>
              <w:spacing w:before="40" w:after="40" w:line="240" w:lineRule="auto"/>
              <w:ind w:firstLine="0"/>
            </w:pPr>
            <w:r>
              <w:rPr>
                <w:rFonts w:ascii="Times New Roman" w:hAnsi="Times New Roman" w:eastAsia="宋体"/>
                <w:b/>
                <w:sz w:val="16"/>
              </w:rPr>
              <w:t>配置</w:t>
            </w:r>
          </w:p>
        </w:tc>
        <w:tc>
          <w:tcPr>
            <w:tcW w:w="918" w:type="dxa"/>
            <w:tcBorders>
              <w:top w:val="single" w:color="000000" w:sz="10" w:space="0"/>
              <w:left w:val="nil"/>
              <w:bottom w:val="single" w:color="000000" w:sz="4" w:space="0"/>
              <w:right w:val="nil"/>
            </w:tcBorders>
            <w:vAlign w:val="center"/>
          </w:tcPr>
          <w:p w14:paraId="760618F3">
            <w:pPr>
              <w:keepNext/>
              <w:spacing w:before="40" w:after="40" w:line="240" w:lineRule="auto"/>
              <w:ind w:firstLine="0"/>
            </w:pPr>
            <w:r>
              <w:rPr>
                <w:rFonts w:ascii="Times New Roman" w:hAnsi="Times New Roman" w:eastAsia="宋体"/>
                <w:b/>
                <w:sz w:val="16"/>
              </w:rPr>
              <w:t>当前区域</w:t>
            </w:r>
          </w:p>
        </w:tc>
        <w:tc>
          <w:tcPr>
            <w:tcW w:w="1032" w:type="dxa"/>
            <w:tcBorders>
              <w:top w:val="single" w:color="000000" w:sz="10" w:space="0"/>
              <w:left w:val="nil"/>
              <w:bottom w:val="single" w:color="000000" w:sz="4" w:space="0"/>
              <w:right w:val="nil"/>
            </w:tcBorders>
            <w:vAlign w:val="center"/>
          </w:tcPr>
          <w:p w14:paraId="210148A9">
            <w:pPr>
              <w:keepNext/>
              <w:spacing w:before="40" w:after="40" w:line="240" w:lineRule="auto"/>
              <w:ind w:firstLine="0"/>
            </w:pPr>
            <w:r>
              <w:rPr>
                <w:rFonts w:ascii="Times New Roman" w:hAnsi="Times New Roman" w:eastAsia="宋体"/>
                <w:b/>
                <w:sz w:val="16"/>
              </w:rPr>
              <w:t>真实Train支持</w:t>
            </w:r>
          </w:p>
        </w:tc>
        <w:tc>
          <w:tcPr>
            <w:tcW w:w="1376" w:type="dxa"/>
            <w:tcBorders>
              <w:top w:val="single" w:color="000000" w:sz="10" w:space="0"/>
              <w:left w:val="nil"/>
              <w:bottom w:val="single" w:color="000000" w:sz="4" w:space="0"/>
              <w:right w:val="nil"/>
            </w:tcBorders>
            <w:vAlign w:val="center"/>
          </w:tcPr>
          <w:p w14:paraId="63CC9587">
            <w:pPr>
              <w:keepNext/>
              <w:spacing w:before="40" w:after="40" w:line="240" w:lineRule="auto"/>
              <w:ind w:firstLine="0"/>
            </w:pPr>
            <w:r>
              <w:rPr>
                <w:rFonts w:ascii="Times New Roman" w:hAnsi="Times New Roman" w:eastAsia="宋体"/>
                <w:b/>
                <w:sz w:val="16"/>
              </w:rPr>
              <w:t>选择方式</w:t>
            </w:r>
          </w:p>
        </w:tc>
        <w:tc>
          <w:tcPr>
            <w:tcW w:w="1147" w:type="dxa"/>
            <w:tcBorders>
              <w:top w:val="single" w:color="000000" w:sz="10" w:space="0"/>
              <w:left w:val="nil"/>
              <w:bottom w:val="single" w:color="000000" w:sz="4" w:space="0"/>
              <w:right w:val="nil"/>
            </w:tcBorders>
            <w:vAlign w:val="center"/>
          </w:tcPr>
          <w:p w14:paraId="25DD756B">
            <w:pPr>
              <w:keepNext/>
              <w:spacing w:before="40" w:after="40" w:line="240" w:lineRule="auto"/>
              <w:ind w:firstLine="0"/>
            </w:pPr>
            <w:r>
              <w:rPr>
                <w:rFonts w:ascii="Times New Roman" w:hAnsi="Times New Roman" w:eastAsia="宋体"/>
                <w:b/>
                <w:sz w:val="16"/>
              </w:rPr>
              <w:t>四类mIoU%</w:t>
            </w:r>
          </w:p>
        </w:tc>
        <w:tc>
          <w:tcPr>
            <w:tcW w:w="1147" w:type="dxa"/>
            <w:tcBorders>
              <w:top w:val="single" w:color="000000" w:sz="10" w:space="0"/>
              <w:left w:val="nil"/>
              <w:bottom w:val="single" w:color="000000" w:sz="4" w:space="0"/>
              <w:right w:val="nil"/>
            </w:tcBorders>
            <w:vAlign w:val="center"/>
          </w:tcPr>
          <w:p w14:paraId="53ED45C8">
            <w:pPr>
              <w:keepNext/>
              <w:spacing w:before="40" w:after="40" w:line="240" w:lineRule="auto"/>
              <w:ind w:firstLine="0"/>
            </w:pPr>
            <w:r>
              <w:rPr>
                <w:rFonts w:ascii="Times New Roman" w:hAnsi="Times New Roman" w:eastAsia="宋体"/>
                <w:b/>
                <w:sz w:val="16"/>
              </w:rPr>
              <w:t>前景mIoU%</w:t>
            </w:r>
          </w:p>
        </w:tc>
        <w:tc>
          <w:tcPr>
            <w:tcW w:w="1147" w:type="dxa"/>
            <w:tcBorders>
              <w:top w:val="single" w:color="000000" w:sz="10" w:space="0"/>
              <w:left w:val="nil"/>
              <w:bottom w:val="single" w:color="000000" w:sz="4" w:space="0"/>
              <w:right w:val="nil"/>
            </w:tcBorders>
            <w:vAlign w:val="center"/>
          </w:tcPr>
          <w:p w14:paraId="794BFB1B">
            <w:pPr>
              <w:keepNext/>
              <w:spacing w:before="40" w:after="40" w:line="240" w:lineRule="auto"/>
              <w:ind w:firstLine="0"/>
            </w:pPr>
            <w:r>
              <w:rPr>
                <w:rFonts w:ascii="Times New Roman" w:hAnsi="Times New Roman" w:eastAsia="宋体"/>
                <w:b/>
                <w:sz w:val="16"/>
              </w:rPr>
              <w:t>受损IoU%</w:t>
            </w:r>
          </w:p>
        </w:tc>
        <w:tc>
          <w:tcPr>
            <w:tcW w:w="1147" w:type="dxa"/>
            <w:tcBorders>
              <w:top w:val="single" w:color="000000" w:sz="10" w:space="0"/>
              <w:left w:val="nil"/>
              <w:bottom w:val="single" w:color="000000" w:sz="4" w:space="0"/>
              <w:right w:val="nil"/>
            </w:tcBorders>
            <w:vAlign w:val="center"/>
          </w:tcPr>
          <w:p w14:paraId="1C7DEFD8">
            <w:pPr>
              <w:keepNext/>
              <w:spacing w:before="40" w:after="40" w:line="240" w:lineRule="auto"/>
              <w:ind w:firstLine="0"/>
            </w:pPr>
            <w:r>
              <w:rPr>
                <w:rFonts w:ascii="Times New Roman" w:hAnsi="Times New Roman" w:eastAsia="宋体"/>
                <w:b/>
                <w:sz w:val="16"/>
              </w:rPr>
              <w:t>毁坏IoU%</w:t>
            </w:r>
          </w:p>
        </w:tc>
      </w:tr>
      <w:tr w14:paraId="5F7891C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50" w:type="dxa"/>
            <w:tcBorders>
              <w:top w:val="nil"/>
              <w:left w:val="nil"/>
              <w:bottom w:val="nil"/>
              <w:right w:val="nil"/>
            </w:tcBorders>
            <w:vAlign w:val="center"/>
          </w:tcPr>
          <w:p w14:paraId="0BB1F46C">
            <w:pPr>
              <w:keepNext/>
              <w:spacing w:before="40" w:after="40" w:line="240" w:lineRule="auto"/>
              <w:ind w:firstLine="0"/>
            </w:pPr>
            <w:r>
              <w:rPr>
                <w:rFonts w:ascii="Times New Roman" w:hAnsi="Times New Roman" w:eastAsia="宋体"/>
                <w:b w:val="0"/>
                <w:sz w:val="16"/>
              </w:rPr>
              <w:t>像素头适配</w:t>
            </w:r>
          </w:p>
        </w:tc>
        <w:tc>
          <w:tcPr>
            <w:tcW w:w="918" w:type="dxa"/>
            <w:tcBorders>
              <w:top w:val="nil"/>
              <w:left w:val="nil"/>
              <w:bottom w:val="nil"/>
              <w:right w:val="nil"/>
            </w:tcBorders>
            <w:vAlign w:val="center"/>
          </w:tcPr>
          <w:p w14:paraId="2EC5C2F4">
            <w:pPr>
              <w:keepNext/>
              <w:spacing w:before="40" w:after="40" w:line="240" w:lineRule="auto"/>
              <w:ind w:firstLine="0"/>
            </w:pPr>
            <w:r>
              <w:rPr>
                <w:rFonts w:ascii="Times New Roman" w:hAnsi="Times New Roman" w:eastAsia="宋体"/>
                <w:b w:val="0"/>
                <w:sz w:val="16"/>
              </w:rPr>
              <w:t>无</w:t>
            </w:r>
          </w:p>
        </w:tc>
        <w:tc>
          <w:tcPr>
            <w:tcW w:w="1032" w:type="dxa"/>
            <w:tcBorders>
              <w:top w:val="nil"/>
              <w:left w:val="nil"/>
              <w:bottom w:val="nil"/>
              <w:right w:val="nil"/>
            </w:tcBorders>
            <w:vAlign w:val="center"/>
          </w:tcPr>
          <w:p w14:paraId="38E53ECF">
            <w:pPr>
              <w:keepNext/>
              <w:spacing w:before="40" w:after="40" w:line="240" w:lineRule="auto"/>
              <w:ind w:firstLine="0"/>
            </w:pPr>
            <w:r>
              <w:rPr>
                <w:rFonts w:ascii="Times New Roman" w:hAnsi="Times New Roman" w:eastAsia="宋体"/>
                <w:b w:val="0"/>
                <w:sz w:val="16"/>
              </w:rPr>
              <w:t>无</w:t>
            </w:r>
          </w:p>
        </w:tc>
        <w:tc>
          <w:tcPr>
            <w:tcW w:w="1376" w:type="dxa"/>
            <w:tcBorders>
              <w:top w:val="nil"/>
              <w:left w:val="nil"/>
              <w:bottom w:val="nil"/>
              <w:right w:val="nil"/>
            </w:tcBorders>
            <w:vAlign w:val="center"/>
          </w:tcPr>
          <w:p w14:paraId="1949620E">
            <w:pPr>
              <w:keepNext/>
              <w:spacing w:before="40" w:after="40" w:line="240" w:lineRule="auto"/>
              <w:ind w:firstLine="0"/>
            </w:pPr>
            <w:r>
              <w:rPr>
                <w:rFonts w:ascii="Times New Roman" w:hAnsi="Times New Roman" w:eastAsia="宋体"/>
                <w:b w:val="0"/>
                <w:sz w:val="16"/>
              </w:rPr>
              <w:t>无</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r>
      <w:tr w14:paraId="2294B14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50" w:type="dxa"/>
            <w:tcBorders>
              <w:top w:val="nil"/>
              <w:left w:val="nil"/>
              <w:bottom w:val="nil"/>
              <w:right w:val="nil"/>
            </w:tcBorders>
            <w:vAlign w:val="center"/>
          </w:tcPr>
          <w:p w14:paraId="07F1051D">
            <w:pPr>
              <w:keepNext/>
              <w:spacing w:before="40" w:after="40" w:line="240" w:lineRule="auto"/>
              <w:ind w:firstLine="0"/>
            </w:pPr>
            <w:r>
              <w:rPr>
                <w:rFonts w:ascii="Times New Roman" w:hAnsi="Times New Roman" w:eastAsia="宋体"/>
                <w:b w:val="0"/>
                <w:sz w:val="16"/>
              </w:rPr>
              <w:t>像素–区域融合</w:t>
            </w:r>
          </w:p>
        </w:tc>
        <w:tc>
          <w:tcPr>
            <w:tcW w:w="918" w:type="dxa"/>
            <w:tcBorders>
              <w:top w:val="nil"/>
              <w:left w:val="nil"/>
              <w:bottom w:val="nil"/>
              <w:right w:val="nil"/>
            </w:tcBorders>
            <w:vAlign w:val="center"/>
          </w:tcPr>
          <w:p w14:paraId="6E92A4F3">
            <w:pPr>
              <w:keepNext/>
              <w:spacing w:before="40" w:after="40" w:line="240" w:lineRule="auto"/>
              <w:ind w:firstLine="0"/>
            </w:pPr>
            <w:r>
              <w:rPr>
                <w:rFonts w:ascii="Times New Roman" w:hAnsi="Times New Roman" w:eastAsia="宋体"/>
                <w:b w:val="0"/>
                <w:sz w:val="16"/>
              </w:rPr>
              <w:t>有</w:t>
            </w:r>
          </w:p>
        </w:tc>
        <w:tc>
          <w:tcPr>
            <w:tcW w:w="1032" w:type="dxa"/>
            <w:tcBorders>
              <w:top w:val="nil"/>
              <w:left w:val="nil"/>
              <w:bottom w:val="nil"/>
              <w:right w:val="nil"/>
            </w:tcBorders>
            <w:vAlign w:val="center"/>
          </w:tcPr>
          <w:p w14:paraId="176DE435">
            <w:pPr>
              <w:keepNext/>
              <w:spacing w:before="40" w:after="40" w:line="240" w:lineRule="auto"/>
              <w:ind w:firstLine="0"/>
            </w:pPr>
            <w:r>
              <w:rPr>
                <w:rFonts w:ascii="Times New Roman" w:hAnsi="Times New Roman" w:eastAsia="宋体"/>
                <w:b w:val="0"/>
                <w:sz w:val="16"/>
              </w:rPr>
              <w:t>无</w:t>
            </w:r>
          </w:p>
        </w:tc>
        <w:tc>
          <w:tcPr>
            <w:tcW w:w="1376" w:type="dxa"/>
            <w:tcBorders>
              <w:top w:val="nil"/>
              <w:left w:val="nil"/>
              <w:bottom w:val="nil"/>
              <w:right w:val="nil"/>
            </w:tcBorders>
            <w:vAlign w:val="center"/>
          </w:tcPr>
          <w:p w14:paraId="3B313D49">
            <w:pPr>
              <w:keepNext/>
              <w:spacing w:before="40" w:after="40" w:line="240" w:lineRule="auto"/>
              <w:ind w:firstLine="0"/>
            </w:pPr>
            <w:r>
              <w:rPr>
                <w:rFonts w:ascii="Times New Roman" w:hAnsi="Times New Roman" w:eastAsia="宋体"/>
                <w:b w:val="0"/>
                <w:sz w:val="16"/>
              </w:rPr>
              <w:t>直接回投</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r>
      <w:tr w14:paraId="48C3110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50" w:type="dxa"/>
            <w:tcBorders>
              <w:top w:val="nil"/>
              <w:left w:val="nil"/>
              <w:bottom w:val="nil"/>
              <w:right w:val="nil"/>
            </w:tcBorders>
            <w:vAlign w:val="center"/>
          </w:tcPr>
          <w:p w14:paraId="5D8E99A7">
            <w:pPr>
              <w:keepNext/>
              <w:spacing w:before="40" w:after="40" w:line="240" w:lineRule="auto"/>
              <w:ind w:firstLine="0"/>
            </w:pPr>
            <w:r>
              <w:rPr>
                <w:rFonts w:ascii="Times New Roman" w:hAnsi="Times New Roman" w:eastAsia="宋体"/>
                <w:b w:val="0"/>
                <w:sz w:val="16"/>
              </w:rPr>
              <w:t>参数化支持</w:t>
            </w:r>
          </w:p>
        </w:tc>
        <w:tc>
          <w:tcPr>
            <w:tcW w:w="918" w:type="dxa"/>
            <w:tcBorders>
              <w:top w:val="nil"/>
              <w:left w:val="nil"/>
              <w:bottom w:val="nil"/>
              <w:right w:val="nil"/>
            </w:tcBorders>
            <w:vAlign w:val="center"/>
          </w:tcPr>
          <w:p w14:paraId="13643C63">
            <w:pPr>
              <w:keepNext/>
              <w:spacing w:before="40" w:after="40" w:line="240" w:lineRule="auto"/>
              <w:ind w:firstLine="0"/>
            </w:pPr>
            <w:r>
              <w:rPr>
                <w:rFonts w:ascii="Times New Roman" w:hAnsi="Times New Roman" w:eastAsia="宋体"/>
                <w:b w:val="0"/>
                <w:sz w:val="16"/>
              </w:rPr>
              <w:t>有</w:t>
            </w:r>
          </w:p>
        </w:tc>
        <w:tc>
          <w:tcPr>
            <w:tcW w:w="1032" w:type="dxa"/>
            <w:tcBorders>
              <w:top w:val="nil"/>
              <w:left w:val="nil"/>
              <w:bottom w:val="nil"/>
              <w:right w:val="nil"/>
            </w:tcBorders>
            <w:vAlign w:val="center"/>
          </w:tcPr>
          <w:p w14:paraId="7A6EACCC">
            <w:pPr>
              <w:keepNext/>
              <w:spacing w:before="40" w:after="40" w:line="240" w:lineRule="auto"/>
              <w:ind w:firstLine="0"/>
            </w:pPr>
            <w:r>
              <w:rPr>
                <w:rFonts w:ascii="Times New Roman" w:hAnsi="Times New Roman" w:eastAsia="宋体"/>
                <w:b w:val="0"/>
                <w:sz w:val="16"/>
              </w:rPr>
              <w:t>无</w:t>
            </w:r>
          </w:p>
        </w:tc>
        <w:tc>
          <w:tcPr>
            <w:tcW w:w="1376" w:type="dxa"/>
            <w:tcBorders>
              <w:top w:val="nil"/>
              <w:left w:val="nil"/>
              <w:bottom w:val="nil"/>
              <w:right w:val="nil"/>
            </w:tcBorders>
            <w:vAlign w:val="center"/>
          </w:tcPr>
          <w:p w14:paraId="54E450F8">
            <w:pPr>
              <w:keepNext/>
              <w:spacing w:before="40" w:after="40" w:line="240" w:lineRule="auto"/>
              <w:ind w:firstLine="0"/>
            </w:pPr>
            <w:r>
              <w:rPr>
                <w:rFonts w:ascii="Times New Roman" w:hAnsi="Times New Roman" w:eastAsia="宋体"/>
                <w:b w:val="0"/>
                <w:sz w:val="16"/>
              </w:rPr>
              <w:t>可学习向量</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r>
      <w:tr w14:paraId="792FA59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50" w:type="dxa"/>
            <w:tcBorders>
              <w:top w:val="nil"/>
              <w:left w:val="nil"/>
              <w:bottom w:val="nil"/>
              <w:right w:val="nil"/>
            </w:tcBorders>
            <w:vAlign w:val="center"/>
          </w:tcPr>
          <w:p w14:paraId="6B29D928">
            <w:pPr>
              <w:keepNext/>
              <w:spacing w:before="40" w:after="40" w:line="240" w:lineRule="auto"/>
              <w:ind w:firstLine="0"/>
            </w:pPr>
            <w:r>
              <w:rPr>
                <w:rFonts w:ascii="Times New Roman" w:hAnsi="Times New Roman" w:eastAsia="宋体"/>
                <w:b w:val="0"/>
                <w:sz w:val="16"/>
              </w:rPr>
              <w:t>余弦检索</w:t>
            </w:r>
          </w:p>
        </w:tc>
        <w:tc>
          <w:tcPr>
            <w:tcW w:w="918" w:type="dxa"/>
            <w:tcBorders>
              <w:top w:val="nil"/>
              <w:left w:val="nil"/>
              <w:bottom w:val="nil"/>
              <w:right w:val="nil"/>
            </w:tcBorders>
            <w:vAlign w:val="center"/>
          </w:tcPr>
          <w:p w14:paraId="2F7CFDFD">
            <w:pPr>
              <w:keepNext/>
              <w:spacing w:before="40" w:after="40" w:line="240" w:lineRule="auto"/>
              <w:ind w:firstLine="0"/>
            </w:pPr>
            <w:r>
              <w:rPr>
                <w:rFonts w:ascii="Times New Roman" w:hAnsi="Times New Roman" w:eastAsia="宋体"/>
                <w:b w:val="0"/>
                <w:sz w:val="16"/>
              </w:rPr>
              <w:t>有</w:t>
            </w:r>
          </w:p>
        </w:tc>
        <w:tc>
          <w:tcPr>
            <w:tcW w:w="1032" w:type="dxa"/>
            <w:tcBorders>
              <w:top w:val="nil"/>
              <w:left w:val="nil"/>
              <w:bottom w:val="nil"/>
              <w:right w:val="nil"/>
            </w:tcBorders>
            <w:vAlign w:val="center"/>
          </w:tcPr>
          <w:p w14:paraId="55B32254">
            <w:pPr>
              <w:keepNext/>
              <w:spacing w:before="40" w:after="40" w:line="240" w:lineRule="auto"/>
              <w:ind w:firstLine="0"/>
            </w:pPr>
            <w:r>
              <w:rPr>
                <w:rFonts w:ascii="Times New Roman" w:hAnsi="Times New Roman" w:eastAsia="宋体"/>
                <w:b w:val="0"/>
                <w:sz w:val="16"/>
              </w:rPr>
              <w:t>有</w:t>
            </w:r>
          </w:p>
        </w:tc>
        <w:tc>
          <w:tcPr>
            <w:tcW w:w="1376" w:type="dxa"/>
            <w:tcBorders>
              <w:top w:val="nil"/>
              <w:left w:val="nil"/>
              <w:bottom w:val="nil"/>
              <w:right w:val="nil"/>
            </w:tcBorders>
            <w:vAlign w:val="center"/>
          </w:tcPr>
          <w:p w14:paraId="4C2D5C31">
            <w:pPr>
              <w:keepNext/>
              <w:spacing w:before="40" w:after="40" w:line="240" w:lineRule="auto"/>
              <w:ind w:firstLine="0"/>
            </w:pPr>
            <w:r>
              <w:rPr>
                <w:rFonts w:ascii="Times New Roman" w:hAnsi="Times New Roman" w:eastAsia="宋体"/>
                <w:b w:val="0"/>
                <w:sz w:val="16"/>
              </w:rPr>
              <w:t>原始T余弦</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c>
          <w:tcPr>
            <w:tcW w:w="1147" w:type="dxa"/>
            <w:tcBorders>
              <w:top w:val="nil"/>
              <w:left w:val="nil"/>
              <w:bottom w:val="nil"/>
              <w:right w:val="nil"/>
            </w:tcBorders>
            <w:vAlign w:val="center"/>
          </w:tcPr>
          <w:p>
            <w:pPr>
              <w:ind w:firstLine="0"/>
            </w:pPr>
            <w:r>
              <w:rPr>
                <w:rFonts w:ascii="Times New Roman" w:hAnsi="Times New Roman" w:eastAsia="宋体"/>
                <w:sz w:val="16"/>
              </w:rPr>
              <w:t>待测</w:t>
            </w:r>
          </w:p>
        </w:tc>
      </w:tr>
      <w:tr w14:paraId="1AAA8C0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50" w:type="dxa"/>
            <w:tcBorders>
              <w:top w:val="nil"/>
              <w:left w:val="nil"/>
              <w:bottom w:val="single" w:color="000000" w:sz="10" w:space="0"/>
              <w:right w:val="nil"/>
            </w:tcBorders>
            <w:vAlign w:val="center"/>
          </w:tcPr>
          <w:p w14:paraId="3663775E">
            <w:pPr>
              <w:keepNext w:val="0"/>
              <w:spacing w:before="40" w:after="40" w:line="240" w:lineRule="auto"/>
              <w:ind w:firstLine="0"/>
            </w:pPr>
            <w:r>
              <w:rPr>
                <w:rFonts w:ascii="Times New Roman" w:hAnsi="Times New Roman" w:eastAsia="宋体"/>
                <w:b w:val="0"/>
                <w:sz w:val="16"/>
              </w:rPr>
              <w:t>跨事件监督检索</w:t>
            </w:r>
          </w:p>
        </w:tc>
        <w:tc>
          <w:tcPr>
            <w:tcW w:w="918" w:type="dxa"/>
            <w:tcBorders>
              <w:top w:val="nil"/>
              <w:left w:val="nil"/>
              <w:bottom w:val="single" w:color="000000" w:sz="10" w:space="0"/>
              <w:right w:val="nil"/>
            </w:tcBorders>
            <w:vAlign w:val="center"/>
          </w:tcPr>
          <w:p w14:paraId="0C77E2EF">
            <w:pPr>
              <w:keepNext w:val="0"/>
              <w:spacing w:before="40" w:after="40" w:line="240" w:lineRule="auto"/>
              <w:ind w:firstLine="0"/>
            </w:pPr>
            <w:r>
              <w:rPr>
                <w:rFonts w:ascii="Times New Roman" w:hAnsi="Times New Roman" w:eastAsia="宋体"/>
                <w:b w:val="0"/>
                <w:sz w:val="16"/>
              </w:rPr>
              <w:t>有</w:t>
            </w:r>
          </w:p>
        </w:tc>
        <w:tc>
          <w:tcPr>
            <w:tcW w:w="1032" w:type="dxa"/>
            <w:tcBorders>
              <w:top w:val="nil"/>
              <w:left w:val="nil"/>
              <w:bottom w:val="single" w:color="000000" w:sz="10" w:space="0"/>
              <w:right w:val="nil"/>
            </w:tcBorders>
            <w:vAlign w:val="center"/>
          </w:tcPr>
          <w:p w14:paraId="3C37AD34">
            <w:pPr>
              <w:keepNext w:val="0"/>
              <w:spacing w:before="40" w:after="40" w:line="240" w:lineRule="auto"/>
              <w:ind w:firstLine="0"/>
            </w:pPr>
            <w:r>
              <w:rPr>
                <w:rFonts w:ascii="Times New Roman" w:hAnsi="Times New Roman" w:eastAsia="宋体"/>
                <w:b w:val="0"/>
                <w:sz w:val="16"/>
              </w:rPr>
              <w:t>有</w:t>
            </w:r>
          </w:p>
        </w:tc>
        <w:tc>
          <w:tcPr>
            <w:tcW w:w="1376" w:type="dxa"/>
            <w:tcBorders>
              <w:top w:val="nil"/>
              <w:left w:val="nil"/>
              <w:bottom w:val="single" w:color="000000" w:sz="10" w:space="0"/>
              <w:right w:val="nil"/>
            </w:tcBorders>
            <w:vAlign w:val="center"/>
          </w:tcPr>
          <w:p w14:paraId="6A091455">
            <w:pPr>
              <w:keepNext w:val="0"/>
              <w:spacing w:before="40" w:after="40" w:line="240" w:lineRule="auto"/>
              <w:ind w:firstLine="0"/>
            </w:pPr>
            <w:r>
              <w:rPr>
                <w:rFonts w:ascii="Times New Roman" w:hAnsi="Times New Roman" w:eastAsia="宋体"/>
                <w:b w:val="0"/>
                <w:sz w:val="16"/>
              </w:rPr>
              <w:t>学习投影</w:t>
            </w:r>
          </w:p>
        </w:tc>
        <w:tc>
          <w:tcPr>
            <w:tcW w:w="1147"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147"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147"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147"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r>
    </w:tbl>
    <w:p w14:paraId="30D353F6">
      <w:pPr>
        <w:widowControl/>
      </w:pPr>
    </w:p>
    <w:p w14:paraId="33AC8102">
      <w:pPr>
        <w:widowControl/>
      </w:pPr>
      <w:r>
        <w:rPr>
          <w:rFonts w:ascii="Times New Roman" w:hAnsi="Times New Roman" w:eastAsia="宋体"/>
          <w:sz w:val="21"/>
        </w:rPr>
        <w:t>表4固定区域前端与库成员，匹配初始化、损失、更新流和预算。像素–区域相对像素头适配检验当前图像区域上下文；参数化支持检验Reader及学习到的全局先验；真实Train案例相对参数化支持检验历史内容；监督相对余弦比较完整检索配置。上述成绩待测。可学习向量不是空信息，独立训练Reader的差异也包含适应与随机性。只有真实案例优于容量匹配对照，且固定读取器替换支持仍显示相关性作用，才能进一步主张检索信息有增量。</w:t>
      </w:r>
    </w:p>
    <w:p w14:paraId="46EBB3FC">
      <w:pPr>
        <w:pStyle w:val="5"/>
        <w:widowControl/>
      </w:pPr>
      <w:r>
        <w:rPr>
          <w:rFonts w:ascii="Times New Roman" w:hAnsi="Times New Roman" w:eastAsia="宋体"/>
          <w:sz w:val="21"/>
        </w:rPr>
        <w:t>3) 支持更相关是否真正带来分类改善</w:t>
      </w:r>
    </w:p>
    <w:p w14:paraId="56ACC13F">
      <w:pPr>
        <w:pStyle w:val="15"/>
        <w:keepNext/>
        <w:widowControl/>
      </w:pPr>
      <w:r>
        <w:rPr>
          <w:rFonts w:ascii="Times New Roman" w:hAnsi="Times New Roman" w:eastAsia="宋体"/>
          <w:sz w:val="19"/>
        </w:rPr>
        <w:t>表5　固定读取器、联合头和库，仅替换邻居ID</w:t>
      </w:r>
    </w:p>
    <w:tbl>
      <w:tblPr>
        <w:tblStyle w:val="33"/>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66"/>
        <w:gridCol w:w="1233"/>
        <w:gridCol w:w="1233"/>
        <w:gridCol w:w="1233"/>
        <w:gridCol w:w="1233"/>
        <w:gridCol w:w="1233"/>
        <w:gridCol w:w="1233"/>
      </w:tblGrid>
      <w:tr w14:paraId="26C6398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466" w:type="dxa"/>
            <w:tcBorders>
              <w:top w:val="single" w:color="000000" w:sz="10" w:space="0"/>
              <w:left w:val="nil"/>
              <w:bottom w:val="single" w:color="000000" w:sz="4" w:space="0"/>
              <w:right w:val="nil"/>
            </w:tcBorders>
            <w:vAlign w:val="center"/>
          </w:tcPr>
          <w:p w14:paraId="1D697F92">
            <w:pPr>
              <w:keepNext/>
              <w:spacing w:before="40" w:after="40" w:line="240" w:lineRule="auto"/>
              <w:ind w:firstLine="0"/>
            </w:pPr>
            <w:r>
              <w:rPr>
                <w:rFonts w:ascii="Times New Roman" w:hAnsi="Times New Roman" w:eastAsia="宋体"/>
                <w:b/>
                <w:sz w:val="18"/>
              </w:rPr>
              <w:t>支持选择</w:t>
            </w:r>
          </w:p>
        </w:tc>
        <w:tc>
          <w:tcPr>
            <w:tcW w:w="1233" w:type="dxa"/>
            <w:tcBorders>
              <w:top w:val="single" w:color="000000" w:sz="10" w:space="0"/>
              <w:left w:val="nil"/>
              <w:bottom w:val="single" w:color="000000" w:sz="4" w:space="0"/>
              <w:right w:val="nil"/>
            </w:tcBorders>
            <w:vAlign w:val="center"/>
          </w:tcPr>
          <w:p w14:paraId="15600968">
            <w:pPr>
              <w:keepNext/>
              <w:spacing w:before="40" w:after="40" w:line="240" w:lineRule="auto"/>
              <w:ind w:firstLine="0"/>
            </w:pPr>
            <w:r>
              <w:rPr>
                <w:rFonts w:ascii="Times New Roman" w:hAnsi="Times New Roman" w:eastAsia="宋体"/>
                <w:b/>
                <w:sz w:val="18"/>
              </w:rPr>
              <w:t>类宏P@8%</w:t>
            </w:r>
          </w:p>
        </w:tc>
        <w:tc>
          <w:tcPr>
            <w:tcW w:w="1233" w:type="dxa"/>
            <w:tcBorders>
              <w:top w:val="single" w:color="000000" w:sz="10" w:space="0"/>
              <w:left w:val="nil"/>
              <w:bottom w:val="single" w:color="000000" w:sz="4" w:space="0"/>
              <w:right w:val="nil"/>
            </w:tcBorders>
            <w:vAlign w:val="center"/>
          </w:tcPr>
          <w:p w14:paraId="7615234C">
            <w:pPr>
              <w:keepNext/>
              <w:spacing w:before="40" w:after="40" w:line="240" w:lineRule="auto"/>
              <w:ind w:firstLine="0"/>
            </w:pPr>
            <w:r>
              <w:rPr>
                <w:rFonts w:ascii="Times New Roman" w:hAnsi="Times New Roman" w:eastAsia="宋体"/>
                <w:b/>
                <w:sz w:val="18"/>
              </w:rPr>
              <w:t>受损Hit@8%</w:t>
            </w:r>
          </w:p>
        </w:tc>
        <w:tc>
          <w:tcPr>
            <w:tcW w:w="1233" w:type="dxa"/>
            <w:tcBorders>
              <w:top w:val="single" w:color="000000" w:sz="10" w:space="0"/>
              <w:left w:val="nil"/>
              <w:bottom w:val="single" w:color="000000" w:sz="4" w:space="0"/>
              <w:right w:val="nil"/>
            </w:tcBorders>
            <w:vAlign w:val="center"/>
          </w:tcPr>
          <w:p w14:paraId="2F6D5578">
            <w:pPr>
              <w:keepNext/>
              <w:spacing w:before="40" w:after="40" w:line="240" w:lineRule="auto"/>
              <w:ind w:firstLine="0"/>
            </w:pPr>
            <w:r>
              <w:rPr>
                <w:rFonts w:ascii="Times New Roman" w:hAnsi="Times New Roman" w:eastAsia="宋体"/>
                <w:b/>
                <w:sz w:val="18"/>
              </w:rPr>
              <w:t>毁坏Hit@8%</w:t>
            </w:r>
          </w:p>
        </w:tc>
        <w:tc>
          <w:tcPr>
            <w:tcW w:w="1233" w:type="dxa"/>
            <w:tcBorders>
              <w:top w:val="single" w:color="000000" w:sz="10" w:space="0"/>
              <w:left w:val="nil"/>
              <w:bottom w:val="single" w:color="000000" w:sz="4" w:space="0"/>
              <w:right w:val="nil"/>
            </w:tcBorders>
            <w:vAlign w:val="center"/>
          </w:tcPr>
          <w:p w14:paraId="16AAA209">
            <w:pPr>
              <w:keepNext/>
              <w:spacing w:before="40" w:after="40" w:line="240" w:lineRule="auto"/>
              <w:ind w:firstLine="0"/>
            </w:pPr>
            <w:r>
              <w:rPr>
                <w:rFonts w:ascii="Times New Roman" w:hAnsi="Times New Roman" w:eastAsia="宋体"/>
                <w:b/>
                <w:sz w:val="18"/>
              </w:rPr>
              <w:t>救回像素</w:t>
            </w:r>
          </w:p>
        </w:tc>
        <w:tc>
          <w:tcPr>
            <w:tcW w:w="1233" w:type="dxa"/>
            <w:tcBorders>
              <w:top w:val="single" w:color="000000" w:sz="10" w:space="0"/>
              <w:left w:val="nil"/>
              <w:bottom w:val="single" w:color="000000" w:sz="4" w:space="0"/>
              <w:right w:val="nil"/>
            </w:tcBorders>
            <w:vAlign w:val="center"/>
          </w:tcPr>
          <w:p w14:paraId="6260B270">
            <w:pPr>
              <w:keepNext/>
              <w:spacing w:before="40" w:after="40" w:line="240" w:lineRule="auto"/>
              <w:ind w:firstLine="0"/>
            </w:pPr>
            <w:r>
              <w:rPr>
                <w:rFonts w:ascii="Times New Roman" w:hAnsi="Times New Roman" w:eastAsia="宋体"/>
                <w:b/>
                <w:sz w:val="18"/>
              </w:rPr>
              <w:t>误改像素</w:t>
            </w:r>
          </w:p>
        </w:tc>
        <w:tc>
          <w:tcPr>
            <w:tcW w:w="1233" w:type="dxa"/>
            <w:tcBorders>
              <w:top w:val="single" w:color="000000" w:sz="10" w:space="0"/>
              <w:left w:val="nil"/>
              <w:bottom w:val="single" w:color="000000" w:sz="4" w:space="0"/>
              <w:right w:val="nil"/>
            </w:tcBorders>
            <w:vAlign w:val="center"/>
          </w:tcPr>
          <w:p w14:paraId="3C330C2D">
            <w:pPr>
              <w:keepNext/>
              <w:spacing w:before="40" w:after="40" w:line="240" w:lineRule="auto"/>
              <w:ind w:firstLine="0"/>
            </w:pPr>
            <w:r>
              <w:rPr>
                <w:rFonts w:ascii="Times New Roman" w:hAnsi="Times New Roman" w:eastAsia="宋体"/>
                <w:b/>
                <w:sz w:val="18"/>
              </w:rPr>
              <w:t>前景mIoU%</w:t>
            </w:r>
          </w:p>
        </w:tc>
      </w:tr>
      <w:tr w14:paraId="31797C1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66" w:type="dxa"/>
            <w:tcBorders>
              <w:top w:val="nil"/>
              <w:left w:val="nil"/>
              <w:bottom w:val="nil"/>
              <w:right w:val="nil"/>
            </w:tcBorders>
            <w:vAlign w:val="center"/>
          </w:tcPr>
          <w:p w14:paraId="6F29A5C5">
            <w:pPr>
              <w:keepNext/>
              <w:spacing w:before="40" w:after="40" w:line="240" w:lineRule="auto"/>
              <w:ind w:firstLine="0"/>
            </w:pPr>
            <w:r>
              <w:rPr>
                <w:rFonts w:ascii="Times New Roman" w:hAnsi="Times New Roman" w:eastAsia="宋体"/>
                <w:b w:val="0"/>
                <w:sz w:val="18"/>
              </w:rPr>
              <w:t>原始余弦</w:t>
            </w:r>
          </w:p>
        </w:tc>
        <w:tc>
          <w:tcPr>
            <w:tcW w:w="1233" w:type="dxa"/>
            <w:tcBorders>
              <w:top w:val="nil"/>
              <w:left w:val="nil"/>
              <w:bottom w:val="nil"/>
              <w:right w:val="nil"/>
            </w:tcBorders>
            <w:vAlign w:val="center"/>
          </w:tcPr>
          <w:p>
            <w:pPr>
              <w:ind w:firstLine="0"/>
            </w:pPr>
            <w:r>
              <w:rPr>
                <w:rFonts w:ascii="Times New Roman" w:hAnsi="Times New Roman" w:eastAsia="宋体"/>
                <w:sz w:val="16"/>
              </w:rPr>
              <w:t>待测</w:t>
            </w:r>
          </w:p>
        </w:tc>
        <w:tc>
          <w:tcPr>
            <w:tcW w:w="1233" w:type="dxa"/>
            <w:tcBorders>
              <w:top w:val="nil"/>
              <w:left w:val="nil"/>
              <w:bottom w:val="nil"/>
              <w:right w:val="nil"/>
            </w:tcBorders>
            <w:vAlign w:val="center"/>
          </w:tcPr>
          <w:p>
            <w:pPr>
              <w:ind w:firstLine="0"/>
            </w:pPr>
            <w:r>
              <w:rPr>
                <w:rFonts w:ascii="Times New Roman" w:hAnsi="Times New Roman" w:eastAsia="宋体"/>
                <w:sz w:val="16"/>
              </w:rPr>
              <w:t>待测</w:t>
            </w:r>
          </w:p>
        </w:tc>
        <w:tc>
          <w:tcPr>
            <w:tcW w:w="1233" w:type="dxa"/>
            <w:tcBorders>
              <w:top w:val="nil"/>
              <w:left w:val="nil"/>
              <w:bottom w:val="nil"/>
              <w:right w:val="nil"/>
            </w:tcBorders>
            <w:vAlign w:val="center"/>
          </w:tcPr>
          <w:p>
            <w:pPr>
              <w:ind w:firstLine="0"/>
            </w:pPr>
            <w:r>
              <w:rPr>
                <w:rFonts w:ascii="Times New Roman" w:hAnsi="Times New Roman" w:eastAsia="宋体"/>
                <w:sz w:val="16"/>
              </w:rPr>
              <w:t>待测</w:t>
            </w:r>
          </w:p>
        </w:tc>
        <w:tc>
          <w:tcPr>
            <w:tcW w:w="1233" w:type="dxa"/>
            <w:tcBorders>
              <w:top w:val="nil"/>
              <w:left w:val="nil"/>
              <w:bottom w:val="nil"/>
              <w:right w:val="nil"/>
            </w:tcBorders>
            <w:vAlign w:val="center"/>
          </w:tcPr>
          <w:p>
            <w:pPr>
              <w:ind w:firstLine="0"/>
            </w:pPr>
            <w:r>
              <w:rPr>
                <w:rFonts w:ascii="Times New Roman" w:hAnsi="Times New Roman" w:eastAsia="宋体"/>
                <w:sz w:val="16"/>
              </w:rPr>
              <w:t>待测</w:t>
            </w:r>
          </w:p>
        </w:tc>
        <w:tc>
          <w:tcPr>
            <w:tcW w:w="1233" w:type="dxa"/>
            <w:tcBorders>
              <w:top w:val="nil"/>
              <w:left w:val="nil"/>
              <w:bottom w:val="nil"/>
              <w:right w:val="nil"/>
            </w:tcBorders>
            <w:vAlign w:val="center"/>
          </w:tcPr>
          <w:p>
            <w:pPr>
              <w:ind w:firstLine="0"/>
            </w:pPr>
            <w:r>
              <w:rPr>
                <w:rFonts w:ascii="Times New Roman" w:hAnsi="Times New Roman" w:eastAsia="宋体"/>
                <w:sz w:val="16"/>
              </w:rPr>
              <w:t>待测</w:t>
            </w:r>
          </w:p>
        </w:tc>
        <w:tc>
          <w:tcPr>
            <w:tcW w:w="1233" w:type="dxa"/>
            <w:tcBorders>
              <w:top w:val="nil"/>
              <w:left w:val="nil"/>
              <w:bottom w:val="nil"/>
              <w:right w:val="nil"/>
            </w:tcBorders>
            <w:vAlign w:val="center"/>
          </w:tcPr>
          <w:p>
            <w:pPr>
              <w:ind w:firstLine="0"/>
            </w:pPr>
            <w:r>
              <w:rPr>
                <w:rFonts w:ascii="Times New Roman" w:hAnsi="Times New Roman" w:eastAsia="宋体"/>
                <w:sz w:val="16"/>
              </w:rPr>
              <w:t>待测</w:t>
            </w:r>
          </w:p>
        </w:tc>
      </w:tr>
      <w:tr w14:paraId="1A6ECE8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66" w:type="dxa"/>
            <w:tcBorders>
              <w:top w:val="nil"/>
              <w:left w:val="nil"/>
              <w:bottom w:val="nil"/>
              <w:right w:val="nil"/>
            </w:tcBorders>
            <w:vAlign w:val="center"/>
          </w:tcPr>
          <w:p w14:paraId="37044B82">
            <w:pPr>
              <w:keepNext/>
              <w:spacing w:before="40" w:after="40" w:line="240" w:lineRule="auto"/>
              <w:ind w:firstLine="0"/>
            </w:pPr>
            <w:r>
              <w:rPr>
                <w:rFonts w:ascii="Times New Roman" w:hAnsi="Times New Roman" w:eastAsia="宋体"/>
                <w:b w:val="0"/>
                <w:sz w:val="18"/>
              </w:rPr>
              <w:t>跨事件监督投影</w:t>
            </w:r>
          </w:p>
        </w:tc>
        <w:tc>
          <w:tcPr>
            <w:tcW w:w="1233" w:type="dxa"/>
            <w:tcBorders>
              <w:top w:val="nil"/>
              <w:left w:val="nil"/>
              <w:bottom w:val="nil"/>
              <w:right w:val="nil"/>
            </w:tcBorders>
            <w:vAlign w:val="center"/>
          </w:tcPr>
          <w:p>
            <w:pPr>
              <w:ind w:firstLine="0"/>
            </w:pPr>
            <w:r>
              <w:rPr>
                <w:rFonts w:ascii="Times New Roman" w:hAnsi="Times New Roman" w:eastAsia="宋体"/>
                <w:sz w:val="16"/>
              </w:rPr>
              <w:t>待测</w:t>
            </w:r>
          </w:p>
        </w:tc>
        <w:tc>
          <w:tcPr>
            <w:tcW w:w="1233" w:type="dxa"/>
            <w:tcBorders>
              <w:top w:val="nil"/>
              <w:left w:val="nil"/>
              <w:bottom w:val="nil"/>
              <w:right w:val="nil"/>
            </w:tcBorders>
            <w:vAlign w:val="center"/>
          </w:tcPr>
          <w:p>
            <w:pPr>
              <w:ind w:firstLine="0"/>
            </w:pPr>
            <w:r>
              <w:rPr>
                <w:rFonts w:ascii="Times New Roman" w:hAnsi="Times New Roman" w:eastAsia="宋体"/>
                <w:sz w:val="16"/>
              </w:rPr>
              <w:t>待测</w:t>
            </w:r>
          </w:p>
        </w:tc>
        <w:tc>
          <w:tcPr>
            <w:tcW w:w="1233" w:type="dxa"/>
            <w:tcBorders>
              <w:top w:val="nil"/>
              <w:left w:val="nil"/>
              <w:bottom w:val="nil"/>
              <w:right w:val="nil"/>
            </w:tcBorders>
            <w:vAlign w:val="center"/>
          </w:tcPr>
          <w:p>
            <w:pPr>
              <w:ind w:firstLine="0"/>
            </w:pPr>
            <w:r>
              <w:rPr>
                <w:rFonts w:ascii="Times New Roman" w:hAnsi="Times New Roman" w:eastAsia="宋体"/>
                <w:sz w:val="16"/>
              </w:rPr>
              <w:t>待测</w:t>
            </w:r>
          </w:p>
        </w:tc>
        <w:tc>
          <w:tcPr>
            <w:tcW w:w="1233" w:type="dxa"/>
            <w:tcBorders>
              <w:top w:val="nil"/>
              <w:left w:val="nil"/>
              <w:bottom w:val="nil"/>
              <w:right w:val="nil"/>
            </w:tcBorders>
            <w:vAlign w:val="center"/>
          </w:tcPr>
          <w:p>
            <w:pPr>
              <w:ind w:firstLine="0"/>
            </w:pPr>
            <w:r>
              <w:rPr>
                <w:rFonts w:ascii="Times New Roman" w:hAnsi="Times New Roman" w:eastAsia="宋体"/>
                <w:sz w:val="16"/>
              </w:rPr>
              <w:t>待测</w:t>
            </w:r>
          </w:p>
        </w:tc>
        <w:tc>
          <w:tcPr>
            <w:tcW w:w="1233" w:type="dxa"/>
            <w:tcBorders>
              <w:top w:val="nil"/>
              <w:left w:val="nil"/>
              <w:bottom w:val="nil"/>
              <w:right w:val="nil"/>
            </w:tcBorders>
            <w:vAlign w:val="center"/>
          </w:tcPr>
          <w:p>
            <w:pPr>
              <w:ind w:firstLine="0"/>
            </w:pPr>
            <w:r>
              <w:rPr>
                <w:rFonts w:ascii="Times New Roman" w:hAnsi="Times New Roman" w:eastAsia="宋体"/>
                <w:sz w:val="16"/>
              </w:rPr>
              <w:t>待测</w:t>
            </w:r>
          </w:p>
        </w:tc>
        <w:tc>
          <w:tcPr>
            <w:tcW w:w="1233" w:type="dxa"/>
            <w:tcBorders>
              <w:top w:val="nil"/>
              <w:left w:val="nil"/>
              <w:bottom w:val="nil"/>
              <w:right w:val="nil"/>
            </w:tcBorders>
            <w:vAlign w:val="center"/>
          </w:tcPr>
          <w:p>
            <w:pPr>
              <w:ind w:firstLine="0"/>
            </w:pPr>
            <w:r>
              <w:rPr>
                <w:rFonts w:ascii="Times New Roman" w:hAnsi="Times New Roman" w:eastAsia="宋体"/>
                <w:sz w:val="16"/>
              </w:rPr>
              <w:t>待测</w:t>
            </w:r>
          </w:p>
        </w:tc>
      </w:tr>
      <w:tr w14:paraId="5787477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466" w:type="dxa"/>
            <w:tcBorders>
              <w:top w:val="nil"/>
              <w:left w:val="nil"/>
              <w:bottom w:val="single" w:color="000000" w:sz="10" w:space="0"/>
              <w:right w:val="nil"/>
            </w:tcBorders>
            <w:vAlign w:val="center"/>
          </w:tcPr>
          <w:p w14:paraId="21E7D5D7">
            <w:pPr>
              <w:keepNext w:val="0"/>
              <w:spacing w:before="40" w:after="40" w:line="240" w:lineRule="auto"/>
              <w:ind w:firstLine="0"/>
            </w:pPr>
            <w:r>
              <w:rPr>
                <w:rFonts w:ascii="Times New Roman" w:hAnsi="Times New Roman" w:eastAsia="宋体"/>
                <w:b w:val="0"/>
                <w:sz w:val="18"/>
              </w:rPr>
              <w:t>随机合格支持</w:t>
            </w:r>
          </w:p>
        </w:tc>
        <w:tc>
          <w:tcPr>
            <w:tcW w:w="1233"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233"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233"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233"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233"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233"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r>
    </w:tbl>
    <w:p w14:paraId="175E1975">
      <w:pPr>
        <w:widowControl/>
      </w:pPr>
    </w:p>
    <w:p w14:paraId="5A55D6B7">
      <w:pPr>
        <w:widowControl/>
      </w:pPr>
      <w:r>
        <w:rPr>
          <w:rFonts w:ascii="Times New Roman" w:hAnsi="Times New Roman" w:eastAsia="宋体"/>
          <w:sz w:val="21"/>
        </w:rPr>
        <w:t>训练时使用预先固定比例混合两种排序邻居的共同Reader，评价固定其权重、Q、库、K和排除规则，仅改变返回ID，并按ID读取整条未投影记录。若不采用混合训练，则做“Reader训练排序×评价排序”的完整交叉替换。救回和误改统一相对同协议MPF预测：前者为MPF错误而该配置正确，后者为MPF正确而该配置错误。MPF取同次前向原生分类输出并固定解码，避免额外分类器调用引入路径差异。检索固定K=8；P@8仅在主类纯度≥0.8的查询上计算，每个查询以8个返回槽位为分母，失效或未填满槽位计未命中，并另报有效槽位率。按完好、受损、毁坏分别给出查询数与P@8，再作前景类别宏平均；事件宏平均单列，不与类宏平均混合。Hit@8在对应主类查询中统计至少一条真实合格同类支持的比例，以该类全部合格查询数为分母，并报告候选库中有无同类可用记录。背景查询另报，缺少查询的组记为不适用而不默默改变平均规则。排序相关性与固定读取器的前景变化均待测。若前者改善而后者无增量，结论只限邻居选择，不能写成分类收益。</w:t>
      </w:r>
    </w:p>
    <w:p w14:paraId="0F1B3E74">
      <w:pPr>
        <w:widowControl/>
      </w:pPr>
      <w:r>
        <w:rPr>
          <w:rFonts w:ascii="Times New Roman" w:hAnsi="Times New Roman" w:eastAsia="宋体"/>
          <w:sz w:val="21"/>
        </w:rPr>
        <w:t>后续检索可视化应对同一查询列出两种排序真实返回的Train RGB/SAR、ID、事件、软标签和排除记录，并关联基础/最终预测及救回、误改；本轮不新增该图。相似度不是校准置信度，两个空间的分数也不能直接比较。改善、持平和退化案例均应保留。若近邻主类更一致而最终分割不变，说明排序质量改善尚未转化为任务收益，不能凭邻居图宣布完整方法有效。</w:t>
      </w:r>
    </w:p>
    <w:p w14:paraId="514AB809">
      <w:pPr>
        <w:pStyle w:val="4"/>
        <w:widowControl/>
      </w:pPr>
      <w:r>
        <w:rPr>
          <w:rFonts w:ascii="Times New Roman" w:hAnsi="Times New Roman" w:eastAsia="宋体"/>
          <w:sz w:val="21"/>
        </w:rPr>
        <w:t>E. 补充实验、稳定性与数据需求</w:t>
      </w:r>
    </w:p>
    <w:p w14:paraId="57BCA647">
      <w:pPr>
        <w:pStyle w:val="15"/>
        <w:keepNext/>
        <w:widowControl/>
      </w:pPr>
      <w:r>
        <w:rPr>
          <w:rFonts w:ascii="Times New Roman" w:hAnsi="Times New Roman" w:eastAsia="宋体"/>
          <w:sz w:val="19"/>
        </w:rPr>
        <w:t>表6　支持内容消融与固定权重干预</w:t>
      </w:r>
    </w:p>
    <w:tbl>
      <w:tblPr>
        <w:tblStyle w:val="33"/>
        <w:tblW w:w="0" w:type="auto"/>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45"/>
        <w:gridCol w:w="3751"/>
        <w:gridCol w:w="1389"/>
        <w:gridCol w:w="1389"/>
        <w:gridCol w:w="1389"/>
      </w:tblGrid>
      <w:tr w14:paraId="6AC01C9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945" w:type="dxa"/>
            <w:tcBorders>
              <w:top w:val="single" w:color="000000" w:sz="10" w:space="0"/>
              <w:left w:val="nil"/>
              <w:bottom w:val="single" w:color="000000" w:sz="4" w:space="0"/>
              <w:right w:val="nil"/>
            </w:tcBorders>
            <w:vAlign w:val="center"/>
          </w:tcPr>
          <w:p w14:paraId="6531F014">
            <w:pPr>
              <w:keepNext/>
              <w:spacing w:before="40" w:after="40" w:line="240" w:lineRule="auto"/>
              <w:ind w:firstLine="0"/>
            </w:pPr>
            <w:r>
              <w:rPr>
                <w:rFonts w:ascii="Times New Roman" w:hAnsi="Times New Roman" w:eastAsia="宋体"/>
                <w:b/>
                <w:sz w:val="18"/>
              </w:rPr>
              <w:t>检验项</w:t>
            </w:r>
          </w:p>
        </w:tc>
        <w:tc>
          <w:tcPr>
            <w:tcW w:w="3751" w:type="dxa"/>
            <w:tcBorders>
              <w:top w:val="single" w:color="000000" w:sz="10" w:space="0"/>
              <w:left w:val="nil"/>
              <w:bottom w:val="single" w:color="000000" w:sz="4" w:space="0"/>
              <w:right w:val="nil"/>
            </w:tcBorders>
            <w:vAlign w:val="center"/>
          </w:tcPr>
          <w:p w14:paraId="061F1641">
            <w:pPr>
              <w:keepNext/>
              <w:spacing w:before="40" w:after="40" w:line="240" w:lineRule="auto"/>
              <w:ind w:firstLine="0"/>
            </w:pPr>
            <w:r>
              <w:rPr>
                <w:rFonts w:ascii="Times New Roman" w:hAnsi="Times New Roman" w:eastAsia="宋体"/>
                <w:b/>
                <w:sz w:val="18"/>
              </w:rPr>
              <w:t>训练/评价操作</w:t>
            </w:r>
          </w:p>
        </w:tc>
        <w:tc>
          <w:tcPr>
            <w:tcW w:w="1389" w:type="dxa"/>
            <w:tcBorders>
              <w:top w:val="single" w:color="000000" w:sz="10" w:space="0"/>
              <w:left w:val="nil"/>
              <w:bottom w:val="single" w:color="000000" w:sz="4" w:space="0"/>
              <w:right w:val="nil"/>
            </w:tcBorders>
            <w:vAlign w:val="center"/>
          </w:tcPr>
          <w:p w14:paraId="60AD58BC">
            <w:pPr>
              <w:keepNext/>
              <w:spacing w:before="40" w:after="40" w:line="240" w:lineRule="auto"/>
              <w:ind w:firstLine="0"/>
            </w:pPr>
            <w:r>
              <w:rPr>
                <w:rFonts w:ascii="Times New Roman" w:hAnsi="Times New Roman" w:eastAsia="宋体"/>
                <w:b/>
                <w:sz w:val="18"/>
              </w:rPr>
              <w:t>前景mIoU%</w:t>
            </w:r>
          </w:p>
        </w:tc>
        <w:tc>
          <w:tcPr>
            <w:tcW w:w="1389" w:type="dxa"/>
            <w:tcBorders>
              <w:top w:val="single" w:color="000000" w:sz="10" w:space="0"/>
              <w:left w:val="nil"/>
              <w:bottom w:val="single" w:color="000000" w:sz="4" w:space="0"/>
              <w:right w:val="nil"/>
            </w:tcBorders>
            <w:vAlign w:val="center"/>
          </w:tcPr>
          <w:p w14:paraId="04F3F1F0">
            <w:pPr>
              <w:keepNext/>
              <w:spacing w:before="40" w:after="40" w:line="240" w:lineRule="auto"/>
              <w:ind w:firstLine="0"/>
            </w:pPr>
            <w:r>
              <w:rPr>
                <w:rFonts w:ascii="Times New Roman" w:hAnsi="Times New Roman" w:eastAsia="宋体"/>
                <w:b/>
                <w:sz w:val="18"/>
              </w:rPr>
              <w:t>受损IoU%</w:t>
            </w:r>
          </w:p>
        </w:tc>
        <w:tc>
          <w:tcPr>
            <w:tcW w:w="1389" w:type="dxa"/>
            <w:tcBorders>
              <w:top w:val="single" w:color="000000" w:sz="10" w:space="0"/>
              <w:left w:val="nil"/>
              <w:bottom w:val="single" w:color="000000" w:sz="4" w:space="0"/>
              <w:right w:val="nil"/>
            </w:tcBorders>
            <w:vAlign w:val="center"/>
          </w:tcPr>
          <w:p w14:paraId="24FA28A7">
            <w:pPr>
              <w:keepNext/>
              <w:spacing w:before="40" w:after="40" w:line="240" w:lineRule="auto"/>
              <w:ind w:firstLine="0"/>
            </w:pPr>
            <w:r>
              <w:rPr>
                <w:rFonts w:ascii="Times New Roman" w:hAnsi="Times New Roman" w:eastAsia="宋体"/>
                <w:b/>
                <w:sz w:val="18"/>
              </w:rPr>
              <w:t>毁坏IoU%</w:t>
            </w:r>
          </w:p>
        </w:tc>
      </w:tr>
      <w:tr w14:paraId="5188E6A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45" w:type="dxa"/>
            <w:tcBorders>
              <w:top w:val="nil"/>
              <w:left w:val="nil"/>
              <w:bottom w:val="nil"/>
              <w:right w:val="nil"/>
            </w:tcBorders>
            <w:vAlign w:val="center"/>
          </w:tcPr>
          <w:p w14:paraId="64019C79">
            <w:pPr>
              <w:keepNext/>
              <w:spacing w:before="40" w:after="40" w:line="240" w:lineRule="auto"/>
              <w:ind w:firstLine="0"/>
            </w:pPr>
            <w:r>
              <w:rPr>
                <w:rFonts w:ascii="Times New Roman" w:hAnsi="Times New Roman" w:eastAsia="宋体"/>
                <w:b w:val="0"/>
                <w:sz w:val="18"/>
              </w:rPr>
              <w:t>完整支持</w:t>
            </w:r>
          </w:p>
        </w:tc>
        <w:tc>
          <w:tcPr>
            <w:tcW w:w="3751" w:type="dxa"/>
            <w:tcBorders>
              <w:top w:val="nil"/>
              <w:left w:val="nil"/>
              <w:bottom w:val="nil"/>
              <w:right w:val="nil"/>
            </w:tcBorders>
            <w:vAlign w:val="center"/>
          </w:tcPr>
          <w:p w14:paraId="606C8AC9">
            <w:pPr>
              <w:keepNext/>
              <w:spacing w:before="40" w:after="40" w:line="240" w:lineRule="auto"/>
              <w:ind w:firstLine="0"/>
            </w:pPr>
            <w:r>
              <w:rPr>
                <w:rFonts w:ascii="Times New Roman" w:hAnsi="Times New Roman" w:eastAsia="宋体"/>
                <w:b w:val="0"/>
                <w:sz w:val="18"/>
              </w:rPr>
              <w:t>同预算重训基准</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r>
      <w:tr w14:paraId="26313DA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45" w:type="dxa"/>
            <w:tcBorders>
              <w:top w:val="nil"/>
              <w:left w:val="nil"/>
              <w:bottom w:val="nil"/>
              <w:right w:val="nil"/>
            </w:tcBorders>
            <w:vAlign w:val="center"/>
          </w:tcPr>
          <w:p w14:paraId="5EEA3F8A">
            <w:pPr>
              <w:keepNext/>
              <w:spacing w:before="40" w:after="40" w:line="240" w:lineRule="auto"/>
              <w:ind w:firstLine="0"/>
            </w:pPr>
            <w:r>
              <w:rPr>
                <w:rFonts w:ascii="Times New Roman" w:hAnsi="Times New Roman" w:eastAsia="宋体"/>
                <w:b w:val="0"/>
                <w:sz w:val="18"/>
              </w:rPr>
              <w:t>去软标签</w:t>
            </w:r>
          </w:p>
        </w:tc>
        <w:tc>
          <w:tcPr>
            <w:tcW w:w="3751" w:type="dxa"/>
            <w:tcBorders>
              <w:top w:val="nil"/>
              <w:left w:val="nil"/>
              <w:bottom w:val="nil"/>
              <w:right w:val="nil"/>
            </w:tcBorders>
            <w:vAlign w:val="center"/>
          </w:tcPr>
          <w:p w14:paraId="6C3966E4">
            <w:pPr>
              <w:keepNext/>
              <w:spacing w:before="40" w:after="40" w:line="240" w:lineRule="auto"/>
              <w:ind w:firstLine="0"/>
            </w:pPr>
            <w:r>
              <w:rPr>
                <w:rFonts w:ascii="Times New Roman" w:hAnsi="Times New Roman" w:eastAsia="宋体"/>
                <w:b w:val="0"/>
                <w:sz w:val="18"/>
              </w:rPr>
              <w:t>固定ID，同预算重训</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r>
      <w:tr w14:paraId="64C7D2A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45" w:type="dxa"/>
            <w:tcBorders>
              <w:top w:val="nil"/>
              <w:left w:val="nil"/>
              <w:bottom w:val="nil"/>
              <w:right w:val="nil"/>
            </w:tcBorders>
            <w:vAlign w:val="center"/>
          </w:tcPr>
          <w:p w14:paraId="13B99073">
            <w:pPr>
              <w:keepNext/>
              <w:spacing w:before="40" w:after="40" w:line="240" w:lineRule="auto"/>
              <w:ind w:firstLine="0"/>
            </w:pPr>
            <w:r>
              <w:rPr>
                <w:rFonts w:ascii="Times New Roman" w:hAnsi="Times New Roman" w:eastAsia="宋体"/>
                <w:b w:val="0"/>
                <w:sz w:val="18"/>
              </w:rPr>
              <w:t>去事件ID</w:t>
            </w:r>
          </w:p>
        </w:tc>
        <w:tc>
          <w:tcPr>
            <w:tcW w:w="3751" w:type="dxa"/>
            <w:tcBorders>
              <w:top w:val="nil"/>
              <w:left w:val="nil"/>
              <w:bottom w:val="nil"/>
              <w:right w:val="nil"/>
            </w:tcBorders>
            <w:vAlign w:val="center"/>
          </w:tcPr>
          <w:p w14:paraId="5DD9B103">
            <w:pPr>
              <w:keepNext/>
              <w:spacing w:before="40" w:after="40" w:line="240" w:lineRule="auto"/>
              <w:ind w:firstLine="0"/>
            </w:pPr>
            <w:r>
              <w:rPr>
                <w:rFonts w:ascii="Times New Roman" w:hAnsi="Times New Roman" w:eastAsia="宋体"/>
                <w:b w:val="0"/>
                <w:sz w:val="18"/>
              </w:rPr>
              <w:t>固定ID，同预算重训</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r>
      <w:tr w14:paraId="2A67106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45" w:type="dxa"/>
            <w:tcBorders>
              <w:top w:val="nil"/>
              <w:left w:val="nil"/>
              <w:bottom w:val="nil"/>
              <w:right w:val="nil"/>
            </w:tcBorders>
            <w:vAlign w:val="center"/>
          </w:tcPr>
          <w:p w14:paraId="36BE42D8">
            <w:pPr>
              <w:keepNext/>
              <w:spacing w:before="40" w:after="40" w:line="240" w:lineRule="auto"/>
              <w:ind w:firstLine="0"/>
            </w:pPr>
            <w:r>
              <w:rPr>
                <w:rFonts w:ascii="Times New Roman" w:hAnsi="Times New Roman" w:eastAsia="宋体"/>
                <w:b w:val="0"/>
                <w:sz w:val="18"/>
              </w:rPr>
              <w:t>去灾种</w:t>
            </w:r>
          </w:p>
        </w:tc>
        <w:tc>
          <w:tcPr>
            <w:tcW w:w="3751" w:type="dxa"/>
            <w:tcBorders>
              <w:top w:val="nil"/>
              <w:left w:val="nil"/>
              <w:bottom w:val="nil"/>
              <w:right w:val="nil"/>
            </w:tcBorders>
            <w:vAlign w:val="center"/>
          </w:tcPr>
          <w:p w14:paraId="7C4E314C">
            <w:pPr>
              <w:keepNext/>
              <w:spacing w:before="40" w:after="40" w:line="240" w:lineRule="auto"/>
              <w:ind w:firstLine="0"/>
            </w:pPr>
            <w:r>
              <w:rPr>
                <w:rFonts w:ascii="Times New Roman" w:hAnsi="Times New Roman" w:eastAsia="宋体"/>
                <w:b w:val="0"/>
                <w:sz w:val="18"/>
              </w:rPr>
              <w:t>固定ID，同预算重训</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r>
      <w:tr w14:paraId="7D6020E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45" w:type="dxa"/>
            <w:tcBorders>
              <w:top w:val="nil"/>
              <w:left w:val="nil"/>
              <w:bottom w:val="nil"/>
              <w:right w:val="nil"/>
            </w:tcBorders>
            <w:vAlign w:val="center"/>
          </w:tcPr>
          <w:p w14:paraId="2A62767B">
            <w:pPr>
              <w:keepNext/>
              <w:spacing w:before="40" w:after="40" w:line="240" w:lineRule="auto"/>
              <w:ind w:firstLine="0"/>
            </w:pPr>
            <w:r>
              <w:rPr>
                <w:rFonts w:ascii="Times New Roman" w:hAnsi="Times New Roman" w:eastAsia="宋体"/>
                <w:b w:val="0"/>
                <w:sz w:val="18"/>
              </w:rPr>
              <w:t>去几何</w:t>
            </w:r>
          </w:p>
        </w:tc>
        <w:tc>
          <w:tcPr>
            <w:tcW w:w="3751" w:type="dxa"/>
            <w:tcBorders>
              <w:top w:val="nil"/>
              <w:left w:val="nil"/>
              <w:bottom w:val="nil"/>
              <w:right w:val="nil"/>
            </w:tcBorders>
            <w:vAlign w:val="center"/>
          </w:tcPr>
          <w:p w14:paraId="6BF81405">
            <w:pPr>
              <w:keepNext/>
              <w:spacing w:before="40" w:after="40" w:line="240" w:lineRule="auto"/>
              <w:ind w:firstLine="0"/>
            </w:pPr>
            <w:r>
              <w:rPr>
                <w:rFonts w:ascii="Times New Roman" w:hAnsi="Times New Roman" w:eastAsia="宋体"/>
                <w:b w:val="0"/>
                <w:sz w:val="18"/>
              </w:rPr>
              <w:t>固定ID，同预算重训</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r>
      <w:tr w14:paraId="2E0835C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45" w:type="dxa"/>
            <w:tcBorders>
              <w:top w:val="nil"/>
              <w:left w:val="nil"/>
              <w:bottom w:val="nil"/>
              <w:right w:val="nil"/>
            </w:tcBorders>
            <w:vAlign w:val="center"/>
          </w:tcPr>
          <w:p w14:paraId="4C52BE5B">
            <w:pPr>
              <w:keepNext/>
              <w:spacing w:before="40" w:after="40" w:line="240" w:lineRule="auto"/>
              <w:ind w:firstLine="0"/>
            </w:pPr>
            <w:r>
              <w:rPr>
                <w:rFonts w:ascii="Times New Roman" w:hAnsi="Times New Roman" w:eastAsia="宋体"/>
                <w:b w:val="0"/>
                <w:sz w:val="18"/>
              </w:rPr>
              <w:t>随机支持</w:t>
            </w:r>
          </w:p>
        </w:tc>
        <w:tc>
          <w:tcPr>
            <w:tcW w:w="3751" w:type="dxa"/>
            <w:tcBorders>
              <w:top w:val="nil"/>
              <w:left w:val="nil"/>
              <w:bottom w:val="nil"/>
              <w:right w:val="nil"/>
            </w:tcBorders>
            <w:vAlign w:val="center"/>
          </w:tcPr>
          <w:p w14:paraId="66DA2A93">
            <w:pPr>
              <w:keepNext/>
              <w:spacing w:before="40" w:after="40" w:line="240" w:lineRule="auto"/>
              <w:ind w:firstLine="0"/>
            </w:pPr>
            <w:r>
              <w:rPr>
                <w:rFonts w:ascii="Times New Roman" w:hAnsi="Times New Roman" w:eastAsia="宋体"/>
                <w:b w:val="0"/>
                <w:sz w:val="18"/>
              </w:rPr>
              <w:t>固定权重，多次合格抽样</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r>
      <w:tr w14:paraId="4B128A1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45" w:type="dxa"/>
            <w:tcBorders>
              <w:top w:val="nil"/>
              <w:left w:val="nil"/>
              <w:bottom w:val="nil"/>
              <w:right w:val="nil"/>
            </w:tcBorders>
            <w:vAlign w:val="center"/>
          </w:tcPr>
          <w:p w14:paraId="3EF05CBD">
            <w:pPr>
              <w:keepNext/>
              <w:spacing w:before="40" w:after="40" w:line="240" w:lineRule="auto"/>
              <w:ind w:firstLine="0"/>
            </w:pPr>
            <w:r>
              <w:rPr>
                <w:rFonts w:ascii="Times New Roman" w:hAnsi="Times New Roman" w:eastAsia="宋体"/>
                <w:b w:val="0"/>
                <w:sz w:val="18"/>
              </w:rPr>
              <w:t>标签置换</w:t>
            </w:r>
          </w:p>
        </w:tc>
        <w:tc>
          <w:tcPr>
            <w:tcW w:w="3751" w:type="dxa"/>
            <w:tcBorders>
              <w:top w:val="nil"/>
              <w:left w:val="nil"/>
              <w:bottom w:val="nil"/>
              <w:right w:val="nil"/>
            </w:tcBorders>
            <w:vAlign w:val="center"/>
          </w:tcPr>
          <w:p w14:paraId="097B48AC">
            <w:pPr>
              <w:keepNext/>
              <w:spacing w:before="40" w:after="40" w:line="240" w:lineRule="auto"/>
              <w:ind w:firstLine="0"/>
            </w:pPr>
            <w:r>
              <w:rPr>
                <w:rFonts w:ascii="Times New Roman" w:hAnsi="Times New Roman" w:eastAsia="宋体"/>
                <w:b w:val="0"/>
                <w:sz w:val="18"/>
              </w:rPr>
              <w:t>固定权重，保留标签边际分布</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c>
          <w:tcPr>
            <w:tcW w:w="1389" w:type="dxa"/>
            <w:tcBorders>
              <w:top w:val="nil"/>
              <w:left w:val="nil"/>
              <w:bottom w:val="nil"/>
              <w:right w:val="nil"/>
            </w:tcBorders>
            <w:vAlign w:val="center"/>
          </w:tcPr>
          <w:p>
            <w:pPr>
              <w:ind w:firstLine="0"/>
            </w:pPr>
            <w:r>
              <w:rPr>
                <w:rFonts w:ascii="Times New Roman" w:hAnsi="Times New Roman" w:eastAsia="宋体"/>
                <w:sz w:val="16"/>
              </w:rPr>
              <w:t>待测</w:t>
            </w:r>
          </w:p>
        </w:tc>
      </w:tr>
      <w:tr w14:paraId="0E39495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945" w:type="dxa"/>
            <w:tcBorders>
              <w:top w:val="nil"/>
              <w:left w:val="nil"/>
              <w:bottom w:val="single" w:color="000000" w:sz="10" w:space="0"/>
              <w:right w:val="nil"/>
            </w:tcBorders>
            <w:vAlign w:val="center"/>
          </w:tcPr>
          <w:p w14:paraId="2420EC96">
            <w:pPr>
              <w:keepNext w:val="0"/>
              <w:spacing w:before="40" w:after="40" w:line="240" w:lineRule="auto"/>
              <w:ind w:firstLine="0"/>
            </w:pPr>
            <w:r>
              <w:rPr>
                <w:rFonts w:ascii="Times New Roman" w:hAnsi="Times New Roman" w:eastAsia="宋体"/>
                <w:b w:val="0"/>
                <w:sz w:val="18"/>
              </w:rPr>
              <w:t>关闭支持路径</w:t>
            </w:r>
          </w:p>
        </w:tc>
        <w:tc>
          <w:tcPr>
            <w:tcW w:w="3751" w:type="dxa"/>
            <w:tcBorders>
              <w:top w:val="nil"/>
              <w:left w:val="nil"/>
              <w:bottom w:val="single" w:color="000000" w:sz="10" w:space="0"/>
              <w:right w:val="nil"/>
            </w:tcBorders>
            <w:vAlign w:val="center"/>
          </w:tcPr>
          <w:p w14:paraId="00D60665">
            <w:pPr>
              <w:keepNext w:val="0"/>
              <w:spacing w:before="40" w:after="40" w:line="240" w:lineRule="auto"/>
              <w:ind w:firstLine="0"/>
            </w:pPr>
            <w:r>
              <w:rPr>
                <w:rFonts w:ascii="Times New Roman" w:hAnsi="Times New Roman" w:eastAsia="宋体"/>
                <w:b w:val="0"/>
                <w:sz w:val="18"/>
              </w:rPr>
              <w:t>固定权重，标注分布外干预</w:t>
            </w:r>
          </w:p>
        </w:tc>
        <w:tc>
          <w:tcPr>
            <w:tcW w:w="1389"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389"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c>
          <w:tcPr>
            <w:tcW w:w="1389" w:type="dxa"/>
            <w:tcBorders>
              <w:top w:val="nil"/>
              <w:left w:val="nil"/>
              <w:bottom w:val="single" w:color="000000" w:sz="10" w:space="0"/>
              <w:right w:val="nil"/>
            </w:tcBorders>
            <w:vAlign w:val="center"/>
          </w:tcPr>
          <w:p>
            <w:pPr>
              <w:ind w:firstLine="0"/>
            </w:pPr>
            <w:r>
              <w:rPr>
                <w:rFonts w:ascii="Times New Roman" w:hAnsi="Times New Roman" w:eastAsia="宋体"/>
                <w:sz w:val="16"/>
              </w:rPr>
              <w:t>待测</w:t>
            </w:r>
          </w:p>
        </w:tc>
      </w:tr>
    </w:tbl>
    <w:p w14:paraId="7BDBBC25">
      <w:pPr>
        <w:widowControl/>
      </w:pPr>
    </w:p>
    <w:p w14:paraId="49805F8A">
      <w:pPr>
        <w:widowControl/>
      </w:pPr>
      <w:r>
        <w:rPr>
          <w:rFonts w:ascii="Times New Roman" w:hAnsi="Times New Roman" w:eastAsia="宋体"/>
          <w:sz w:val="21"/>
        </w:rPr>
        <w:t>重训消融评价该信息在训练中的增量，固定权重扰动评价已训练模型的依赖与脆弱性，二者不混作同一种贡献。如果去标签重训不改变结果，不能声称历史标签必需；随机支持与检索支持相近，则不能认定近邻相关性是主要原因。关闭支持是干预而非公平容量基线，其负向变化也不单独构成因果证明。</w:t>
      </w:r>
    </w:p>
    <w:p w14:paraId="1C0C0EDE">
      <w:pPr>
        <w:widowControl/>
      </w:pPr>
      <w:r>
        <w:rPr>
          <w:rFonts w:ascii="Times New Roman" w:hAnsi="Times New Roman" w:eastAsia="宋体"/>
          <w:sz w:val="21"/>
        </w:rPr>
        <w:t>稳定性至少采用3个预先确定种子，报告均值±标准差和同种子配对增量；必要时在图像或事件层配对重采样，不把相关像素当独立样本。逐事件先累计矩阵再评价，同时报告事件等权平均与全局结果。推理成本在相同线程、精度、预热和同步下测量，共享CPU限流的墙钟时间不能当作算法开销。当前均值、方差、事件结果和成本未提供，记录于配套待填表，不能从单次分数估计。</w:t>
      </w:r>
    </w:p>
    <w:p w14:paraId="277D0967">
      <w:pPr>
        <w:widowControl/>
      </w:pPr>
      <w:r>
        <w:rPr>
          <w:rFonts w:ascii="Times New Roman" w:hAnsi="Times New Roman" w:eastAsia="宋体"/>
          <w:sz w:val="21"/>
        </w:rPr>
        <w:t>下一步优先补充各配置的完整评估JSON与4×4矩阵，解决memory总体指标冲突，并绑定前端/Q/Reader/支持与预算；之后提供相同窗口的GT、原标签PNG及各阶段预测，再计算救回和误改；最后补Train支持轨迹、训练选型、种子和资源记录。已有小JSON、清单与统计计数即可开始核验，不必先上传全部大权重或重训。历史双槽Top64实验单独整理在配套分析说明中，不混入本稿Top-8监督检索的控制表。</w:t>
      </w:r>
    </w:p>
    <w:p w14:paraId="3C7934D1">
      <w:pPr>
        <w:pStyle w:val="3"/>
        <w:widowControl/>
      </w:pPr>
      <w:r>
        <w:rPr>
          <w:rFonts w:ascii="Times New Roman" w:hAnsi="Times New Roman" w:eastAsia="宋体"/>
          <w:sz w:val="21"/>
        </w:rPr>
        <w:t>V. 结论</w:t>
      </w:r>
    </w:p>
    <w:p w14:paraId="1235644B">
      <w:pPr>
        <w:widowControl/>
      </w:pPr>
      <w:r>
        <w:rPr>
          <w:rFonts w:ascii="Times New Roman" w:hAnsi="Times New Roman" w:eastAsia="宋体"/>
          <w:sz w:val="21"/>
        </w:rPr>
        <w:t>本文将光学–SAR建筑损毁评估中的区域成员、区域内容和历史支持选择组织为连续处理路径：预测建筑概率约束局部软归属，分区状态调节融合内容，跨事件类别监督改变支持排序，增强区域经相同归属回投并与像素内容联合分类。总体表、递进表和三类局部错误描述分别对应全量性能、配置变化与具体预测行为，控制实验进一步检验结构与历史支持的作用。</w:t>
      </w:r>
    </w:p>
    <w:p w14:paraId="41AAB011">
      <w:pPr>
        <w:widowControl/>
      </w:pPr>
      <w:r>
        <w:rPr>
          <w:rFonts w:ascii="Times New Roman" w:hAnsi="Times New Roman" w:eastAsia="宋体"/>
          <w:sz w:val="21"/>
        </w:rPr>
        <w:t>已确认MPF像素前端在完整Test上的四类mIoU为68.54%，报告分项推算的前景mIoU约为59.06%；相对公开DamageFormer报告的四类mIoU差为1.45个百分点。该比较体现既有像素前端的报告性能，不能作为新增区域编码或监督检索的独立收益。完整框架、二因素控制及支持干预仍待实测。预测建筑误差、区域混合与不相关案例可能引发误改；只有同协议控制、真实检索记录和多种子稳定性共同支持时，才形成完整方法的效果结论。</w:t>
      </w:r>
    </w:p>
    <w:p w14:paraId="48EA8983">
      <w:pPr>
        <w:pStyle w:val="3"/>
        <w:widowControl/>
      </w:pPr>
      <w:r>
        <w:rPr>
          <w:rFonts w:ascii="Times New Roman" w:hAnsi="Times New Roman" w:eastAsia="宋体"/>
          <w:sz w:val="21"/>
        </w:rPr>
        <w:t>参考文献</w:t>
      </w:r>
    </w:p>
    <w:p w14:paraId="6C3A6941">
      <w:pPr>
        <w:pStyle w:val="166"/>
        <w:widowControl/>
      </w:pPr>
      <w:r>
        <w:rPr>
          <w:rFonts w:ascii="Times New Roman" w:hAnsi="Times New Roman" w:eastAsia="宋体"/>
          <w:sz w:val="18"/>
        </w:rPr>
        <w:t>[1] Ritwik Gupta, Bryce Goodman, Nirav Patel, Rachel Hosfelt, Sajal Sajeev, Eric Heim, Jigar Doshi, Keane Lucas, Howie Choset, Matthew Gaston. Creating xBD: A Dataset for Assessing Building Damage from Satellite Imagery. Proceedings of the IEEE/CVF Conference on Computer Vision and Pattern Recognition Workshops, 2019.</w:t>
      </w:r>
    </w:p>
    <w:p w14:paraId="3E613544">
      <w:pPr>
        <w:pStyle w:val="166"/>
        <w:widowControl/>
      </w:pPr>
      <w:r>
        <w:rPr>
          <w:rFonts w:ascii="Times New Roman" w:hAnsi="Times New Roman" w:eastAsia="宋体"/>
          <w:sz w:val="18"/>
        </w:rPr>
        <w:t>[2] Hongruixuan Chen, Jian Song, Olivier Dietrich, Clifford Broni-Bediako, Weihao Xuan, Junjue Wang, Xinlei Shao, Yimin Wei, Junshi Xia, Cuiling Lan, Konrad Schindler, Naoto Yokoya. BRIGHT: a globally distributed multimodal building damage assessment dataset with very-high-resolution for all-weather disaster response. Earth System Science Data, 2025, 17(11): 6217–6253. DOI: 10.5194/essd-17-6217-2025.</w:t>
      </w:r>
    </w:p>
    <w:p w14:paraId="023D74B9">
      <w:pPr>
        <w:pStyle w:val="166"/>
        <w:widowControl/>
      </w:pPr>
      <w:r>
        <w:rPr>
          <w:rFonts w:ascii="Times New Roman" w:hAnsi="Times New Roman" w:eastAsia="宋体"/>
          <w:sz w:val="18"/>
        </w:rPr>
        <w:t>[3] Zhuo Zheng, Yanfei Zhong, Junjue Wang, Ailong Ma, Liangpei Zhang. Building damage assessment for rapid disaster response with a deep object-based semantic change detection framework: from natural disasters to man-made disasters. Remote Sensing of Environment, 2021, 265: 112636. DOI: 10.1016/j.rse.2021.112636.</w:t>
      </w:r>
    </w:p>
    <w:p w14:paraId="76E6517A">
      <w:pPr>
        <w:pStyle w:val="166"/>
        <w:widowControl/>
      </w:pPr>
      <w:r>
        <w:rPr>
          <w:rFonts w:ascii="Times New Roman" w:hAnsi="Times New Roman" w:eastAsia="宋体"/>
          <w:sz w:val="18"/>
        </w:rPr>
        <w:t>[4] Hongruixuan Chen, Edoardo Nemni, Sofia Vallecorsa, X. Li, C. Wu, L. Bromley. Dual-Tasks Siamese Transformer Framework for Building Damage Assessment. IGARSS 2022 – 2022 IEEE International Geoscience and Remote Sensing Symposium, 2022: 1600–1603. DOI: 10.1109/IGARSS46834.2022.9883139.</w:t>
      </w:r>
    </w:p>
    <w:p w14:paraId="28D19776">
      <w:pPr>
        <w:pStyle w:val="166"/>
        <w:widowControl/>
      </w:pPr>
      <w:r>
        <w:rPr>
          <w:rFonts w:ascii="Times New Roman" w:hAnsi="Times New Roman" w:eastAsia="宋体"/>
          <w:sz w:val="18"/>
        </w:rPr>
        <w:t>[5] Hongruixuan Chen, Jian Song, Chengxi Han, Junshi Xia, Naoto Yokoya. ChangeMamba: Remote Sensing Change Detection With Spatiotemporal State Space Model. IEEE Transactions on Geoscience and Remote Sensing, 2024, 62: 1–20. DOI: 10.1109/TGRS.2024.3417253.</w:t>
      </w:r>
    </w:p>
    <w:p w14:paraId="2F3DF1D3">
      <w:pPr>
        <w:pStyle w:val="166"/>
        <w:widowControl/>
      </w:pPr>
      <w:r>
        <w:rPr>
          <w:rFonts w:ascii="Times New Roman" w:hAnsi="Times New Roman" w:eastAsia="宋体"/>
          <w:sz w:val="18"/>
        </w:rPr>
        <w:t>[6] Zhuo Zheng, Yanfei Zhong, Liangpei Zhang, Marshall Burke, David B. Lobell, Stefano Ermon. Towards transferable building damage assessment via unsupervised single-temporal change adaptation. Remote Sensing of Environment, 2024, 315: 114416. DOI: 10.1016/j.rse.2024.114416.</w:t>
      </w:r>
    </w:p>
    <w:p w14:paraId="2A7EE892">
      <w:pPr>
        <w:pStyle w:val="166"/>
        <w:widowControl/>
      </w:pPr>
      <w:r>
        <w:rPr>
          <w:rFonts w:ascii="Times New Roman" w:hAnsi="Times New Roman" w:eastAsia="宋体"/>
          <w:sz w:val="18"/>
        </w:rPr>
        <w:t>[7] James Currie, Karin Reinke. Assessing the transferability of post-disaster building damage assessment using synthetic aperture radar and machine learning. International Journal of Disaster Risk Reduction, 2026, 136: 106048. DOI: 10.1016/j.ijdrr.2026.106048.</w:t>
      </w:r>
    </w:p>
    <w:p w14:paraId="753D7C16">
      <w:pPr>
        <w:pStyle w:val="166"/>
        <w:widowControl/>
      </w:pPr>
      <w:r>
        <w:rPr>
          <w:rFonts w:ascii="Times New Roman" w:hAnsi="Times New Roman" w:eastAsia="宋体"/>
          <w:sz w:val="18"/>
        </w:rPr>
        <w:t>[8] Jonathan Long, Evan Shelhamer, Trevor Darrell. Fully Convolutional Networks for Semantic Segmentation. IEEE Conference on Computer Vision and Pattern Recognition (CVPR), 2015: 3431–3440.</w:t>
      </w:r>
    </w:p>
    <w:p w14:paraId="28FDF176">
      <w:pPr>
        <w:pStyle w:val="166"/>
        <w:widowControl/>
      </w:pPr>
      <w:r>
        <w:rPr>
          <w:rFonts w:ascii="Times New Roman" w:hAnsi="Times New Roman" w:eastAsia="宋体"/>
          <w:sz w:val="18"/>
        </w:rPr>
        <w:t>[9] Olaf Ronneberger, Philipp Fischer, Thomas Brox. U-Net: Convolutional Networks for Biomedical Image Segmentation. Medical Image Computing and Computer-Assisted Intervention – MICCAI 2015, 2015: 234–241. DOI: 10.1007/978-3-319-24574-4_28.</w:t>
      </w:r>
    </w:p>
    <w:p w14:paraId="7F0E3F72">
      <w:pPr>
        <w:pStyle w:val="166"/>
        <w:widowControl/>
      </w:pPr>
      <w:r>
        <w:rPr>
          <w:rFonts w:ascii="Times New Roman" w:hAnsi="Times New Roman" w:eastAsia="宋体"/>
          <w:sz w:val="18"/>
        </w:rPr>
        <w:t>[10] Liang-Chieh Chen, Yukun Zhu, George Papandreou, Florian Schroff, Hartwig Adam. Encoder-Decoder with Atrous Separable Convolution for Semantic Image Segmentation. European Conference on Computer Vision (ECCV), 2018.</w:t>
      </w:r>
    </w:p>
    <w:p w14:paraId="2BE7BE4B">
      <w:pPr>
        <w:pStyle w:val="166"/>
        <w:widowControl/>
      </w:pPr>
      <w:r>
        <w:rPr>
          <w:rFonts w:ascii="Times New Roman" w:hAnsi="Times New Roman" w:eastAsia="宋体"/>
          <w:sz w:val="18"/>
        </w:rPr>
        <w:t>[11] Kaiming He, Xiangyu Zhang, Shaoqing Ren, Jian Sun. Deep Residual Learning for Image Recognition. IEEE Conference on Computer Vision and Pattern Recognition (CVPR), 2016: 770–778. DOI: 10.1109/CVPR.2016.90.</w:t>
      </w:r>
    </w:p>
    <w:p w14:paraId="0E469FBA">
      <w:pPr>
        <w:pStyle w:val="166"/>
        <w:widowControl/>
      </w:pPr>
      <w:r>
        <w:rPr>
          <w:rFonts w:ascii="Times New Roman" w:hAnsi="Times New Roman" w:eastAsia="宋体"/>
          <w:sz w:val="18"/>
        </w:rPr>
        <w:t>[12] Ze Liu, Yutong Lin, Yue Cao, Han Hu, Yixuan Wei, Zheng Zhang, Stephen Lin, Baining Guo. Swin Transformer: Hierarchical Vision Transformer using Shifted Windows. IEEE/CVF International Conference on Computer Vision (ICCV), 2021.</w:t>
      </w:r>
    </w:p>
    <w:p w14:paraId="55C3B8DB">
      <w:pPr>
        <w:pStyle w:val="166"/>
        <w:widowControl/>
      </w:pPr>
      <w:r>
        <w:rPr>
          <w:rFonts w:ascii="Times New Roman" w:hAnsi="Times New Roman" w:eastAsia="宋体"/>
          <w:sz w:val="18"/>
        </w:rPr>
        <w:t>[13] Enze Xie, Wenhai Wang, Zhiding Yu, Anima Anandkumar, Jose M. Alvarez, Ping Luo. SegFormer: Simple and Efficient Design for Semantic Segmentation with Transformers. Advances in Neural Information Processing Systems (NeurIPS), 2021.</w:t>
      </w:r>
    </w:p>
    <w:p w14:paraId="38F17F43">
      <w:pPr>
        <w:pStyle w:val="166"/>
        <w:widowControl/>
      </w:pPr>
      <w:r>
        <w:rPr>
          <w:rFonts w:ascii="Times New Roman" w:hAnsi="Times New Roman" w:eastAsia="宋体"/>
          <w:sz w:val="18"/>
        </w:rPr>
        <w:t>[14] Hongruixuan Chen, Chen Wu, Bo Du, Liangpei Zhang, Le Wang. Change Detection in Multisource VHR Images via Deep Siamese Convolutional Multiple-Layers Recurrent Neural Network. IEEE Transactions on Geoscience and Remote Sensing, 2020, 58(4): 2848–2864.</w:t>
      </w:r>
    </w:p>
    <w:p w14:paraId="2C70B8C0">
      <w:pPr>
        <w:pStyle w:val="166"/>
        <w:widowControl/>
      </w:pPr>
      <w:r>
        <w:rPr>
          <w:rFonts w:ascii="Times New Roman" w:hAnsi="Times New Roman" w:eastAsia="宋体"/>
          <w:sz w:val="18"/>
        </w:rPr>
        <w:t>[15] Yongjun He, Jinfei Wang, Chunhua Liao, Xin Zhou, Bo Shan. MS4D-Net: Multitask-Based Semi-Supervised Semantic Segmentation Framework with Perturbed Dual Mean Teachers for Building Damage Assessment from High-Resolution Remote Sensing Imagery. Remote Sensing, 2023, 15(2): 478. DOI: 10.3390/rs15020478.</w:t>
      </w:r>
    </w:p>
    <w:p w14:paraId="1D1E92C4">
      <w:pPr>
        <w:pStyle w:val="166"/>
        <w:widowControl/>
      </w:pPr>
      <w:r>
        <w:rPr>
          <w:rFonts w:ascii="Times New Roman" w:hAnsi="Times New Roman" w:eastAsia="宋体"/>
          <w:sz w:val="18"/>
        </w:rPr>
        <w:t>[16] Zhengtao Xie, Zifan Zhou, Xinhao He, Yuguang Fu, Jiancheng Gu, Jiandong Zhang. Methodology for Object-Level Change Detection in Post-Earthquake Building Damage Assessment Based on Remote Sensing Images: OCD-BDA. Remote Sensing, 2024, 16(22): 4263. DOI: 10.3390/rs16224263.</w:t>
      </w:r>
    </w:p>
    <w:p w14:paraId="1979BCE1">
      <w:pPr>
        <w:pStyle w:val="166"/>
        <w:widowControl/>
      </w:pPr>
      <w:r>
        <w:rPr>
          <w:rFonts w:ascii="Times New Roman" w:hAnsi="Times New Roman" w:eastAsia="宋体"/>
          <w:sz w:val="18"/>
        </w:rPr>
        <w:t>[17] R. Achanta, A. Shaji, K. Smith, A. Lucchi, P. Fua, S. Süsstrunk. SLIC Superpixels Compared to State-of-the-Art Superpixel Methods. IEEE Transactions on Pattern Analysis and Machine Intelligence, 2012, 34(11): 2274–2282.</w:t>
      </w:r>
    </w:p>
    <w:p w14:paraId="13FE58BA">
      <w:pPr>
        <w:pStyle w:val="166"/>
        <w:widowControl/>
      </w:pPr>
      <w:r>
        <w:rPr>
          <w:rFonts w:ascii="Times New Roman" w:hAnsi="Times New Roman" w:eastAsia="宋体"/>
          <w:sz w:val="18"/>
        </w:rPr>
        <w:t>[18] Varun Jampani, Deqing Sun, Ming-Yu Liu, Ming-Hsuan Yang, Jan Kautz. Superpixel Sampling Networks. European Conference on Computer Vision, 2018.</w:t>
      </w:r>
    </w:p>
    <w:p w14:paraId="4C0B4151">
      <w:pPr>
        <w:pStyle w:val="166"/>
        <w:widowControl/>
      </w:pPr>
      <w:r>
        <w:rPr>
          <w:rFonts w:ascii="Times New Roman" w:hAnsi="Times New Roman" w:eastAsia="宋体"/>
          <w:sz w:val="18"/>
        </w:rPr>
        <w:t>[19] Fengting Yang, Qian Sun, Hailin Jin, Zihan Zhou. Superpixel Segmentation with Fully Convolutional Networks. IEEE/CVF Conference on Computer Vision and Pattern Recognition, 2020.</w:t>
      </w:r>
    </w:p>
    <w:p w14:paraId="2E74C40A">
      <w:pPr>
        <w:pStyle w:val="166"/>
        <w:widowControl/>
      </w:pPr>
      <w:r>
        <w:rPr>
          <w:rFonts w:ascii="Times New Roman" w:hAnsi="Times New Roman" w:eastAsia="宋体"/>
          <w:sz w:val="18"/>
        </w:rPr>
        <w:t>[20] Julien Walther, Rémi Giraud, Michaël Clément. Superpixel Anything: A General Object-Based Framework for Accurate Yet Regular Superpixel Segmentation. British Machine Vision Conference, 2025.</w:t>
      </w:r>
    </w:p>
    <w:p w14:paraId="611085DA">
      <w:pPr>
        <w:pStyle w:val="166"/>
        <w:widowControl/>
      </w:pPr>
      <w:r>
        <w:rPr>
          <w:rFonts w:ascii="Times New Roman" w:hAnsi="Times New Roman" w:eastAsia="宋体"/>
          <w:sz w:val="18"/>
        </w:rPr>
        <w:t>[21] Yuhui Yuan, Xilin Chen, Jingdong Wang. Object-Contextual Representations for Semantic Segmentation. European Conference on Computer Vision, 2020.</w:t>
      </w:r>
    </w:p>
    <w:p w14:paraId="0FE748F6">
      <w:pPr>
        <w:pStyle w:val="166"/>
        <w:widowControl/>
      </w:pPr>
      <w:r>
        <w:rPr>
          <w:rFonts w:ascii="Times New Roman" w:hAnsi="Times New Roman" w:eastAsia="宋体"/>
          <w:sz w:val="18"/>
        </w:rPr>
        <w:t>[22] Hengshuang Zhao, Jianping Shi, Xiaojuan Qi, Xiaogang Wang, Jiaya Jia. Pyramid Scene Parsing Network. IEEE Conference on Computer Vision and Pattern Recognition, 2017.</w:t>
      </w:r>
    </w:p>
    <w:p w14:paraId="78D2258D">
      <w:pPr>
        <w:pStyle w:val="166"/>
        <w:widowControl/>
      </w:pPr>
      <w:r>
        <w:rPr>
          <w:rFonts w:ascii="Times New Roman" w:hAnsi="Times New Roman" w:eastAsia="宋体"/>
          <w:sz w:val="18"/>
        </w:rPr>
        <w:t>[23] Jun Fu, Jing Liu, Haijie Tian, Yong Li, Yongjun Bao, Zhiwei Fang, Hanqing Lu. Dual Attention Network for Scene Segmentation. IEEE/CVF Conference on Computer Vision and Pattern Recognition, 2019: 3146–3154.</w:t>
      </w:r>
    </w:p>
    <w:p w14:paraId="7E9DBB0D">
      <w:pPr>
        <w:pStyle w:val="166"/>
        <w:widowControl/>
      </w:pPr>
      <w:r>
        <w:rPr>
          <w:rFonts w:ascii="Times New Roman" w:hAnsi="Times New Roman" w:eastAsia="宋体"/>
          <w:sz w:val="18"/>
        </w:rPr>
        <w:t>[24] Xiaolong Wang, Ross Girshick, Abhinav Gupta, Kaiming He. Non-local Neural Networks. IEEE/CVF Conference on Computer Vision and Pattern Recognition, 2018.</w:t>
      </w:r>
    </w:p>
    <w:p w14:paraId="2B693ECB">
      <w:pPr>
        <w:pStyle w:val="166"/>
        <w:widowControl/>
      </w:pPr>
      <w:r>
        <w:rPr>
          <w:rFonts w:ascii="Times New Roman" w:hAnsi="Times New Roman" w:eastAsia="宋体"/>
          <w:sz w:val="18"/>
        </w:rPr>
        <w:t>[25] Jie Hu, Li Shen, Gang Sun. Squeeze-and-Excitation Networks. IEEE/CVF Conference on Computer Vision and Pattern Recognition, 2018.</w:t>
      </w:r>
    </w:p>
    <w:p w14:paraId="3E77A17C">
      <w:pPr>
        <w:pStyle w:val="166"/>
        <w:widowControl/>
      </w:pPr>
      <w:r>
        <w:rPr>
          <w:rFonts w:ascii="Times New Roman" w:hAnsi="Times New Roman" w:eastAsia="宋体"/>
          <w:sz w:val="18"/>
        </w:rPr>
        <w:t>[26] Peihua Li, Jiangtao Xie, Qilong Wang, Wangmeng Zuo. Is Second-order Information Helpful for Large-scale Visual Recognition?. IEEE International Conference on Computer Vision, 2017.</w:t>
      </w:r>
    </w:p>
    <w:p w14:paraId="305702D8">
      <w:pPr>
        <w:pStyle w:val="166"/>
        <w:widowControl/>
      </w:pPr>
      <w:r>
        <w:rPr>
          <w:rFonts w:ascii="Times New Roman" w:hAnsi="Times New Roman" w:eastAsia="宋体"/>
          <w:sz w:val="18"/>
        </w:rPr>
        <w:t>[27] Yanfeng Zhang, Zhiwu Gao, Ying Dai, Yu Wu, Lei Zhang, Xingxing Han, Zhenxuan Liu. WANet: A Wavelet-Attention Network for Accurate Ditch Extraction in Remote Sensing Imagery. IEEE Journal of Selected Topics in Applied Earth Observations and Remote Sensing, 2026, 19: 17042–17054. DOI: 10.1109/JSTARS.2026.3693082.</w:t>
      </w:r>
    </w:p>
    <w:p w14:paraId="3E223A9D">
      <w:pPr>
        <w:pStyle w:val="166"/>
        <w:widowControl/>
      </w:pPr>
      <w:r>
        <w:rPr>
          <w:rFonts w:ascii="Times New Roman" w:hAnsi="Times New Roman" w:eastAsia="宋体"/>
          <w:sz w:val="18"/>
        </w:rPr>
        <w:t>[28] Ethan Perez, Florian Strub, Harm de Vries, Vincent Dumoulin, Aaron Courville. FiLM: Visual Reasoning with a General Conditioning Layer. Proceedings of the AAAI Conference on Artificial Intelligence (AAAI), 2018.</w:t>
      </w:r>
    </w:p>
    <w:p w14:paraId="6854C615">
      <w:pPr>
        <w:pStyle w:val="166"/>
        <w:widowControl/>
      </w:pPr>
      <w:r>
        <w:rPr>
          <w:rFonts w:ascii="Times New Roman" w:hAnsi="Times New Roman" w:eastAsia="宋体"/>
          <w:sz w:val="18"/>
        </w:rPr>
        <w:t>[29] Wenguan Wang, Tianfei Zhou, Fisher Yu, Jifeng Dai, Ender Konukoglu, Luc Van Gool. Exploring Cross-Image Pixel Contrast for Semantic Segmentation. Proceedings of the IEEE/CVF International Conference on Computer Vision (ICCV), 2021: 7303–7313.</w:t>
      </w:r>
    </w:p>
    <w:p w14:paraId="1BA77395">
      <w:pPr>
        <w:pStyle w:val="166"/>
        <w:widowControl/>
      </w:pPr>
      <w:r>
        <w:rPr>
          <w:rFonts w:ascii="Times New Roman" w:hAnsi="Times New Roman" w:eastAsia="宋体"/>
          <w:sz w:val="18"/>
        </w:rPr>
        <w:t>[30] Tianfei Zhou, Wenguan Wang, Ender Konukoglu, Luc Van Gool. Rethinking Semantic Segmentation: A Prototype View. Proceedings of the IEEE/CVF Conference on Computer Vision and Pattern Recognition (CVPR), 2022.</w:t>
      </w:r>
    </w:p>
    <w:p w14:paraId="0DD98D29">
      <w:pPr>
        <w:pStyle w:val="166"/>
        <w:widowControl/>
      </w:pPr>
      <w:r>
        <w:rPr>
          <w:rFonts w:ascii="Times New Roman" w:hAnsi="Times New Roman" w:eastAsia="宋体"/>
          <w:sz w:val="18"/>
        </w:rPr>
        <w:t>[31] Jake Snell, Kevin Swersky, Richard Zemel. Prototypical Networks for Few-shot Learning. Advances in Neural Information Processing Systems (NIPS), 2017.</w:t>
      </w:r>
    </w:p>
    <w:p w14:paraId="0B63C037">
      <w:pPr>
        <w:pStyle w:val="166"/>
        <w:widowControl/>
      </w:pPr>
      <w:r>
        <w:rPr>
          <w:rFonts w:ascii="Times New Roman" w:hAnsi="Times New Roman" w:eastAsia="宋体"/>
          <w:sz w:val="18"/>
        </w:rPr>
        <w:t>[32] Han-Jia Ye, Hexiang Hu, De-Chuan Zhan, Fei Sha. Few-Shot Learning via Embedding Adaptation with Set-to-Set Functions. Proceedings of the IEEE/CVF Conference on Computer Vision and Pattern Recognition (CVPR), 2020: 8808–8817.</w:t>
      </w:r>
    </w:p>
    <w:p w14:paraId="7BF6D514">
      <w:pPr>
        <w:pStyle w:val="166"/>
        <w:widowControl/>
      </w:pPr>
      <w:r>
        <w:rPr>
          <w:rFonts w:ascii="Times New Roman" w:hAnsi="Times New Roman" w:eastAsia="宋体"/>
          <w:sz w:val="18"/>
        </w:rPr>
        <w:t>[33] Renrui Zhang, Wei Zhang, Rongyao Fang, Peng Gao, Kunchang Li, Jifeng Dai, Yu Qiao, Hongsheng Li. Tip-Adapter: Training-free Adaption of CLIP for Few-shot Classification. European Conference on Computer Vision (ECCV), 2022.</w:t>
      </w:r>
    </w:p>
    <w:p w14:paraId="750759F2">
      <w:pPr>
        <w:pStyle w:val="166"/>
        <w:widowControl/>
      </w:pPr>
      <w:r>
        <w:rPr>
          <w:rFonts w:ascii="Times New Roman" w:hAnsi="Times New Roman" w:eastAsia="宋体"/>
          <w:sz w:val="18"/>
        </w:rPr>
        <w:t>[34] Xun Wang, Haozhi Zhang, Weilin Huang, Matthew R. Scott. Cross-Batch Memory for Embedding Learning. Proceedings of the IEEE/CVF Conference on Computer Vision and Pattern Recognition (CVPR), 2020.</w:t>
      </w:r>
    </w:p>
    <w:p w14:paraId="2145898F">
      <w:pPr>
        <w:pStyle w:val="166"/>
        <w:widowControl/>
      </w:pPr>
      <w:r>
        <w:rPr>
          <w:rFonts w:ascii="Times New Roman" w:hAnsi="Times New Roman" w:eastAsia="宋体"/>
          <w:sz w:val="18"/>
        </w:rPr>
        <w:t>[35] Kaiming He, Haoqi Fan, Yuxin Wu, Saining Xie, Ross Girshick. Momentum Contrast for Unsupervised Visual Representation Learning. Proceedings of the IEEE/CVF Conference on Computer Vision and Pattern Recognition (CVPR), 2020: 9729–9738.</w:t>
      </w:r>
    </w:p>
    <w:p w14:paraId="4A0DFF80">
      <w:pPr>
        <w:pStyle w:val="166"/>
        <w:widowControl/>
      </w:pPr>
      <w:r>
        <w:rPr>
          <w:rFonts w:ascii="Times New Roman" w:hAnsi="Times New Roman" w:eastAsia="宋体"/>
          <w:sz w:val="18"/>
        </w:rPr>
        <w:t>[36] Xinlong Wang, Rufeng Zhang, Chunhua Shen, Tao Kong, Lei Li. Dense Contrastive Learning for Self-Supervised Visual Pre-Training. Proceedings of the IEEE/CVF Conference on Computer Vision and Pattern Recognition (CVPR), 2021.</w:t>
      </w:r>
    </w:p>
    <w:p w14:paraId="47DA56CF">
      <w:pPr>
        <w:pStyle w:val="166"/>
        <w:widowControl/>
      </w:pPr>
      <w:r>
        <w:rPr>
          <w:rFonts w:ascii="Times New Roman" w:hAnsi="Times New Roman" w:eastAsia="宋体"/>
          <w:sz w:val="18"/>
        </w:rPr>
        <w:t>[37] Prannay Khosla, Piotr Teterwak, Chen Wang, Aaron Sarna, Yonglong Tian, Phillip Isola, Aaron Maschinot, Ce Liu, Dilip Krishnan. Supervised Contrastive Learning. Advances in Neural Information Processing Systems (NeurIPS), 2020.</w:t>
      </w:r>
    </w:p>
    <w:p w14:paraId="0B692429">
      <w:pPr>
        <w:pStyle w:val="166"/>
        <w:widowControl/>
      </w:pPr>
      <w:r>
        <w:rPr>
          <w:rFonts w:ascii="Times New Roman" w:hAnsi="Times New Roman" w:eastAsia="宋体"/>
          <w:sz w:val="18"/>
        </w:rPr>
        <w:t>[38] Ashish Vaswani, Noam Shazeer, Niki Parmar, Jakob Uszkoreit, Llion Jones, Aidan N. Gomez, Łukasz Kaiser, Illia Polosukhin. Attention Is All You Need. arXiv preprint arXiv:1706.03762, 2017. https://arxiv.org/abs/1706.03762.</w:t>
      </w:r>
    </w:p>
    <w:p w14:paraId="6FBB4BA4">
      <w:pPr>
        <w:pStyle w:val="166"/>
        <w:widowControl/>
      </w:pPr>
      <w:r>
        <w:rPr>
          <w:rFonts w:ascii="Times New Roman" w:hAnsi="Times New Roman" w:eastAsia="宋体"/>
          <w:sz w:val="18"/>
        </w:rPr>
        <w:t>[39] Maxim Berman, Amal Rannen Triki, Matthew B. Blaschko. The Lovász-Softmax Loss: A Tractable Surrogate for the Optimization of the Intersection-Over-Union Measure in Neural Networks. IEEE/CVF Conference on Computer Vision and Pattern Recognition (CVPR), 2018: 4413–4421. DOI: 10.1109/CVPR.2018.00464.</w:t>
      </w:r>
    </w:p>
    <w:p w14:paraId="4480D1FF">
      <w:pPr>
        <w:pStyle w:val="166"/>
        <w:widowControl/>
      </w:pPr>
      <w:r>
        <w:rPr>
          <w:rFonts w:ascii="Times New Roman" w:hAnsi="Times New Roman" w:eastAsia="宋体"/>
          <w:sz w:val="18"/>
        </w:rPr>
        <w:t>[40] Ilya Loshchilov, Frank Hutter. Decoupled Weight Decay Regularization. International Conference on Learning Representations (ICLR), 2019.</w:t>
      </w:r>
    </w:p>
    <w:p w14:paraId="388E9C39">
      <w:pPr>
        <w:widowControl/>
      </w:pPr>
      <w:bookmarkStart w:id="0" w:name="_GoBack"/>
      <w:bookmarkEnd w:id="0"/>
    </w:p>
    <w:sectPr>
      <w:footerReference r:id="rId5" w:type="default"/>
      <w:pgSz w:w="11906" w:h="16838"/>
      <w:pgMar w:top="1020" w:right="1020" w:bottom="1020" w:left="1020"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MS Mincho">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6AC10">
    <w:pPr>
      <w:pStyle w:val="24"/>
      <w:ind w:firstLine="0"/>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23781A"/>
    <w:rsid w:val="350A3514"/>
    <w:rsid w:val="60516841"/>
    <w:rsid w:val="61FB33CF"/>
    <w:rsid w:val="638E5D64"/>
    <w:rsid w:val="692E7F1E"/>
    <w:rsid w:val="6971117C"/>
    <w:rsid w:val="733946EB"/>
    <w:rsid w:val="75EC11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80" w:line="276" w:lineRule="auto"/>
      <w:ind w:firstLine="420"/>
    </w:pPr>
    <w:rPr>
      <w:rFonts w:ascii="Times New Roman" w:hAnsi="Times New Roman" w:eastAsia="宋体" w:cstheme="minorBidi"/>
      <w:color w:val="000000"/>
      <w:sz w:val="21"/>
      <w:szCs w:val="22"/>
      <w:lang w:val="en-US" w:eastAsia="en-US" w:bidi="ar-SA"/>
    </w:rPr>
  </w:style>
  <w:style w:type="paragraph" w:styleId="3">
    <w:name w:val="heading 1"/>
    <w:basedOn w:val="1"/>
    <w:next w:val="1"/>
    <w:link w:val="139"/>
    <w:qFormat/>
    <w:uiPriority w:val="9"/>
    <w:pPr>
      <w:keepNext/>
      <w:keepLines/>
      <w:widowControl/>
      <w:spacing w:before="220" w:after="80" w:line="276" w:lineRule="auto"/>
      <w:ind w:firstLine="0"/>
      <w:outlineLvl w:val="0"/>
    </w:pPr>
    <w:rPr>
      <w:rFonts w:asciiTheme="majorHAnsi" w:hAnsiTheme="majorHAnsi" w:eastAsiaTheme="majorEastAsia" w:cstheme="majorBidi"/>
      <w:b/>
      <w:bCs/>
      <w:color w:val="000000"/>
      <w:sz w:val="21"/>
      <w:szCs w:val="28"/>
    </w:rPr>
  </w:style>
  <w:style w:type="paragraph" w:styleId="4">
    <w:name w:val="heading 2"/>
    <w:basedOn w:val="1"/>
    <w:next w:val="1"/>
    <w:link w:val="140"/>
    <w:unhideWhenUsed/>
    <w:qFormat/>
    <w:uiPriority w:val="9"/>
    <w:pPr>
      <w:keepNext/>
      <w:keepLines/>
      <w:widowControl/>
      <w:spacing w:before="160" w:after="80" w:line="276" w:lineRule="auto"/>
      <w:ind w:firstLine="0"/>
      <w:outlineLvl w:val="1"/>
    </w:pPr>
    <w:rPr>
      <w:rFonts w:asciiTheme="majorHAnsi" w:hAnsiTheme="majorHAnsi" w:eastAsiaTheme="majorEastAsia" w:cstheme="majorBidi"/>
      <w:b/>
      <w:bCs/>
      <w:color w:val="000000"/>
      <w:sz w:val="21"/>
      <w:szCs w:val="26"/>
    </w:rPr>
  </w:style>
  <w:style w:type="paragraph" w:styleId="5">
    <w:name w:val="heading 3"/>
    <w:basedOn w:val="1"/>
    <w:next w:val="1"/>
    <w:link w:val="141"/>
    <w:unhideWhenUsed/>
    <w:qFormat/>
    <w:uiPriority w:val="9"/>
    <w:pPr>
      <w:keepNext/>
      <w:keepLines/>
      <w:widowControl/>
      <w:spacing w:before="120" w:after="80" w:line="276" w:lineRule="auto"/>
      <w:ind w:firstLine="0"/>
      <w:outlineLvl w:val="2"/>
    </w:pPr>
    <w:rPr>
      <w:rFonts w:asciiTheme="majorHAnsi" w:hAnsiTheme="majorHAnsi" w:eastAsiaTheme="majorEastAsia" w:cstheme="majorBidi"/>
      <w:b/>
      <w:bCs/>
      <w:color w:val="000000"/>
      <w:sz w:val="21"/>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60" w:after="80" w:line="276" w:lineRule="auto"/>
      <w:ind w:firstLine="0"/>
    </w:pPr>
    <w:rPr>
      <w:rFonts w:ascii="Times New Roman" w:hAnsi="Times New Roman" w:eastAsia="宋体"/>
      <w:bCs/>
      <w:color w:val="000000"/>
      <w:sz w:val="19"/>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keepNext/>
      <w:spacing w:before="0" w:after="280" w:line="288" w:lineRule="auto"/>
      <w:ind w:firstLine="0"/>
      <w:contextualSpacing/>
    </w:pPr>
    <w:rPr>
      <w:rFonts w:asciiTheme="majorHAnsi" w:hAnsiTheme="majorHAnsi" w:eastAsiaTheme="majorEastAsia" w:cstheme="majorBidi"/>
      <w:b/>
      <w:color w:val="000000"/>
      <w:spacing w:val="5"/>
      <w:kern w:val="28"/>
      <w:sz w:val="3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Abstract Body"/>
    <w:qFormat/>
    <w:uiPriority w:val="0"/>
    <w:pPr>
      <w:widowControl/>
      <w:spacing w:after="80" w:line="276" w:lineRule="auto"/>
      <w:ind w:firstLine="0"/>
    </w:pPr>
    <w:rPr>
      <w:rFonts w:ascii="Times New Roman" w:hAnsi="Times New Roman" w:eastAsia="宋体" w:cstheme="minorBidi"/>
      <w:color w:val="000000"/>
      <w:sz w:val="21"/>
      <w:szCs w:val="22"/>
      <w:lang w:val="en-US" w:eastAsia="en-US" w:bidi="ar-SA"/>
    </w:rPr>
  </w:style>
  <w:style w:type="paragraph" w:customStyle="1" w:styleId="166">
    <w:name w:val="Reference Entry"/>
    <w:qFormat/>
    <w:uiPriority w:val="0"/>
    <w:pPr>
      <w:keepLines/>
      <w:spacing w:after="80" w:line="276" w:lineRule="auto"/>
      <w:ind w:left="369" w:hanging="369"/>
    </w:pPr>
    <w:rPr>
      <w:rFonts w:ascii="Times New Roman" w:hAnsi="Times New Roman" w:eastAsia="宋体" w:cstheme="minorBidi"/>
      <w:color w:val="00000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3</TotalTime>
  <ScaleCrop>false</ScaleCrop>
  <LinksUpToDate>false</LinksUpToDate>
  <CharactersWithSpaces>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大大大大大大宁</dc:creator>
  <cp:lastModifiedBy>大大大大大大宁</cp:lastModifiedBy>
  <dcterms:modified xsi:type="dcterms:W3CDTF">2026-10-16T08:31:55Z</dcterms:modified>
  <dc:subject>光学–SAR建筑损毁评估的结构条件区域编码与跨事件检索</dc:subject>
  <dc:title>面向光学–SAR建筑损毁评估的结构条件区域编码与跨事件检索</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058C4E9CA0E74F66B74A0B7F58D3F77C_13</vt:lpwstr>
  </property>
</Properties>
</file>