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1"/>
        <w:jc w:val="center"/>
        <w:rPr>
          <w:rFonts w:hint="eastAsia" w:ascii="宋体" w:hAnsi="宋体" w:eastAsia="宋体" w:cs="宋体"/>
        </w:rPr>
      </w:pPr>
      <w:r>
        <w:rPr>
          <w:rFonts w:hint="eastAsia" w:ascii="宋体" w:hAnsi="宋体" w:eastAsia="宋体" w:cs="宋体"/>
        </w:rPr>
        <w:t>面向光学–SAR建筑损毁评估的</w:t>
      </w:r>
      <w:r>
        <w:rPr>
          <w:rFonts w:hint="eastAsia" w:ascii="宋体" w:hAnsi="宋体" w:eastAsia="宋体" w:cs="宋体"/>
        </w:rPr>
        <w:br w:type="textWrapping"/>
      </w:r>
      <w:r>
        <w:rPr>
          <w:rFonts w:hint="eastAsia" w:ascii="宋体" w:hAnsi="宋体" w:eastAsia="宋体" w:cs="宋体"/>
        </w:rPr>
        <w:t>结构条件区域编码与跨事件检索</w:t>
      </w:r>
    </w:p>
    <w:p w14:paraId="7E200F92">
      <w:pPr>
        <w:pStyle w:val="164"/>
        <w:rPr>
          <w:rFonts w:hint="eastAsia" w:ascii="宋体" w:hAnsi="宋体" w:eastAsia="宋体" w:cs="宋体"/>
        </w:rPr>
      </w:pPr>
      <w:r>
        <w:t>摘要—灾前光学影像与灾后合成孔径雷达（SAR）影像为建筑损毁评估提供互补观测，但区域组织和历史支持选择仍面临任务相关性不足的问题：外观驱动的分区可能混合建筑与背景，外观相近的历史区域也未必具有相同损毁等级。针对上述问题，本文构建建筑结构约束与跨事件检索相结合的光学–SAR建筑损毁评估框架。首先，在局部软归属中引入预测建筑概率的连续相容项；其次，利用建筑概率、软归属相容变化和归属熵对融合内容作残差适配，并结合适配前特征统计与软几何形成区域表示；最后，在固定区域表示上利用跨事件类别关系学习独立检索投影。投影仅调整支持记录的选择，读取器仍使用原始支持特征、训练标签组成及元数据。增强区域特征经同一软归属回投，与保留的像素特征联合完成四类预测。实验分别评价区域成员组织、条件化内容、邻居相关性和最终分类，并通过容量对照、固定读取器替换及逐事件分析确定各环节的作用边界。</w:t>
      </w:r>
    </w:p>
    <w:p w14:paraId="7618B83C">
      <w:pPr>
        <w:pStyle w:val="164"/>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建筑损毁评估；光学–SAR遥感；建筑软分区；结构条件特征适配；跨事件区域检索</w:t>
      </w:r>
    </w:p>
    <w:p w14:paraId="79E28A03">
      <w:pPr>
        <w:pStyle w:val="3"/>
        <w:keepNext/>
        <w:rPr>
          <w:rFonts w:hint="eastAsia" w:ascii="宋体" w:hAnsi="宋体" w:eastAsia="宋体" w:cs="宋体"/>
        </w:rPr>
      </w:pPr>
      <w:r>
        <w:rPr>
          <w:rFonts w:hint="eastAsia" w:ascii="宋体" w:hAnsi="宋体" w:eastAsia="宋体" w:cs="宋体"/>
        </w:rPr>
        <w:t>I. 引言</w:t>
      </w:r>
    </w:p>
    <w:p w14:paraId="3B44B6DE">
      <w:pPr>
        <w:widowControl/>
        <w:rPr>
          <w:rFonts w:hint="eastAsia" w:ascii="宋体" w:hAnsi="宋体" w:eastAsia="宋体" w:cs="宋体"/>
        </w:rPr>
      </w:pPr>
      <w:r>
        <w:rPr>
          <w:rFonts w:hint="eastAsia" w:ascii="宋体" w:hAnsi="宋体" w:eastAsia="宋体" w:cs="宋体"/>
        </w:rPr>
        <w:t>建筑损毁的位置和程度是灾后应急响应所需的空间信息。xBD推动了灾前、灾后光学影像中的建筑定位和损毁分级研究[1]。灾后光学影像受云雾、光照和获取时机限制，灾前光学与灾后SAR的组合为连续观测提供了另一条路径。BRIGHT基于这种观测组合提供多灾害事件的建筑损毁评测数据[2]。在该任务中，模型需要从灾前影像判断建筑结构，并结合灾后SAR响应输出背景、完好、受损和毁坏四类像素结果。BRIGHT在本文中只用于评测，不是新的数据集贡献。</w:t>
      </w:r>
    </w:p>
    <w:p w14:paraId="2C997B24">
      <w:pPr>
        <w:widowControl/>
        <w:rPr>
          <w:rFonts w:hint="eastAsia" w:ascii="宋体" w:hAnsi="宋体" w:eastAsia="宋体" w:cs="宋体"/>
        </w:rPr>
      </w:pPr>
      <w:r>
        <w:rPr>
          <w:rFonts w:hint="eastAsia" w:ascii="宋体" w:hAnsi="宋体" w:eastAsia="宋体" w:cs="宋体"/>
        </w:rPr>
        <w:t>已有方法分别从对象、像素和区域层组织损毁证据。ChangeOS把建筑对象信息与等级判断联系起来[3]；可微超像素方法使像素与区域之间的关联可以随任务学习[4]；对象上下文表示把区域特征再用于像素预测[5]。这些研究说明区域汇总和回投可以作为技术基础，但并未直接回答本文的三个设计问题：建筑预测应如何影响当前区域的成员，已形成区域的状态应如何改变融合内容，以及训练事件中的历史区域应按什么关系被检索。</w:t>
      </w:r>
    </w:p>
    <w:p w14:paraId="67FD1E1B">
      <w:pPr>
        <w:widowControl/>
        <w:rPr>
          <w:rFonts w:hint="eastAsia" w:ascii="宋体" w:hAnsi="宋体" w:eastAsia="宋体" w:cs="宋体"/>
        </w:rPr>
      </w:pPr>
      <w:r>
        <w:rPr>
          <w:rFonts w:hint="eastAsia" w:ascii="宋体" w:hAnsi="宋体" w:eastAsia="宋体" w:cs="宋体"/>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宋体" w:hAnsi="宋体" w:eastAsia="宋体" w:cs="宋体"/>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t>围绕三个设计环节，本文构建由总体比较、区域组织与内容适配消融、历史支持与排序对照、检索质量、事件表现和配对案例组成的验证链。区域组织指标与最终分割指标分别报告，检索相关度与分类收益分别分析。所有结果表保留原始计数的可追溯来源，避免将递进配置的差值直接解释为单个模块的独立作用。</w:t>
      </w:r>
    </w:p>
    <w:p w14:paraId="42566789">
      <w:pPr>
        <w:widowControl/>
        <w:rPr>
          <w:rFonts w:hint="eastAsia" w:ascii="宋体" w:hAnsi="宋体" w:eastAsia="宋体" w:cs="宋体"/>
        </w:rPr>
      </w:pPr>
      <w: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rPr>
          <w:rFonts w:hint="eastAsia" w:ascii="宋体" w:hAnsi="宋体" w:eastAsia="宋体" w:cs="宋体"/>
        </w:rPr>
      </w:pPr>
      <w:r>
        <w:rPr>
          <w:rFonts w:hint="eastAsia" w:ascii="宋体" w:hAnsi="宋体" w:eastAsia="宋体" w:cs="宋体"/>
        </w:rPr>
        <w:t>II. 相关工作</w:t>
      </w:r>
    </w:p>
    <w:p w14:paraId="4A80AA40">
      <w:pPr>
        <w:pStyle w:val="4"/>
        <w:keepNext/>
        <w:rPr>
          <w:rFonts w:hint="eastAsia" w:ascii="宋体" w:hAnsi="宋体" w:eastAsia="宋体" w:cs="宋体"/>
        </w:rPr>
      </w:pPr>
      <w:r>
        <w:rPr>
          <w:rFonts w:hint="eastAsia" w:ascii="宋体" w:hAnsi="宋体" w:eastAsia="宋体" w:cs="宋体"/>
        </w:rPr>
        <w:t>A. 建筑损毁评估与光学–SAR融合</w:t>
      </w:r>
    </w:p>
    <w:p w14:paraId="60E7A3D8">
      <w:pPr>
        <w:widowControl/>
        <w:rPr>
          <w:rFonts w:hint="eastAsia" w:ascii="宋体" w:hAnsi="宋体" w:eastAsia="宋体" w:cs="宋体"/>
        </w:rPr>
      </w:pPr>
      <w:r>
        <w:rPr>
          <w:rFonts w:hint="eastAsia" w:ascii="宋体" w:hAnsi="宋体" w:eastAsia="宋体" w:cs="宋体"/>
        </w:rPr>
        <w:t>建筑损毁评估通常同时涉及建筑位置和损毁状态。xBD提供灾前与灾后光学影像及损毁标注[1]；ChangeOS利用对象语义变化信息辅助建筑损毁判断[3]。双任务孪生Transformer联合研究建筑定位与损毁分级[6]，ChangeMamba的MambaBDA设置探索状态空间表征用于建筑损毁评估[7]。这些方法构成本文像素前端及任务设置的背景，但输入模态和区域机制并不完全相同，不能仅凭模型名称判断优劣。</w:t>
      </w:r>
    </w:p>
    <w:p w14:paraId="6B3F7D1E">
      <w:pPr>
        <w:widowControl/>
        <w:rPr>
          <w:rFonts w:hint="eastAsia" w:ascii="宋体" w:hAnsi="宋体" w:eastAsia="宋体" w:cs="宋体"/>
        </w:rPr>
      </w:pPr>
      <w:r>
        <w:rPr>
          <w:rFonts w:hint="eastAsia" w:ascii="宋体" w:hAnsi="宋体" w:eastAsia="宋体" w:cs="宋体"/>
        </w:rPr>
        <w:t>BRIGHT以灾前光学和灾后SAR观测建立多事件建筑损毁评测任务[2]。在相近模态设置下，ADSFNet将灾前定位特征用于损毁分支，并研究自适应融合[8]。因此，建筑先验本身不是本文的新概念。本文要比较的是其具体作用位置：预测建筑概率进入软区域归属，分区状态进入已融合特征的内容适配；两种操作须分别验证。</w:t>
      </w:r>
    </w:p>
    <w:p w14:paraId="51E13AB3">
      <w:pPr>
        <w:pStyle w:val="4"/>
        <w:keepNext/>
        <w:rPr>
          <w:rFonts w:hint="eastAsia" w:ascii="宋体" w:hAnsi="宋体" w:eastAsia="宋体" w:cs="宋体"/>
        </w:rPr>
      </w:pPr>
      <w:r>
        <w:rPr>
          <w:rFonts w:hint="eastAsia" w:ascii="宋体" w:hAnsi="宋体" w:eastAsia="宋体" w:cs="宋体"/>
        </w:rPr>
        <w:t>B. 建筑先验与可学习软分区</w:t>
      </w:r>
    </w:p>
    <w:p w14:paraId="5DF5FECD">
      <w:pPr>
        <w:widowControl/>
        <w:rPr>
          <w:rFonts w:hint="eastAsia" w:ascii="宋体" w:hAnsi="宋体" w:eastAsia="宋体" w:cs="宋体"/>
        </w:rPr>
      </w:pPr>
      <w:r>
        <w:rPr>
          <w:rFonts w:hint="eastAsia" w:ascii="宋体" w:hAnsi="宋体" w:eastAsia="宋体" w:cs="宋体"/>
        </w:rPr>
        <w:t>SLIC在颜色与空间位置的联合空间内构造超像素[9]。SSN将超像素关联更新改为可微过程，使区域组织能够由下游任务学习[4]；全卷积超像素方法直接预测局部关联[10]。Superpixel Transformers进一步研究区域和像素特征的交换[11]。这些工作已经建立局部软关联、区域汇总与回投的基本技术路径，本文不把“使用超像素”本身列为贡献。</w:t>
      </w:r>
    </w:p>
    <w:p>
      <w:pPr>
        <w:widowControl/>
      </w:pPr>
      <w:r>
        <w:t>对象先验指导超像素已有相关研究，例如Superpixel Anything将对象掩膜与可学习超像素结合[20]。因此本文不将对象先验本身作为首创，而检验预测建筑概率进入局部相容项的具体作用，并以区域预算、有效区域数和最终分类共同约束解释。</w:t>
      </w:r>
    </w:p>
    <w:p w14:paraId="2375619C">
      <w:pPr>
        <w:widowControl/>
        <w:rPr>
          <w:rFonts w:hint="eastAsia" w:ascii="宋体" w:hAnsi="宋体" w:eastAsia="宋体" w:cs="宋体"/>
        </w:rPr>
      </w:pPr>
      <w:r>
        <w:rPr>
          <w:rFonts w:hint="eastAsia" w:ascii="宋体" w:hAnsi="宋体" w:eastAsia="宋体" w:cs="宋体"/>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rPr>
          <w:rFonts w:hint="eastAsia" w:ascii="宋体" w:hAnsi="宋体" w:eastAsia="宋体" w:cs="宋体"/>
        </w:rPr>
      </w:pPr>
      <w:r>
        <w:rPr>
          <w:rFonts w:hint="eastAsia" w:ascii="宋体" w:hAnsi="宋体" w:eastAsia="宋体" w:cs="宋体"/>
        </w:rPr>
        <w:t>C. 区域内容表征与像素上下文</w:t>
      </w:r>
    </w:p>
    <w:p w14:paraId="5896BA1B">
      <w:pPr>
        <w:widowControl/>
        <w:rPr>
          <w:rFonts w:hint="eastAsia" w:ascii="宋体" w:hAnsi="宋体" w:eastAsia="宋体" w:cs="宋体"/>
        </w:rPr>
      </w:pPr>
      <w:r>
        <w:rPr>
          <w:rFonts w:hint="eastAsia" w:ascii="宋体" w:hAnsi="宋体" w:eastAsia="宋体" w:cs="宋体"/>
        </w:rPr>
        <w:t>OCR在软对象区域内汇聚特征，再用对象上下文增强像素表示[5]；Superpixel Transformers也研究像素与区域之间的表示交换[11]。注意力加权统计池化在其他表征任务中已有研究[12]。由此，注意力汇总、均值和标准差以及区域回投都不是本文单独主张的新算子。</w:t>
      </w:r>
    </w:p>
    <w:p w14:paraId="6910D84C">
      <w:pPr>
        <w:widowControl/>
        <w:rPr>
          <w:rFonts w:hint="eastAsia" w:ascii="宋体" w:hAnsi="宋体" w:eastAsia="宋体" w:cs="宋体"/>
        </w:rPr>
      </w:pPr>
      <w:r>
        <w:rPr>
          <w:rFonts w:hint="eastAsia" w:ascii="宋体" w:hAnsi="宋体" w:eastAsia="宋体" w:cs="宋体"/>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pPr>
        <w:widowControl/>
      </w:pPr>
      <w:r>
        <w:t>条件化中间特征亦有FiLM等先例[21]。本文采用的是结构条件残差适配，并不等同于FiLM算子；结构条件是否优于普通内容处理，需要通过有效容量匹配以及逐项去除B、b(Q)、H(Q)判断。</w:t>
      </w:r>
    </w:p>
    <w:p w14:paraId="02469D6B">
      <w:pPr>
        <w:pStyle w:val="4"/>
        <w:keepNext/>
        <w:rPr>
          <w:rFonts w:hint="eastAsia" w:ascii="宋体" w:hAnsi="宋体" w:eastAsia="宋体" w:cs="宋体"/>
        </w:rPr>
      </w:pPr>
      <w:r>
        <w:rPr>
          <w:rFonts w:hint="eastAsia" w:ascii="宋体" w:hAnsi="宋体" w:eastAsia="宋体" w:cs="宋体"/>
        </w:rPr>
        <w:t>D. 外部支持与跨事件检索</w:t>
      </w:r>
    </w:p>
    <w:p w14:paraId="66B52A09">
      <w:pPr>
        <w:widowControl/>
        <w:rPr>
          <w:rFonts w:hint="eastAsia" w:ascii="宋体" w:hAnsi="宋体" w:eastAsia="宋体" w:cs="宋体"/>
        </w:rPr>
      </w:pPr>
      <w:r>
        <w:rPr>
          <w:rFonts w:hint="eastAsia" w:ascii="宋体" w:hAnsi="宋体" w:eastAsia="宋体" w:cs="宋体"/>
        </w:rPr>
        <w:t>跨图像像素对比学习通过标签关系组织分割特征空间[13]，原型方法研究类别表示与密集预测的关系[14]。Tip-Adapter将训练特征和标签保存在缓存中供预测时读取[15]；RAC将检索和关联信息读取分开，并与原分类分支融合[16]。因此，外部支持、返回邻居索引再读取内容，以及与像素分支融合均有先例。</w:t>
      </w:r>
    </w:p>
    <w:p w14:paraId="47E3F351">
      <w:pPr>
        <w:widowControl/>
        <w:rPr>
          <w:rFonts w:hint="eastAsia" w:ascii="宋体" w:hAnsi="宋体" w:eastAsia="宋体" w:cs="宋体"/>
        </w:rPr>
      </w:pPr>
      <w:r>
        <w:rPr>
          <w:rFonts w:hint="eastAsia" w:ascii="宋体" w:hAnsi="宋体" w:eastAsia="宋体" w:cs="宋体"/>
        </w:rPr>
        <w:t>本文把监督关系落在建筑损毁区域及不同事件之间。具体而言，高纯度训练区域用于构造同损毁等级的跨事件正样本和异类负样本，在固定区域表示上学习检索投影；支持读取仍采用未投影的内容。该设计与监督对比学习的类别约束有关[17]，但其有效性要分两层检验：邻居是否更相关，以及这些邻居是否改善最终像素分类。标准划分中的跨事件检索也不等于严格的留事件泛化测试。</w:t>
      </w:r>
    </w:p>
    <w:p>
      <w:pPr>
        <w:widowControl/>
      </w:pPr>
      <w:r>
        <w:t>SRAC面向相同的光学–SAR建筑损毁任务研究超像素与标注案例检索[22]，是与本文最接近的相关方向。本文需要将差异落在具体相容机制、内容适配和支持排序及其受控验证上，不能仅以“超像素加Memory”主张新颖性。当前未取得可核对的全文及官方实现，不据公开图示缺项推断其没有某一机制。</w:t>
      </w:r>
    </w:p>
    <w:p w14:paraId="49EA1A57">
      <w:pPr>
        <w:pStyle w:val="3"/>
        <w:keepNext/>
        <w:rPr>
          <w:rFonts w:hint="eastAsia" w:ascii="宋体" w:hAnsi="宋体" w:eastAsia="宋体" w:cs="宋体"/>
        </w:rPr>
      </w:pPr>
      <w:r>
        <w:rPr>
          <w:rFonts w:hint="eastAsia" w:ascii="宋体" w:hAnsi="宋体" w:eastAsia="宋体" w:cs="宋体"/>
        </w:rPr>
        <w:t>III. 所提方法</w:t>
      </w:r>
    </w:p>
    <w:p w14:paraId="433630B2">
      <w:pPr>
        <w:pStyle w:val="4"/>
        <w:keepNext/>
        <w:rPr>
          <w:rFonts w:hint="eastAsia" w:ascii="宋体" w:hAnsi="宋体" w:eastAsia="宋体" w:cs="宋体"/>
        </w:rPr>
      </w:pPr>
      <w:r>
        <w:rPr>
          <w:rFonts w:hint="eastAsia" w:ascii="宋体" w:hAnsi="宋体" w:eastAsia="宋体" w:cs="宋体"/>
        </w:rPr>
        <w:t>A. 任务定义与总体框架</w:t>
      </w:r>
    </w:p>
    <w:p w14:paraId="61A0269D">
      <w:pPr>
        <w:widowControl/>
        <w:rPr>
          <w:rFonts w:hint="eastAsia" w:ascii="宋体" w:hAnsi="宋体" w:eastAsia="宋体" w:cs="宋体"/>
        </w:rPr>
      </w:pPr>
      <w:r>
        <w:rPr>
          <w:rFonts w:hint="eastAsia" w:ascii="宋体" w:hAnsi="宋体" w:eastAsia="宋体" w:cs="宋体"/>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宋体" w:hAnsi="宋体" w:eastAsia="宋体" w:cs="宋体"/>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图1中的“DamageFormer pixel–region–memory classification”表示在基础像素前端之上扩展的本文框架，不应与总体比较中的DamageFormer基线混同。</w:t>
      </w:r>
    </w:p>
    <w:p>
      <w:pPr/>
      <w:r>
        <w:t>本文将提供建筑概率、像素预测和融合特征的基础网络统一称为多模态像素前端（Multimodal Pixel Frontend，MPF）。独立评价其既有分类器时称“像素基线（原始权重）”；冻结MPF、仅按统一预算训练像素分类头时称“像素基线（分类头适配）”。两者不等同于区域或Memory模型，也不因名称改变而成为新架构。</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Transformer[18]，建筑定位与等级预测采用双任务设置[6]。预训练像素前端提供多尺度光学特征、预测建筑概率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30875" cy="3002915"/>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200" cy="3003149"/>
                    </a:xfrm>
                    <a:prstGeom prst="rect">
                      <a:avLst/>
                    </a:prstGeom>
                  </pic:spPr>
                </pic:pic>
              </a:graphicData>
            </a:graphic>
          </wp:inline>
        </w:drawing>
      </w:r>
    </w:p>
    <w:p w14:paraId="363248B5">
      <w:pPr>
        <w:pStyle w:val="15"/>
        <w:keepNext/>
        <w:keepLines/>
        <w:jc w:val="center"/>
        <w:rPr>
          <w:rFonts w:hint="eastAsia" w:ascii="宋体" w:hAnsi="宋体" w:eastAsia="宋体" w:cs="宋体"/>
        </w:rPr>
      </w:pPr>
      <w:r>
        <w:t>图1　结构条件区域编码与跨事件检索增强的建筑损毁评估框架。图中“Frozen A1”为原内部标记，对应本文冻结的多模态像素前端（MPF）；正式重绘时统一标为“Frozen MPF”。</w:t>
      </w:r>
    </w:p>
    <w:p w14:paraId="3EBFB7BD">
      <w:pPr>
        <w:pStyle w:val="4"/>
        <w:keepNext/>
        <w:rPr>
          <w:rFonts w:hint="eastAsia" w:ascii="宋体" w:hAnsi="宋体" w:eastAsia="宋体" w:cs="宋体"/>
        </w:rPr>
      </w:pPr>
      <w:r>
        <w:rPr>
          <w:rFonts w:hint="eastAsia" w:ascii="宋体" w:hAnsi="宋体" w:eastAsia="宋体" w:cs="宋体"/>
        </w:rPr>
        <w:t>B. 建筑概率约束的局部软分区</w:t>
      </w:r>
    </w:p>
    <w:p w14:paraId="363AE1ED">
      <w:pPr>
        <w:widowControl/>
        <w:rPr>
          <w:rFonts w:hint="eastAsia" w:ascii="宋体" w:hAnsi="宋体" w:eastAsia="宋体" w:cs="宋体"/>
        </w:rPr>
      </w:pPr>
      <w:r>
        <w:rPr>
          <w:rFonts w:hint="eastAsia" w:ascii="宋体" w:hAnsi="宋体" w:eastAsia="宋体" w:cs="宋体"/>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局部迭代沿用可微超像素的关联更新思路[4]。在特征网格上以步长8均匀设置种子。对位置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宋体" w:hAnsi="宋体" w:eastAsia="宋体" w:cs="宋体"/>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rPr>
          <w:rFonts w:hint="eastAsia" w:ascii="宋体" w:hAnsi="宋体" w:eastAsia="宋体" w:cs="宋体"/>
        </w:rPr>
      </w:pPr>
      <w:r>
        <w:rPr>
          <w:rFonts w:hint="eastAsia" w:ascii="宋体" w:hAnsi="宋体" w:eastAsia="宋体" w:cs="宋体"/>
        </w:rPr>
        <w:t>C. 分区状态条件的区域特征适配</w:t>
      </w:r>
    </w:p>
    <w:p w14:paraId="7F6BF241">
      <w:pPr>
        <w:widowControl/>
        <w:rPr>
          <w:rFonts w:hint="eastAsia" w:ascii="宋体" w:hAnsi="宋体" w:eastAsia="宋体" w:cs="宋体"/>
        </w:rPr>
      </w:pPr>
      <w:r>
        <w:rPr>
          <w:rFonts w:hint="eastAsia" w:ascii="宋体" w:hAnsi="宋体" w:eastAsia="宋体" w:cs="宋体"/>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pPr>
        <w:widowControl/>
      </w:pPr>
      <w: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right"/>
        <w:rPr>
          <w:rFonts w:hint="eastAsia" w:ascii="宋体" w:hAnsi="宋体" w:eastAsia="宋体" w:cs="宋体"/>
        </w:rPr>
      </w:pPr>
      <w:r>
        <w:rPr>
          <w:rFonts w:hint="eastAsia" w:ascii="宋体" w:hAnsi="宋体" w:eastAsia="宋体" w:cs="宋体"/>
        </w:rPr>
        <w:drawing>
          <wp:inline distT="0" distB="0" distL="114300" distR="114300">
            <wp:extent cx="5542280" cy="3036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291" b="-1121"/>
                    <a:stretch>
                      <a:fillRect/>
                    </a:stretch>
                  </pic:blipFill>
                  <pic:spPr>
                    <a:xfrm>
                      <a:off x="0" y="0"/>
                      <a:ext cx="5542280" cy="3036570"/>
                    </a:xfrm>
                    <a:prstGeom prst="rect">
                      <a:avLst/>
                    </a:prstGeom>
                  </pic:spPr>
                </pic:pic>
              </a:graphicData>
            </a:graphic>
          </wp:inline>
        </w:drawing>
      </w:r>
    </w:p>
    <w:p w14:paraId="7D248BA8">
      <w:pPr>
        <w:pStyle w:val="15"/>
        <w:keepNext/>
        <w:keepLines/>
        <w:jc w:val="center"/>
        <w:rPr>
          <w:rFonts w:hint="eastAsia" w:ascii="宋体" w:hAnsi="宋体" w:eastAsia="宋体" w:cs="宋体"/>
        </w:rPr>
      </w:pPr>
      <w:r>
        <w:rPr>
          <w:rFonts w:hint="eastAsia" w:ascii="宋体" w:hAnsi="宋体" w:eastAsia="宋体" w:cs="宋体"/>
        </w:rPr>
        <w:t>图2　建筑软先验约束的分区与结构条件区域编码</w:t>
      </w:r>
    </w:p>
    <w:p w14:paraId="7A50BAC7">
      <w:pPr>
        <w:pStyle w:val="4"/>
        <w:keepNext/>
        <w:rPr>
          <w:rFonts w:hint="eastAsia" w:ascii="宋体" w:hAnsi="宋体" w:eastAsia="宋体" w:cs="宋体"/>
        </w:rPr>
      </w:pPr>
      <w:r>
        <w:rPr>
          <w:rFonts w:hint="eastAsia" w:ascii="宋体" w:hAnsi="宋体" w:eastAsia="宋体" w:cs="宋体"/>
        </w:rPr>
        <w:t>D. 跨事件目标类别监督的区域检索</w:t>
      </w:r>
    </w:p>
    <w:p w14:paraId="3DD2A2DC">
      <w:pPr>
        <w:pStyle w:val="5"/>
        <w:keepNext/>
        <w:rPr>
          <w:rFonts w:hint="eastAsia" w:ascii="宋体" w:hAnsi="宋体" w:eastAsia="宋体" w:cs="宋体"/>
        </w:rPr>
      </w:pPr>
      <w:r>
        <w:rPr>
          <w:rFonts w:hint="eastAsia" w:ascii="宋体" w:hAnsi="宋体" w:eastAsia="宋体" w:cs="宋体"/>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宋体" w:hAnsi="宋体" w:eastAsia="宋体" w:cs="宋体"/>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rPr>
          <w:rFonts w:hint="eastAsia" w:ascii="宋体" w:hAnsi="宋体" w:eastAsia="宋体" w:cs="宋体"/>
        </w:rPr>
      </w:pPr>
      <w:r>
        <w:rPr>
          <w:rFonts w:hint="eastAsia" w:ascii="宋体" w:hAnsi="宋体" w:eastAsia="宋体" w:cs="宋体"/>
        </w:rPr>
        <w:t>2) 跨事件类别监督的检索投影</w:t>
      </w:r>
    </w:p>
    <w:p w14:paraId="3C022851">
      <w:pPr>
        <w:widowControl/>
        <w:rPr>
          <w:rFonts w:hint="eastAsia" w:ascii="宋体" w:hAnsi="宋体" w:eastAsia="宋体" w:cs="宋体"/>
        </w:rPr>
      </w:pPr>
      <w:r>
        <w:rPr>
          <w:rFonts w:hint="eastAsia" w:ascii="宋体" w:hAnsi="宋体" w:eastAsia="宋体" w:cs="宋体"/>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进一步要求主类别相同，其余候选为负样本。依据监督对比学习的类别约束[17]，采用跨事件候选上的目标：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rPr>
          <w:rFonts w:hint="eastAsia" w:ascii="宋体" w:hAnsi="宋体" w:eastAsia="宋体" w:cs="宋体"/>
        </w:rPr>
      </w:pPr>
      <w:r>
        <w:rPr>
          <w:rFonts w:hint="eastAsia" w:ascii="宋体" w:hAnsi="宋体" w:eastAsia="宋体" w:cs="宋体"/>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宋体" w:hAnsi="宋体" w:eastAsia="宋体" w:cs="宋体"/>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30875" cy="300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31200" cy="3003149"/>
                    </a:xfrm>
                    <a:prstGeom prst="rect">
                      <a:avLst/>
                    </a:prstGeom>
                  </pic:spPr>
                </pic:pic>
              </a:graphicData>
            </a:graphic>
          </wp:inline>
        </w:drawing>
      </w:r>
    </w:p>
    <w:p w14:paraId="45219362">
      <w:pPr>
        <w:pStyle w:val="15"/>
        <w:keepNext/>
        <w:keepLines/>
        <w:jc w:val="center"/>
        <w:rPr>
          <w:rFonts w:hint="eastAsia" w:ascii="宋体" w:hAnsi="宋体" w:eastAsia="宋体" w:cs="宋体"/>
        </w:rPr>
      </w:pPr>
      <w:r>
        <w:rPr>
          <w:rFonts w:hint="eastAsia" w:ascii="宋体" w:hAnsi="宋体" w:eastAsia="宋体" w:cs="宋体"/>
        </w:rPr>
        <w:t>图3　跨事件支持检索、特征读取与像素联合判别</w:t>
      </w:r>
    </w:p>
    <w:p w14:paraId="60ED4BB3">
      <w:pPr>
        <w:pStyle w:val="4"/>
        <w:keepNext/>
        <w:rPr>
          <w:rFonts w:hint="eastAsia" w:ascii="宋体" w:hAnsi="宋体" w:eastAsia="宋体" w:cs="宋体"/>
        </w:rPr>
      </w:pPr>
      <w:r>
        <w:rPr>
          <w:rFonts w:hint="eastAsia" w:ascii="宋体" w:hAnsi="宋体" w:eastAsia="宋体" w:cs="宋体"/>
        </w:rPr>
        <w:t>F. 分阶段训练与目标函数</w:t>
      </w:r>
    </w:p>
    <w:p w14:paraId="38B7DAD4">
      <w:pPr>
        <w:widowControl/>
        <w:rPr>
          <w:rFonts w:hint="eastAsia" w:ascii="宋体" w:hAnsi="宋体" w:eastAsia="宋体" w:cs="宋体"/>
        </w:rPr>
      </w:pPr>
      <w:r>
        <w:t>训练分为区域前端学习、固定Train支持库构建、检索投影拟合及联合读出学习四步。建筑相容项与结构适配器在区域前端中学习，检索投影在区域表示固定后拟合。联合阶段冻结像素前端、区域编码、支持库及投影，仅更新Reader与联合头。最终预算、种子、权重、代码与评估版本在表1记录，不以历史中途快照替代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，分割训练目标由平均负对数似然与Lovász-Softmax组成，后者用于构造分割交并比的优化代理[19]：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宋体" w:hAnsi="宋体" w:eastAsia="宋体" w:cs="宋体"/>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pPr>
        <w:pStyle w:val="3"/>
        <w:keepNext/>
      </w:pPr>
      <w:r>
        <w:rPr>
          <w:rFonts w:ascii="Times New Roman" w:hAnsi="Times New Roman" w:eastAsia="宋体"/>
        </w:rPr>
        <w:t>IV. 实验与结果分析</w:t>
      </w:r>
    </w:p>
    <w:p>
      <w:pPr>
        <w:pStyle w:val="4"/>
        <w:keepNext/>
      </w:pPr>
      <w:r>
        <w:rPr>
          <w:rFonts w:ascii="Times New Roman" w:hAnsi="Times New Roman" w:eastAsia="宋体"/>
        </w:rPr>
        <w:t>A. 数据集、评价口径与实验协议</w:t>
      </w:r>
    </w:p>
    <w:p>
      <w:pPr>
        <w:widowControl/>
      </w:pPr>
      <w:r>
        <w:rPr>
          <w:rFonts w:ascii="Times New Roman" w:hAnsi="Times New Roman" w:eastAsia="宋体"/>
        </w:rPr>
        <w:t>本文采用BRIGHT标准机器学习划分，训练、验证和测试影像分别为2918、450和878幅，类别为背景、完好、受损和毁坏。训练集用于参数学习及支持库构建；验证集用于流程检查、有限选型与超参数确定；协议锁定后统一报告测试结果。数据集及标准划分属于既有评测基础[2]，不作为本文贡献。此前测试集使用情况应在实验版本记录中如实说明，不将已经参与探索的测试结果重新称为从未访问的盲测结果。</w:t>
      </w:r>
    </w:p>
    <w:p>
      <w:pPr>
        <w:widowControl/>
      </w:pPr>
      <w:r>
        <w:rPr>
          <w:rFonts w:ascii="Times New Roman" w:hAnsi="Times New Roman" w:eastAsia="宋体"/>
        </w:rPr>
        <w:t>所有同协议重训配置匹配输入与标签处理、预训练、优化器、损失、数据流、更新预算、随机种子和输出解码。公开文献报告与本地重训结果分开标记；设置未对齐的公开分数仅作为文献参考，不用于归因某一模块的收益。支持库与检索投影拟合仅使用Train记录。Val/Test影像不作为支持记录，其真实标签不参与前向分区、邻居选择或Reader输入；评价时，查询影像的预测特征正常用于检索与读取。图4说明数据覆盖的事件和影像。</w:t>
      </w:r>
    </w:p>
    <w:p w14:paraId="3368931C">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30875" cy="3002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31200" cy="3003149"/>
                    </a:xfrm>
                    <a:prstGeom prst="rect">
                      <a:avLst/>
                    </a:prstGeom>
                  </pic:spPr>
                </pic:pic>
              </a:graphicData>
            </a:graphic>
          </wp:inline>
        </w:drawing>
      </w:r>
    </w:p>
    <w:p>
      <w:pPr>
        <w:pStyle w:val="15"/>
        <w:keepNext/>
      </w:pPr>
      <w:r>
        <w:rPr>
          <w:rFonts w:ascii="Times New Roman" w:hAnsi="Times New Roman" w:eastAsia="宋体"/>
        </w:rPr>
        <w:t>图4　BRIGHT灾害事件的空间分布与影像示例</w:t>
      </w:r>
    </w:p>
    <w:p>
      <w:pPr>
        <w:widowControl/>
      </w:pPr>
      <w:r>
        <w:rPr>
          <w:rFonts w:ascii="Times New Roman" w:hAnsi="Times New Roman" w:eastAsia="宋体"/>
        </w:rPr>
        <w:t>总体指标由所有有效像素累计的四类混淆矩阵计算，行表示真实类别、列表示预测类别；无效标签忽略。四类mIoU固定平均背景、完好、受损和毁坏IoU，前景mIoU固定平均后三类。每个事件先单独累计混淆矩阵计算mIoU，再对事件等权平均；全局与事件宏平均不能互换。</w:t>
      </w:r>
    </w:p>
    <w:p>
      <w:pPr>
        <w:widowControl/>
      </w:pPr>
      <w:r>
        <w:rPr>
          <w:rFonts w:ascii="Times New Roman" w:hAnsi="Times New Roman" w:eastAsia="宋体"/>
        </w:rPr>
        <w:t>mIoU₄＝(IoU背景＋IoU完好＋IoU受损＋IoU毁坏)/4；mIoU_fg＝(IoU完好＋IoU受损＋IoU毁坏)/3。</w:t>
      </w:r>
    </w:p>
    <w:p>
      <w:pPr>
        <w:widowControl/>
      </w:pPr>
      <w:r>
        <w:rPr>
          <w:rFonts w:ascii="Times New Roman" w:hAnsi="Times New Roman" w:eastAsia="宋体"/>
        </w:rPr>
        <w:t>每类Precision、Recall和F1及OA作为补充并保存原始计数。分类F1按官方类别范围与平均方式计算；建筑定位F1若来自独立定位头，需使用该头的二类输出和混淆矩阵。由损毁预测折叠的建筑/背景指标另作说明。事件内缺失类别的处理沿用并记录统一评估协议，不为不同模型单独改变分母。</w:t>
      </w:r>
    </w:p>
    <w:p>
      <w:pPr>
        <w:pStyle w:val="15"/>
        <w:keepNext/>
      </w:pPr>
      <w:r>
        <w:rPr>
          <w:rFonts w:ascii="Times New Roman" w:hAnsi="Times New Roman" w:eastAsia="宋体"/>
        </w:rPr>
        <w:t>表1　主要配置与可追溯实验协议</w:t>
      </w:r>
    </w:p>
    <w:tbl>
      <w:tblPr>
        <w:tblStyle w:val="33"/>
        <w:tblW w:type="auto" w:w="0"/>
        <w:jc w:val="center"/>
        <w:tblLayout w:type="fixed"/>
        <w:tblLook w:firstColumn="1" w:firstRow="1" w:lastColumn="0" w:lastRow="0" w:noHBand="0" w:noVBand="1" w:val="04A0"/>
      </w:tblPr>
      <w:tblGrid>
        <w:gridCol w:w="1867"/>
        <w:gridCol w:w="4357"/>
        <w:gridCol w:w="2801"/>
      </w:tblGrid>
      <w:tr>
        <w:trPr>
          <w:tblHeader/>
          <w:cantSplit/>
        </w:trPr>
        <w:tc>
          <w:tcPr>
            <w:tcW w:type="dxa" w:w="1867"/>
            <w:vAlign w:val="center"/>
            <w:shd w:fill="E8EDF2"/>
          </w:tcPr>
          <w:p>
            <w:pPr>
              <w:spacing w:before="20" w:after="20" w:line="252" w:lineRule="auto"/>
              <w:ind w:firstLine="0"/>
            </w:pPr>
            <w:r>
              <w:rPr>
                <w:rFonts w:ascii="Times New Roman" w:hAnsi="Times New Roman" w:eastAsia="宋体"/>
                <w:b/>
                <w:sz w:val="17"/>
              </w:rPr>
              <w:t>项目</w:t>
            </w:r>
          </w:p>
        </w:tc>
        <w:tc>
          <w:tcPr>
            <w:tcW w:type="dxa" w:w="4357"/>
            <w:vAlign w:val="center"/>
            <w:shd w:fill="E8EDF2"/>
          </w:tcPr>
          <w:p>
            <w:pPr>
              <w:spacing w:before="20" w:after="20" w:line="252" w:lineRule="auto"/>
              <w:ind w:firstLine="0"/>
            </w:pPr>
            <w:r>
              <w:rPr>
                <w:rFonts w:ascii="Times New Roman" w:hAnsi="Times New Roman" w:eastAsia="宋体"/>
                <w:b/>
                <w:sz w:val="17"/>
              </w:rPr>
              <w:t>统一设定</w:t>
            </w:r>
          </w:p>
        </w:tc>
        <w:tc>
          <w:tcPr>
            <w:tcW w:type="dxa" w:w="2801"/>
            <w:vAlign w:val="center"/>
            <w:shd w:fill="E8EDF2"/>
          </w:tcPr>
          <w:p>
            <w:pPr>
              <w:spacing w:before="20" w:after="20" w:line="252" w:lineRule="auto"/>
              <w:ind w:firstLine="0"/>
            </w:pPr>
            <w:r>
              <w:rPr>
                <w:rFonts w:ascii="Times New Roman" w:hAnsi="Times New Roman" w:eastAsia="宋体"/>
                <w:b/>
                <w:sz w:val="17"/>
              </w:rPr>
              <w:t>最终记录</w:t>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输入/输出</w:t>
            </w:r>
          </w:p>
        </w:tc>
        <w:tc>
          <w:tcPr>
            <w:tcW w:type="dxa" w:w="4357"/>
            <w:vAlign w:val="center"/>
          </w:tcPr>
          <w:p>
            <w:pPr>
              <w:spacing w:before="20" w:after="20" w:line="252" w:lineRule="auto"/>
              <w:ind w:firstLine="0"/>
            </w:pPr>
            <w:r>
              <w:rPr>
                <w:rFonts w:ascii="Times New Roman" w:hAnsi="Times New Roman" w:eastAsia="宋体"/>
                <w:b w:val="0"/>
                <w:sz w:val="17"/>
              </w:rPr>
              <w:t>灾前光学RGB＋灾后SAR；四类像素预测</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数据划分</w:t>
            </w:r>
          </w:p>
        </w:tc>
        <w:tc>
          <w:tcPr>
            <w:tcW w:type="dxa" w:w="4357"/>
            <w:vAlign w:val="center"/>
          </w:tcPr>
          <w:p>
            <w:pPr>
              <w:spacing w:before="20" w:after="20" w:line="252" w:lineRule="auto"/>
              <w:ind w:firstLine="0"/>
            </w:pPr>
            <w:r>
              <w:rPr>
                <w:rFonts w:ascii="Times New Roman" w:hAnsi="Times New Roman" w:eastAsia="宋体"/>
                <w:b w:val="0"/>
                <w:sz w:val="17"/>
              </w:rPr>
              <w:t>BRIGHT标准Train/Val/Test；Train-only支持库</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区域结构</w:t>
            </w:r>
          </w:p>
        </w:tc>
        <w:tc>
          <w:tcPr>
            <w:tcW w:type="dxa" w:w="4357"/>
            <w:vAlign w:val="center"/>
          </w:tcPr>
          <w:p>
            <w:pPr>
              <w:spacing w:before="20" w:after="20" w:line="252" w:lineRule="auto"/>
              <w:ind w:firstLine="0"/>
            </w:pPr>
            <w:r>
              <w:rPr>
                <w:rFonts w:ascii="Times New Roman" w:hAnsi="Times New Roman" w:eastAsia="宋体"/>
                <w:b w:val="0"/>
                <w:sz w:val="17"/>
              </w:rPr>
              <w:t>初稿主配置：步长8、最多9候选、3轮更新</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区域表示/检索</w:t>
            </w:r>
          </w:p>
        </w:tc>
        <w:tc>
          <w:tcPr>
            <w:tcW w:type="dxa" w:w="4357"/>
            <w:vAlign w:val="center"/>
          </w:tcPr>
          <w:p>
            <w:pPr>
              <w:spacing w:before="20" w:after="20" w:line="252" w:lineRule="auto"/>
              <w:ind w:firstLine="0"/>
            </w:pPr>
            <w:r>
              <w:rPr>
                <w:rFonts w:ascii="Times New Roman" w:hAnsi="Times New Roman" w:eastAsia="宋体"/>
                <w:b w:val="0"/>
                <w:sz w:val="17"/>
              </w:rPr>
              <w:t>128维区域表示；主配置Top-8</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像素前端</w:t>
            </w:r>
          </w:p>
        </w:tc>
        <w:tc>
          <w:tcPr>
            <w:tcW w:type="dxa" w:w="4357"/>
            <w:vAlign w:val="center"/>
          </w:tcPr>
          <w:p>
            <w:pPr>
              <w:spacing w:before="20" w:after="20" w:line="252" w:lineRule="auto"/>
              <w:ind w:firstLine="0"/>
            </w:pPr>
            <w:r>
              <w:rPr>
                <w:rFonts w:ascii="Times New Roman" w:hAnsi="Times New Roman" w:eastAsia="宋体"/>
                <w:b w:val="0"/>
                <w:sz w:val="17"/>
              </w:rPr>
              <w:t>同一多模态像素前端（MPF）快照与冻结运行状态</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训练预算与优化</w:t>
            </w:r>
          </w:p>
        </w:tc>
        <w:tc>
          <w:tcPr>
            <w:tcW w:type="dxa" w:w="4357"/>
            <w:vAlign w:val="center"/>
          </w:tcPr>
          <w:p>
            <w:pPr>
              <w:spacing w:before="20" w:after="20" w:line="252" w:lineRule="auto"/>
              <w:ind w:firstLine="0"/>
            </w:pPr>
            <w:r>
              <w:rPr>
                <w:rFonts w:ascii="Times New Roman" w:hAnsi="Times New Roman" w:eastAsia="宋体"/>
                <w:b w:val="0"/>
                <w:sz w:val="17"/>
              </w:rPr>
              <w:t>区域、投影、Reader阶段分别记录</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种子与选择规则</w:t>
            </w:r>
          </w:p>
        </w:tc>
        <w:tc>
          <w:tcPr>
            <w:tcW w:type="dxa" w:w="4357"/>
            <w:vAlign w:val="center"/>
          </w:tcPr>
          <w:p>
            <w:pPr>
              <w:spacing w:before="20" w:after="20" w:line="252" w:lineRule="auto"/>
              <w:ind w:firstLine="0"/>
            </w:pPr>
            <w:r>
              <w:rPr>
                <w:rFonts w:ascii="Times New Roman" w:hAnsi="Times New Roman" w:eastAsia="宋体"/>
                <w:b w:val="0"/>
                <w:sz w:val="17"/>
              </w:rPr>
              <w:t>核心配置多个种子；各组规则相同</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损失与精度</w:t>
            </w:r>
          </w:p>
        </w:tc>
        <w:tc>
          <w:tcPr>
            <w:tcW w:type="dxa" w:w="4357"/>
            <w:vAlign w:val="center"/>
          </w:tcPr>
          <w:p>
            <w:pPr>
              <w:spacing w:before="20" w:after="20" w:line="252" w:lineRule="auto"/>
              <w:ind w:firstLine="0"/>
            </w:pPr>
            <w:r>
              <w:rPr>
                <w:rFonts w:ascii="Times New Roman" w:hAnsi="Times New Roman" w:eastAsia="宋体"/>
                <w:b w:val="0"/>
                <w:sz w:val="17"/>
              </w:rPr>
              <w:t>同损失、ignore、权重、精度和解码</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支持库/排除</w:t>
            </w:r>
          </w:p>
        </w:tc>
        <w:tc>
          <w:tcPr>
            <w:tcW w:type="dxa" w:w="4357"/>
            <w:vAlign w:val="center"/>
          </w:tcPr>
          <w:p>
            <w:pPr>
              <w:spacing w:before="20" w:after="20" w:line="252" w:lineRule="auto"/>
              <w:ind w:firstLine="0"/>
            </w:pPr>
            <w:r>
              <w:rPr>
                <w:rFonts w:ascii="Times New Roman" w:hAnsi="Times New Roman" w:eastAsia="宋体"/>
                <w:b w:val="0"/>
                <w:sz w:val="17"/>
              </w:rPr>
              <w:t>记录成员、标签组成；排除同事件和同图像</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混合/边界诊断</w:t>
            </w:r>
          </w:p>
        </w:tc>
        <w:tc>
          <w:tcPr>
            <w:tcW w:type="dxa" w:w="4357"/>
            <w:vAlign w:val="center"/>
          </w:tcPr>
          <w:p>
            <w:pPr>
              <w:spacing w:before="20" w:after="20" w:line="252" w:lineRule="auto"/>
              <w:ind w:firstLine="0"/>
            </w:pPr>
            <w:r>
              <w:rPr>
                <w:rFonts w:ascii="Times New Roman" w:hAnsi="Times New Roman" w:eastAsia="宋体"/>
                <w:b w:val="0"/>
                <w:sz w:val="17"/>
              </w:rPr>
              <w:t>Q加权建筑比例；原图尺度固定边界带宽</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版本与来源</w:t>
            </w:r>
          </w:p>
        </w:tc>
        <w:tc>
          <w:tcPr>
            <w:tcW w:type="dxa" w:w="4357"/>
            <w:vAlign w:val="center"/>
          </w:tcPr>
          <w:p>
            <w:pPr>
              <w:spacing w:before="20" w:after="20" w:line="252" w:lineRule="auto"/>
              <w:ind w:firstLine="0"/>
            </w:pPr>
            <w:r>
              <w:rPr>
                <w:rFonts w:ascii="Times New Roman" w:hAnsi="Times New Roman" w:eastAsia="宋体"/>
                <w:b w:val="0"/>
                <w:sz w:val="17"/>
              </w:rPr>
              <w:t>代码提交、权重/库/名单及评估脚本校验</w:t>
            </w:r>
          </w:p>
        </w:tc>
        <w:tc>
          <w:tcPr>
            <w:tcW w:type="dxa" w:w="2801"/>
            <w:vAlign w:val="center"/>
          </w:tcPr>
          <w:p>
            <w:pPr>
              <w:spacing w:before="20" w:after="20" w:line="252" w:lineRule="auto"/>
              <w:ind w:firstLine="0"/>
            </w:pPr>
            <w:r>
              <w:rPr>
                <w:rFonts w:ascii="Times New Roman" w:hAnsi="Times New Roman" w:eastAsia="宋体"/>
                <w:b w:val="0"/>
                <w:sz w:val="17"/>
              </w:rPr>
            </w:r>
          </w:p>
        </w:tc>
      </w:tr>
      <w:tr>
        <w:trPr>
          <w:cantSplit/>
        </w:trPr>
        <w:tc>
          <w:tcPr>
            <w:tcW w:type="dxa" w:w="1867"/>
            <w:vAlign w:val="center"/>
          </w:tcPr>
          <w:p>
            <w:pPr>
              <w:spacing w:before="20" w:after="20" w:line="252" w:lineRule="auto"/>
              <w:ind w:firstLine="0"/>
            </w:pPr>
            <w:r>
              <w:rPr>
                <w:rFonts w:ascii="Times New Roman" w:hAnsi="Times New Roman" w:eastAsia="宋体"/>
                <w:b w:val="0"/>
                <w:sz w:val="17"/>
              </w:rPr>
              <w:t>Test使用与保存</w:t>
            </w:r>
          </w:p>
        </w:tc>
        <w:tc>
          <w:tcPr>
            <w:tcW w:type="dxa" w:w="4357"/>
            <w:vAlign w:val="center"/>
          </w:tcPr>
          <w:p>
            <w:pPr>
              <w:spacing w:before="20" w:after="20" w:line="252" w:lineRule="auto"/>
              <w:ind w:firstLine="0"/>
            </w:pPr>
            <w:r>
              <w:rPr>
                <w:rFonts w:ascii="Times New Roman" w:hAnsi="Times New Roman" w:eastAsia="宋体"/>
                <w:b w:val="0"/>
                <w:sz w:val="17"/>
              </w:rPr>
              <w:t>记录使用历史；保存全局与逐事件原始矩阵</w:t>
            </w:r>
          </w:p>
        </w:tc>
        <w:tc>
          <w:tcPr>
            <w:tcW w:type="dxa" w:w="2801"/>
            <w:vAlign w:val="center"/>
          </w:tcPr>
          <w:p>
            <w:pPr>
              <w:spacing w:before="20" w:after="20" w:line="252" w:lineRule="auto"/>
              <w:ind w:firstLine="0"/>
            </w:pPr>
            <w:r>
              <w:rPr>
                <w:rFonts w:ascii="Times New Roman" w:hAnsi="Times New Roman" w:eastAsia="宋体"/>
                <w:b w:val="0"/>
                <w:sz w:val="17"/>
              </w:rPr>
            </w:r>
          </w:p>
        </w:tc>
      </w:tr>
    </w:tbl>
    <w:p>
      <w:pPr>
        <w:widowControl/>
      </w:pPr>
    </w:p>
    <w:p>
      <w:pPr>
        <w:pStyle w:val="4"/>
        <w:keepNext/>
      </w:pPr>
      <w:r>
        <w:rPr>
          <w:rFonts w:ascii="Times New Roman" w:hAnsi="Times New Roman" w:eastAsia="宋体"/>
        </w:rPr>
        <w:t>B. 与已有方法的总体比较</w:t>
      </w:r>
    </w:p>
    <w:p>
      <w:pPr>
        <w:widowControl/>
      </w:pPr>
      <w:r>
        <w:rPr>
          <w:rFonts w:ascii="Times New Roman" w:hAnsi="Times New Roman" w:eastAsia="宋体"/>
        </w:rPr>
        <w:t>表2比较公开参考方法、同协议重训基线、基础像素模型与本文配置。每行同时报告四类IoU、四类mIoU和前景mIoU，并保留OA及任务F1。公开报告行与同协议重训行明确区分；本文模块的差值只在输入、数据、解码和训练协议可比较的配置间计算。主要表格以相同检查点选择规则得到的结果填写，不以最好单次分数替代多种子总结。</w:t>
      </w:r>
    </w:p>
    <w:p>
      <w:pPr>
        <w:pStyle w:val="15"/>
        <w:keepNext/>
      </w:pPr>
      <w:r>
        <w:rPr>
          <w:rFonts w:ascii="Times New Roman" w:hAnsi="Times New Roman" w:eastAsia="宋体"/>
        </w:rPr>
        <w:t>表2　标准测试集总体比较</w:t>
      </w:r>
    </w:p>
    <w:tbl>
      <w:tblPr>
        <w:tblStyle w:val="33"/>
        <w:tblW w:type="auto" w:w="0"/>
        <w:jc w:val="center"/>
        <w:tblLayout w:type="fixed"/>
        <w:tblLook w:firstColumn="1" w:firstRow="1" w:lastColumn="0" w:lastRow="0" w:noHBand="0" w:noVBand="1" w:val="04A0"/>
      </w:tblPr>
      <w:tblGrid>
        <w:gridCol w:w="1504"/>
        <w:gridCol w:w="1075"/>
        <w:gridCol w:w="716"/>
        <w:gridCol w:w="716"/>
        <w:gridCol w:w="716"/>
        <w:gridCol w:w="716"/>
        <w:gridCol w:w="716"/>
        <w:gridCol w:w="716"/>
        <w:gridCol w:w="716"/>
        <w:gridCol w:w="716"/>
        <w:gridCol w:w="716"/>
      </w:tblGrid>
      <w:tr>
        <w:trPr>
          <w:tblHeader/>
          <w:cantSplit/>
        </w:trPr>
        <w:tc>
          <w:tcPr>
            <w:tcW w:type="dxa" w:w="1504"/>
            <w:vAlign w:val="center"/>
            <w:shd w:fill="E8EDF2"/>
          </w:tcPr>
          <w:p>
            <w:pPr>
              <w:spacing w:before="20" w:after="20" w:line="252" w:lineRule="auto"/>
              <w:ind w:firstLine="0"/>
            </w:pPr>
            <w:r>
              <w:rPr>
                <w:rFonts w:ascii="Times New Roman" w:hAnsi="Times New Roman" w:eastAsia="宋体"/>
                <w:b/>
                <w:sz w:val="15"/>
              </w:rPr>
              <w:t>方法</w:t>
            </w:r>
          </w:p>
        </w:tc>
        <w:tc>
          <w:tcPr>
            <w:tcW w:type="dxa" w:w="1075"/>
            <w:vAlign w:val="center"/>
            <w:shd w:fill="E8EDF2"/>
          </w:tcPr>
          <w:p>
            <w:pPr>
              <w:ind w:firstLine="0"/>
            </w:pPr>
            <w:r>
              <w:rPr>
                <w:rFonts w:ascii="Times New Roman" w:hAnsi="Times New Roman" w:eastAsia="宋体"/>
                <w:sz w:val="15"/>
              </w:rPr>
              <w:t>结果来源</w:t>
            </w:r>
          </w:p>
        </w:tc>
        <w:tc>
          <w:tcPr>
            <w:tcW w:type="dxa" w:w="716"/>
            <w:vAlign w:val="center"/>
            <w:shd w:fill="E8EDF2"/>
          </w:tcPr>
          <w:p>
            <w:pPr>
              <w:spacing w:before="20" w:after="20" w:line="252" w:lineRule="auto"/>
              <w:ind w:firstLine="0"/>
            </w:pPr>
            <w:r>
              <w:rPr>
                <w:rFonts w:ascii="Times New Roman" w:hAnsi="Times New Roman" w:eastAsia="宋体"/>
                <w:b/>
                <w:sz w:val="15"/>
              </w:rPr>
              <w:t>定位F1</w:t>
            </w:r>
          </w:p>
        </w:tc>
        <w:tc>
          <w:tcPr>
            <w:tcW w:type="dxa" w:w="716"/>
            <w:vAlign w:val="center"/>
            <w:shd w:fill="E8EDF2"/>
          </w:tcPr>
          <w:p>
            <w:pPr>
              <w:spacing w:before="20" w:after="20" w:line="252" w:lineRule="auto"/>
              <w:ind w:firstLine="0"/>
            </w:pPr>
            <w:r>
              <w:rPr>
                <w:rFonts w:ascii="Times New Roman" w:hAnsi="Times New Roman" w:eastAsia="宋体"/>
                <w:b/>
                <w:sz w:val="15"/>
              </w:rPr>
              <w:t>分类F1</w:t>
            </w:r>
          </w:p>
        </w:tc>
        <w:tc>
          <w:tcPr>
            <w:tcW w:type="dxa" w:w="716"/>
            <w:vAlign w:val="center"/>
            <w:shd w:fill="E8EDF2"/>
          </w:tcPr>
          <w:p>
            <w:pPr>
              <w:spacing w:before="20" w:after="20" w:line="252" w:lineRule="auto"/>
              <w:ind w:firstLine="0"/>
            </w:pPr>
            <w:r>
              <w:rPr>
                <w:rFonts w:ascii="Times New Roman" w:hAnsi="Times New Roman" w:eastAsia="宋体"/>
                <w:b/>
                <w:sz w:val="15"/>
              </w:rPr>
              <w:t>OA</w:t>
            </w:r>
          </w:p>
        </w:tc>
        <w:tc>
          <w:tcPr>
            <w:tcW w:type="dxa" w:w="716"/>
            <w:vAlign w:val="center"/>
            <w:shd w:fill="E8EDF2"/>
          </w:tcPr>
          <w:p>
            <w:pPr>
              <w:spacing w:before="20" w:after="20" w:line="252" w:lineRule="auto"/>
              <w:ind w:firstLine="0"/>
            </w:pPr>
            <w:r>
              <w:rPr>
                <w:rFonts w:ascii="Times New Roman" w:hAnsi="Times New Roman" w:eastAsia="宋体"/>
                <w:b/>
                <w:sz w:val="15"/>
              </w:rPr>
              <w:t>四类mIoU</w:t>
            </w:r>
          </w:p>
        </w:tc>
        <w:tc>
          <w:tcPr>
            <w:tcW w:type="dxa" w:w="716"/>
            <w:vAlign w:val="center"/>
            <w:shd w:fill="E8EDF2"/>
          </w:tcPr>
          <w:p>
            <w:pPr>
              <w:spacing w:before="20" w:after="20" w:line="252" w:lineRule="auto"/>
              <w:ind w:firstLine="0"/>
            </w:pPr>
            <w:r>
              <w:rPr>
                <w:rFonts w:ascii="Times New Roman" w:hAnsi="Times New Roman" w:eastAsia="宋体"/>
                <w:b/>
                <w:sz w:val="15"/>
              </w:rPr>
              <w:t>前景mIoU</w:t>
            </w:r>
          </w:p>
        </w:tc>
        <w:tc>
          <w:tcPr>
            <w:tcW w:type="dxa" w:w="716"/>
            <w:vAlign w:val="center"/>
            <w:shd w:fill="E8EDF2"/>
          </w:tcPr>
          <w:p>
            <w:pPr>
              <w:spacing w:before="20" w:after="20" w:line="252" w:lineRule="auto"/>
              <w:ind w:firstLine="0"/>
            </w:pPr>
            <w:r>
              <w:rPr>
                <w:rFonts w:ascii="Times New Roman" w:hAnsi="Times New Roman" w:eastAsia="宋体"/>
                <w:b/>
                <w:sz w:val="15"/>
              </w:rPr>
              <w:t>背景IoU</w:t>
            </w:r>
          </w:p>
        </w:tc>
        <w:tc>
          <w:tcPr>
            <w:tcW w:type="dxa" w:w="716"/>
            <w:vAlign w:val="center"/>
            <w:shd w:fill="E8EDF2"/>
          </w:tcPr>
          <w:p>
            <w:pPr>
              <w:spacing w:before="20" w:after="20" w:line="252" w:lineRule="auto"/>
              <w:ind w:firstLine="0"/>
            </w:pPr>
            <w:r>
              <w:rPr>
                <w:rFonts w:ascii="Times New Roman" w:hAnsi="Times New Roman" w:eastAsia="宋体"/>
                <w:b/>
                <w:sz w:val="15"/>
              </w:rPr>
              <w:t>完好IoU</w:t>
            </w:r>
          </w:p>
        </w:tc>
        <w:tc>
          <w:tcPr>
            <w:tcW w:type="dxa" w:w="716"/>
            <w:vAlign w:val="center"/>
            <w:shd w:fill="E8EDF2"/>
          </w:tcPr>
          <w:p>
            <w:pPr>
              <w:spacing w:before="20" w:after="20" w:line="252" w:lineRule="auto"/>
              <w:ind w:firstLine="0"/>
            </w:pPr>
            <w:r>
              <w:rPr>
                <w:rFonts w:ascii="Times New Roman" w:hAnsi="Times New Roman" w:eastAsia="宋体"/>
                <w:b/>
                <w:sz w:val="15"/>
              </w:rPr>
              <w:t>受损IoU</w:t>
            </w:r>
          </w:p>
        </w:tc>
        <w:tc>
          <w:tcPr>
            <w:tcW w:type="dxa" w:w="716"/>
            <w:vAlign w:val="center"/>
            <w:shd w:fill="E8EDF2"/>
          </w:tcPr>
          <w:p>
            <w:pPr>
              <w:spacing w:before="20" w:after="20" w:line="252" w:lineRule="auto"/>
              <w:ind w:firstLine="0"/>
            </w:pPr>
            <w:r>
              <w:rPr>
                <w:rFonts w:ascii="Times New Roman" w:hAnsi="Times New Roman" w:eastAsia="宋体"/>
                <w:b/>
                <w:sz w:val="15"/>
              </w:rPr>
              <w:t>毁坏IoU</w:t>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DamageFormer</w:t>
            </w:r>
          </w:p>
        </w:tc>
        <w:tc>
          <w:tcPr>
            <w:tcW w:type="dxa" w:w="1075"/>
            <w:vAlign w:val="center"/>
          </w:tcPr>
          <w:p>
            <w:pPr>
              <w:ind w:firstLine="0"/>
            </w:pPr>
            <w:r>
              <w:rPr>
                <w:rFonts w:ascii="Times New Roman" w:hAnsi="Times New Roman" w:eastAsia="宋体"/>
                <w:sz w:val="15"/>
              </w:rPr>
              <w:t>公开文献</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ChangeMamba</w:t>
            </w:r>
          </w:p>
        </w:tc>
        <w:tc>
          <w:tcPr>
            <w:tcW w:type="dxa" w:w="1075"/>
            <w:vAlign w:val="center"/>
          </w:tcPr>
          <w:p>
            <w:pPr>
              <w:ind w:firstLine="0"/>
            </w:pPr>
            <w:r>
              <w:rPr>
                <w:rFonts w:ascii="Times New Roman" w:hAnsi="Times New Roman" w:eastAsia="宋体"/>
                <w:sz w:val="15"/>
              </w:rPr>
              <w:t>公开文献</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DamageFormer</w:t>
            </w:r>
          </w:p>
        </w:tc>
        <w:tc>
          <w:tcPr>
            <w:tcW w:type="dxa" w:w="1075"/>
            <w:vAlign w:val="center"/>
          </w:tcPr>
          <w:p>
            <w:pPr>
              <w:ind w:firstLine="0"/>
            </w:pPr>
            <w:r>
              <w:rPr>
                <w:rFonts w:ascii="Times New Roman" w:hAnsi="Times New Roman" w:eastAsia="宋体"/>
                <w:sz w:val="15"/>
              </w:rPr>
              <w:t>本文重训</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ChangeMamba</w:t>
            </w:r>
          </w:p>
        </w:tc>
        <w:tc>
          <w:tcPr>
            <w:tcW w:type="dxa" w:w="1075"/>
            <w:vAlign w:val="center"/>
          </w:tcPr>
          <w:p>
            <w:pPr>
              <w:ind w:firstLine="0"/>
            </w:pPr>
            <w:r>
              <w:rPr>
                <w:rFonts w:ascii="Times New Roman" w:hAnsi="Times New Roman" w:eastAsia="宋体"/>
                <w:sz w:val="15"/>
              </w:rPr>
              <w:t>本文重训</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像素基线（原始权重）</w:t>
            </w:r>
          </w:p>
        </w:tc>
        <w:tc>
          <w:tcPr>
            <w:tcW w:type="dxa" w:w="1075"/>
            <w:vAlign w:val="center"/>
          </w:tcPr>
          <w:p>
            <w:pPr>
              <w:ind w:firstLine="0"/>
            </w:pPr>
            <w:r>
              <w:rPr>
                <w:rFonts w:ascii="Times New Roman" w:hAnsi="Times New Roman" w:eastAsia="宋体"/>
                <w:sz w:val="15"/>
              </w:rPr>
              <w:t>本文实验</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像素基线（分类头适配）</w:t>
            </w:r>
          </w:p>
        </w:tc>
        <w:tc>
          <w:tcPr>
            <w:tcW w:type="dxa" w:w="1075"/>
            <w:vAlign w:val="center"/>
          </w:tcPr>
          <w:p>
            <w:pPr>
              <w:ind w:firstLine="0"/>
            </w:pPr>
            <w:r>
              <w:rPr>
                <w:rFonts w:ascii="Times New Roman" w:hAnsi="Times New Roman" w:eastAsia="宋体"/>
                <w:sz w:val="15"/>
              </w:rPr>
              <w:t>本文实验</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像素—区域联合基线</w:t>
            </w:r>
          </w:p>
        </w:tc>
        <w:tc>
          <w:tcPr>
            <w:tcW w:type="dxa" w:w="1075"/>
            <w:vAlign w:val="center"/>
          </w:tcPr>
          <w:p>
            <w:pPr>
              <w:ind w:firstLine="0"/>
            </w:pPr>
            <w:r>
              <w:rPr>
                <w:rFonts w:ascii="Times New Roman" w:hAnsi="Times New Roman" w:eastAsia="宋体"/>
                <w:sz w:val="15"/>
              </w:rPr>
              <w:t>本文实验</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可学习槽位对照</w:t>
            </w:r>
          </w:p>
        </w:tc>
        <w:tc>
          <w:tcPr>
            <w:tcW w:type="dxa" w:w="1075"/>
            <w:vAlign w:val="center"/>
          </w:tcPr>
          <w:p>
            <w:pPr>
              <w:ind w:firstLine="0"/>
            </w:pPr>
            <w:r>
              <w:rPr>
                <w:rFonts w:ascii="Times New Roman" w:hAnsi="Times New Roman" w:eastAsia="宋体"/>
                <w:sz w:val="15"/>
              </w:rPr>
              <w:t>本文实验</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余弦检索增强模型</w:t>
            </w:r>
          </w:p>
        </w:tc>
        <w:tc>
          <w:tcPr>
            <w:tcW w:type="dxa" w:w="1075"/>
            <w:vAlign w:val="center"/>
          </w:tcPr>
          <w:p>
            <w:pPr>
              <w:ind w:firstLine="0"/>
            </w:pPr>
            <w:r>
              <w:rPr>
                <w:rFonts w:ascii="Times New Roman" w:hAnsi="Times New Roman" w:eastAsia="宋体"/>
                <w:sz w:val="15"/>
              </w:rPr>
              <w:t>本文实验</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r>
        <w:trPr>
          <w:cantSplit/>
        </w:trPr>
        <w:tc>
          <w:tcPr>
            <w:tcW w:type="dxa" w:w="1504"/>
            <w:vAlign w:val="center"/>
          </w:tcPr>
          <w:p>
            <w:pPr>
              <w:spacing w:before="20" w:after="20" w:line="252" w:lineRule="auto"/>
              <w:ind w:firstLine="0"/>
            </w:pPr>
            <w:r>
              <w:rPr>
                <w:rFonts w:ascii="Times New Roman" w:hAnsi="Times New Roman" w:eastAsia="宋体"/>
                <w:b w:val="0"/>
                <w:sz w:val="15"/>
              </w:rPr>
              <w:t>跨事件监督检索增强模型（完整方法）</w:t>
            </w:r>
          </w:p>
        </w:tc>
        <w:tc>
          <w:tcPr>
            <w:tcW w:type="dxa" w:w="1075"/>
            <w:vAlign w:val="center"/>
          </w:tcPr>
          <w:p>
            <w:pPr>
              <w:ind w:firstLine="0"/>
            </w:pPr>
            <w:r>
              <w:rPr>
                <w:rFonts w:ascii="Times New Roman" w:hAnsi="Times New Roman" w:eastAsia="宋体"/>
                <w:sz w:val="15"/>
              </w:rPr>
              <w:t>本文实验</w:t>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c>
          <w:tcPr>
            <w:tcW w:type="dxa" w:w="716"/>
            <w:vAlign w:val="center"/>
          </w:tcPr>
          <w:p>
            <w:pPr>
              <w:spacing w:before="20" w:after="20" w:line="252" w:lineRule="auto"/>
              <w:ind w:firstLine="0"/>
            </w:pPr>
            <w:r>
              <w:rPr>
                <w:rFonts w:ascii="Times New Roman" w:hAnsi="Times New Roman" w:eastAsia="宋体"/>
                <w:b w:val="0"/>
                <w:sz w:val="15"/>
              </w:rPr>
            </w:r>
          </w:p>
        </w:tc>
      </w:tr>
    </w:tbl>
    <w:p>
      <w:pPr/>
      <w:r>
        <w:t>表注：MPF是基础前端的模块名称，表中其余名称描述信息来源与读出配置，不另造模型品牌。除直接评价既有权重的参考行外，本文五项对照采用预先统一的训练预算、样本流和选型规则；“统一预算”属于实验条件，不作为模型名称。原内部编号仅在附录对照中保留，代码、路径与历史日志无需改名。</w:t>
      </w:r>
    </w:p>
    <w:p>
      <w:pPr>
        <w:widowControl/>
      </w:pPr>
    </w:p>
    <w:p>
      <w:pPr>
        <w:widowControl/>
      </w:pPr>
      <w:r>
        <w:rPr>
          <w:rFonts w:ascii="Times New Roman" w:hAnsi="Times New Roman" w:eastAsia="宋体"/>
        </w:rPr>
        <w:t>完整模型四类mIoU为</w:t>
      </w:r>
      <w:r>
        <w:rPr>
          <w:rFonts w:ascii="Times New Roman" w:hAnsi="Times New Roman" w:eastAsia="宋体"/>
          <w:u w:val="single"/>
        </w:rPr>
        <w:t xml:space="preserve">    </w:t>
      </w:r>
      <w:r>
        <w:rPr>
          <w:rFonts w:ascii="Times New Roman" w:hAnsi="Times New Roman" w:eastAsia="宋体"/>
        </w:rPr>
        <w:t>，前景mIoU为</w:t>
      </w:r>
      <w:r>
        <w:rPr>
          <w:rFonts w:ascii="Times New Roman" w:hAnsi="Times New Roman" w:eastAsia="宋体"/>
          <w:u w:val="single"/>
        </w:rPr>
        <w:t xml:space="preserve">    </w:t>
      </w:r>
      <w:r>
        <w:rPr>
          <w:rFonts w:ascii="Times New Roman" w:hAnsi="Times New Roman" w:eastAsia="宋体"/>
        </w:rPr>
        <w:t>；相对同协议基础像素模型的差值分别为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个百分点。受损与毁坏IoU分别为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，相应变化为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个百分点。</w:t>
      </w:r>
    </w:p>
    <w:p>
      <w:pPr>
        <w:widowControl/>
      </w:pPr>
      <w:r>
        <w:rPr>
          <w:rFonts w:ascii="Times New Roman" w:hAnsi="Times New Roman" w:eastAsia="宋体"/>
        </w:rPr>
        <w:t>结果解释以各类TP、FP和FN为依据，分别分析背景范围变化、完好到受损误报，以及受损/毁坏漏判。若不同类别存在取舍，需同时报告；不从单一mIoU推断所有类别都改善，也不从OA接近推断少数损毁类别没有变化。</w:t>
      </w:r>
    </w:p>
    <w:p>
      <w:pPr>
        <w:widowControl/>
      </w:pPr>
      <w:r>
        <w:rPr>
          <w:rFonts w:ascii="Times New Roman" w:hAnsi="Times New Roman" w:eastAsia="宋体"/>
        </w:rPr>
        <w:t>图5由表2的同源结果绘制，包含四类IoU及总体指标，可按指标分面以避免背景高分遮蔽损毁差异。各模型使用相同顺序；多种子结果给出实际散点或区间。公开报告与重训结果明确分组。</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图5　各类IoU与总体mIoU的模型比较</w:t>
      </w:r>
    </w:p>
    <w:p>
      <w:pPr>
        <w:pStyle w:val="4"/>
        <w:keepNext/>
      </w:pPr>
      <w:r>
        <w:rPr>
          <w:rFonts w:ascii="Times New Roman" w:hAnsi="Times New Roman" w:eastAsia="宋体"/>
        </w:rPr>
        <w:t>C. 建筑概率约束与结构适配的控制实验</w:t>
      </w:r>
    </w:p>
    <w:p>
      <w:pPr>
        <w:widowControl/>
      </w:pPr>
      <w:r>
        <w:rPr>
          <w:rFonts w:ascii="Times New Roman" w:hAnsi="Times New Roman" w:eastAsia="宋体"/>
        </w:rPr>
        <w:t>首先采用表3的二因素设计。建筑概率进入Q的开关仅指式（2）中建筑相容项权重λB设为0或统一默认值；基础前端已有的建筑调制及其他共同路径保持不变，不能称为完全不使用建筑概率。各组使用同一多模态像素前端（MPF）、候选范围、区域预算、训练步数与区域—像素读出，关闭真实历史支持，以减少库和Reader变化的干扰。“无Adapter”仍保留相同的基础内容投影和输出维度。</w:t>
      </w:r>
    </w:p>
    <w:p>
      <w:pPr>
        <w:pStyle w:val="15"/>
        <w:keepNext/>
      </w:pPr>
      <w:r>
        <w:rPr>
          <w:rFonts w:ascii="Times New Roman" w:hAnsi="Times New Roman" w:eastAsia="宋体"/>
        </w:rPr>
        <w:t>表3　建筑相容项与结构残差适配的二因素实验</w:t>
      </w:r>
    </w:p>
    <w:tbl>
      <w:tblPr>
        <w:tblStyle w:val="33"/>
        <w:tblW w:type="auto" w:w="0"/>
        <w:jc w:val="center"/>
        <w:tblLayout w:type="fixed"/>
        <w:tblLook w:firstColumn="1" w:firstRow="1" w:lastColumn="0" w:lastRow="0" w:noHBand="0" w:noVBand="1" w:val="04A0"/>
      </w:tblPr>
      <w:tblGrid>
        <w:gridCol w:w="992"/>
        <w:gridCol w:w="694"/>
        <w:gridCol w:w="1389"/>
        <w:gridCol w:w="992"/>
        <w:gridCol w:w="992"/>
        <w:gridCol w:w="992"/>
        <w:gridCol w:w="992"/>
        <w:gridCol w:w="992"/>
        <w:gridCol w:w="992"/>
      </w:tblGrid>
      <w:tr>
        <w:trPr>
          <w:tblHeader/>
          <w:cantSplit/>
        </w:trPr>
        <w:tc>
          <w:tcPr>
            <w:tcW w:type="dxa" w:w="992"/>
            <w:vAlign w:val="center"/>
            <w:shd w:fill="E8EDF2"/>
          </w:tcPr>
          <w:p>
            <w:pPr>
              <w:spacing w:before="20" w:after="20" w:line="252" w:lineRule="auto"/>
              <w:ind w:firstLine="0"/>
            </w:pPr>
            <w:r>
              <w:rPr>
                <w:rFonts w:ascii="Times New Roman" w:hAnsi="Times New Roman" w:eastAsia="宋体"/>
                <w:b/>
                <w:sz w:val="15"/>
              </w:rPr>
              <w:t>配置</w:t>
            </w:r>
          </w:p>
        </w:tc>
        <w:tc>
          <w:tcPr>
            <w:tcW w:type="dxa" w:w="694"/>
            <w:vAlign w:val="center"/>
            <w:shd w:fill="E8EDF2"/>
          </w:tcPr>
          <w:p>
            <w:pPr>
              <w:spacing w:before="20" w:after="20" w:line="252" w:lineRule="auto"/>
              <w:ind w:firstLine="0"/>
            </w:pPr>
            <w:r>
              <w:rPr>
                <w:rFonts w:ascii="Times New Roman" w:hAnsi="Times New Roman" w:eastAsia="宋体"/>
                <w:b/>
                <w:sz w:val="15"/>
              </w:rPr>
              <w:t>B→Q</w:t>
            </w:r>
          </w:p>
        </w:tc>
        <w:tc>
          <w:tcPr>
            <w:tcW w:type="dxa" w:w="1389"/>
            <w:vAlign w:val="center"/>
            <w:shd w:fill="E8EDF2"/>
          </w:tcPr>
          <w:p>
            <w:pPr>
              <w:spacing w:before="20" w:after="20" w:line="252" w:lineRule="auto"/>
              <w:ind w:firstLine="0"/>
            </w:pPr>
            <w:r>
              <w:rPr>
                <w:rFonts w:ascii="Times New Roman" w:hAnsi="Times New Roman" w:eastAsia="宋体"/>
                <w:b/>
                <w:sz w:val="15"/>
              </w:rPr>
              <w:t>Adapter</w:t>
            </w:r>
          </w:p>
        </w:tc>
        <w:tc>
          <w:tcPr>
            <w:tcW w:type="dxa" w:w="992"/>
            <w:vAlign w:val="center"/>
            <w:shd w:fill="E8EDF2"/>
          </w:tcPr>
          <w:p>
            <w:pPr>
              <w:spacing w:before="20" w:after="20" w:line="252" w:lineRule="auto"/>
              <w:ind w:firstLine="0"/>
            </w:pPr>
            <w:r>
              <w:rPr>
                <w:rFonts w:ascii="Times New Roman" w:hAnsi="Times New Roman" w:eastAsia="宋体"/>
                <w:b/>
                <w:sz w:val="15"/>
              </w:rPr>
              <w:t>四类mIoU</w:t>
            </w:r>
          </w:p>
        </w:tc>
        <w:tc>
          <w:tcPr>
            <w:tcW w:type="dxa" w:w="992"/>
            <w:vAlign w:val="center"/>
            <w:shd w:fill="E8EDF2"/>
          </w:tcPr>
          <w:p>
            <w:pPr>
              <w:spacing w:before="20" w:after="20" w:line="252" w:lineRule="auto"/>
              <w:ind w:firstLine="0"/>
            </w:pPr>
            <w:r>
              <w:rPr>
                <w:rFonts w:ascii="Times New Roman" w:hAnsi="Times New Roman" w:eastAsia="宋体"/>
                <w:b/>
                <w:sz w:val="15"/>
              </w:rPr>
              <w:t>前景mIoU</w:t>
            </w:r>
          </w:p>
        </w:tc>
        <w:tc>
          <w:tcPr>
            <w:tcW w:type="dxa" w:w="992"/>
            <w:vAlign w:val="center"/>
            <w:shd w:fill="E8EDF2"/>
          </w:tcPr>
          <w:p>
            <w:pPr>
              <w:spacing w:before="20" w:after="20" w:line="252" w:lineRule="auto"/>
              <w:ind w:firstLine="0"/>
            </w:pPr>
            <w:r>
              <w:rPr>
                <w:rFonts w:ascii="Times New Roman" w:hAnsi="Times New Roman" w:eastAsia="宋体"/>
                <w:b/>
                <w:sz w:val="15"/>
              </w:rPr>
              <w:t>受损IoU</w:t>
            </w:r>
          </w:p>
        </w:tc>
        <w:tc>
          <w:tcPr>
            <w:tcW w:type="dxa" w:w="992"/>
            <w:vAlign w:val="center"/>
            <w:shd w:fill="E8EDF2"/>
          </w:tcPr>
          <w:p>
            <w:pPr>
              <w:spacing w:before="20" w:after="20" w:line="252" w:lineRule="auto"/>
              <w:ind w:firstLine="0"/>
            </w:pPr>
            <w:r>
              <w:rPr>
                <w:rFonts w:ascii="Times New Roman" w:hAnsi="Times New Roman" w:eastAsia="宋体"/>
                <w:b/>
                <w:sz w:val="15"/>
              </w:rPr>
              <w:t>毁坏IoU</w:t>
            </w:r>
          </w:p>
        </w:tc>
        <w:tc>
          <w:tcPr>
            <w:tcW w:type="dxa" w:w="992"/>
            <w:vAlign w:val="center"/>
            <w:shd w:fill="E8EDF2"/>
          </w:tcPr>
          <w:p>
            <w:pPr>
              <w:spacing w:before="20" w:after="20" w:line="252" w:lineRule="auto"/>
              <w:ind w:firstLine="0"/>
            </w:pPr>
            <w:r>
              <w:rPr>
                <w:rFonts w:ascii="Times New Roman" w:hAnsi="Times New Roman" w:eastAsia="宋体"/>
                <w:b/>
                <w:sz w:val="15"/>
              </w:rPr>
              <w:t>混合区域率</w:t>
            </w:r>
          </w:p>
        </w:tc>
        <w:tc>
          <w:tcPr>
            <w:tcW w:type="dxa" w:w="992"/>
            <w:vAlign w:val="center"/>
            <w:shd w:fill="E8EDF2"/>
          </w:tcPr>
          <w:p>
            <w:pPr>
              <w:spacing w:before="20" w:after="20" w:line="252" w:lineRule="auto"/>
              <w:ind w:firstLine="0"/>
            </w:pPr>
            <w:r>
              <w:rPr>
                <w:rFonts w:ascii="Times New Roman" w:hAnsi="Times New Roman" w:eastAsia="宋体"/>
                <w:b/>
                <w:sz w:val="15"/>
              </w:rPr>
              <w:t>边缘错误率</w:t>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S00</w:t>
            </w:r>
          </w:p>
        </w:tc>
        <w:tc>
          <w:tcPr>
            <w:tcW w:type="dxa" w:w="694"/>
            <w:vAlign w:val="center"/>
          </w:tcPr>
          <w:p>
            <w:pPr>
              <w:spacing w:before="20" w:after="20" w:line="252" w:lineRule="auto"/>
              <w:ind w:firstLine="0"/>
            </w:pPr>
            <w:r>
              <w:rPr>
                <w:rFonts w:ascii="Times New Roman" w:hAnsi="Times New Roman" w:eastAsia="宋体"/>
                <w:b w:val="0"/>
                <w:sz w:val="15"/>
              </w:rPr>
              <w:t>关</w:t>
            </w:r>
          </w:p>
        </w:tc>
        <w:tc>
          <w:tcPr>
            <w:tcW w:type="dxa" w:w="1389"/>
            <w:vAlign w:val="center"/>
          </w:tcPr>
          <w:p>
            <w:pPr>
              <w:spacing w:before="20" w:after="20" w:line="252" w:lineRule="auto"/>
              <w:ind w:firstLine="0"/>
            </w:pPr>
            <w:r>
              <w:rPr>
                <w:rFonts w:ascii="Times New Roman" w:hAnsi="Times New Roman" w:eastAsia="宋体"/>
                <w:b w:val="0"/>
                <w:sz w:val="15"/>
              </w:rPr>
              <w:t>无残差</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S10</w:t>
            </w:r>
          </w:p>
        </w:tc>
        <w:tc>
          <w:tcPr>
            <w:tcW w:type="dxa" w:w="694"/>
            <w:vAlign w:val="center"/>
          </w:tcPr>
          <w:p>
            <w:pPr>
              <w:spacing w:before="20" w:after="20" w:line="252" w:lineRule="auto"/>
              <w:ind w:firstLine="0"/>
            </w:pPr>
            <w:r>
              <w:rPr>
                <w:rFonts w:ascii="Times New Roman" w:hAnsi="Times New Roman" w:eastAsia="宋体"/>
                <w:b w:val="0"/>
                <w:sz w:val="15"/>
              </w:rPr>
              <w:t>开</w:t>
            </w:r>
          </w:p>
        </w:tc>
        <w:tc>
          <w:tcPr>
            <w:tcW w:type="dxa" w:w="1389"/>
            <w:vAlign w:val="center"/>
          </w:tcPr>
          <w:p>
            <w:pPr>
              <w:spacing w:before="20" w:after="20" w:line="252" w:lineRule="auto"/>
              <w:ind w:firstLine="0"/>
            </w:pPr>
            <w:r>
              <w:rPr>
                <w:rFonts w:ascii="Times New Roman" w:hAnsi="Times New Roman" w:eastAsia="宋体"/>
                <w:b w:val="0"/>
                <w:sz w:val="15"/>
              </w:rPr>
              <w:t>无残差</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S01</w:t>
            </w:r>
          </w:p>
        </w:tc>
        <w:tc>
          <w:tcPr>
            <w:tcW w:type="dxa" w:w="694"/>
            <w:vAlign w:val="center"/>
          </w:tcPr>
          <w:p>
            <w:pPr>
              <w:spacing w:before="20" w:after="20" w:line="252" w:lineRule="auto"/>
              <w:ind w:firstLine="0"/>
            </w:pPr>
            <w:r>
              <w:rPr>
                <w:rFonts w:ascii="Times New Roman" w:hAnsi="Times New Roman" w:eastAsia="宋体"/>
                <w:b w:val="0"/>
                <w:sz w:val="15"/>
              </w:rPr>
              <w:t>关</w:t>
            </w:r>
          </w:p>
        </w:tc>
        <w:tc>
          <w:tcPr>
            <w:tcW w:type="dxa" w:w="1389"/>
            <w:vAlign w:val="center"/>
          </w:tcPr>
          <w:p>
            <w:pPr>
              <w:spacing w:before="20" w:after="20" w:line="252" w:lineRule="auto"/>
              <w:ind w:firstLine="0"/>
            </w:pPr>
            <w:r>
              <w:rPr>
                <w:rFonts w:ascii="Times New Roman" w:hAnsi="Times New Roman" w:eastAsia="宋体"/>
                <w:b w:val="0"/>
                <w:sz w:val="15"/>
              </w:rPr>
              <w:t>完整条件</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r>
        <w:trPr>
          <w:cantSplit/>
        </w:trPr>
        <w:tc>
          <w:tcPr>
            <w:tcW w:type="dxa" w:w="992"/>
            <w:vAlign w:val="center"/>
          </w:tcPr>
          <w:p>
            <w:pPr>
              <w:spacing w:before="20" w:after="20" w:line="252" w:lineRule="auto"/>
              <w:ind w:firstLine="0"/>
            </w:pPr>
            <w:r>
              <w:rPr>
                <w:rFonts w:ascii="Times New Roman" w:hAnsi="Times New Roman" w:eastAsia="宋体"/>
                <w:b w:val="0"/>
                <w:sz w:val="15"/>
              </w:rPr>
              <w:t>S11</w:t>
            </w:r>
          </w:p>
        </w:tc>
        <w:tc>
          <w:tcPr>
            <w:tcW w:type="dxa" w:w="694"/>
            <w:vAlign w:val="center"/>
          </w:tcPr>
          <w:p>
            <w:pPr>
              <w:spacing w:before="20" w:after="20" w:line="252" w:lineRule="auto"/>
              <w:ind w:firstLine="0"/>
            </w:pPr>
            <w:r>
              <w:rPr>
                <w:rFonts w:ascii="Times New Roman" w:hAnsi="Times New Roman" w:eastAsia="宋体"/>
                <w:b w:val="0"/>
                <w:sz w:val="15"/>
              </w:rPr>
              <w:t>开</w:t>
            </w:r>
          </w:p>
        </w:tc>
        <w:tc>
          <w:tcPr>
            <w:tcW w:type="dxa" w:w="1389"/>
            <w:vAlign w:val="center"/>
          </w:tcPr>
          <w:p>
            <w:pPr>
              <w:spacing w:before="20" w:after="20" w:line="252" w:lineRule="auto"/>
              <w:ind w:firstLine="0"/>
            </w:pPr>
            <w:r>
              <w:rPr>
                <w:rFonts w:ascii="Times New Roman" w:hAnsi="Times New Roman" w:eastAsia="宋体"/>
                <w:b w:val="0"/>
                <w:sz w:val="15"/>
              </w:rPr>
              <w:t>完整条件</w:t>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c>
          <w:tcPr>
            <w:tcW w:type="dxa" w:w="992"/>
            <w:vAlign w:val="center"/>
          </w:tcPr>
          <w:p>
            <w:pPr>
              <w:spacing w:before="20" w:after="20" w:line="252" w:lineRule="auto"/>
              <w:ind w:firstLine="0"/>
            </w:pPr>
            <w:r>
              <w:rPr>
                <w:rFonts w:ascii="Times New Roman" w:hAnsi="Times New Roman" w:eastAsia="宋体"/>
                <w:b w:val="0"/>
                <w:sz w:val="15"/>
              </w:rPr>
            </w:r>
          </w:p>
        </w:tc>
      </w:tr>
    </w:tbl>
    <w:p>
      <w:pPr>
        <w:widowControl/>
      </w:pPr>
    </w:p>
    <w:p>
      <w:pPr>
        <w:widowControl/>
      </w:pPr>
      <w:r>
        <w:rPr>
          <w:rFonts w:ascii="Times New Roman" w:hAnsi="Times New Roman" w:eastAsia="宋体"/>
        </w:rPr>
        <w:t>以同种子差值评价建筑相容项在两种Adapter条件下的作用，以及Adapter在两种Q条件下的作用；交互项为S11−S10−S01＋S00。Q改变还影响池化、几何、条件量和回投，因此该表评价结构干预的整体作用，不把全部差值只归因于边界。交互项为</w:t>
      </w:r>
      <w:r>
        <w:rPr>
          <w:rFonts w:ascii="Times New Roman" w:hAnsi="Times New Roman" w:eastAsia="宋体"/>
          <w:u w:val="single"/>
        </w:rPr>
        <w:t xml:space="preserve">    </w:t>
      </w:r>
      <w:r>
        <w:rPr>
          <w:rFonts w:ascii="Times New Roman" w:hAnsi="Times New Roman" w:eastAsia="宋体"/>
        </w:rPr>
        <w:t>个百分点，两个相容项对照的前景mIoU差值为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个百分点。</w:t>
      </w:r>
    </w:p>
    <w:p>
      <w:pPr>
        <w:widowControl/>
      </w:pPr>
      <w:r>
        <w:rPr>
          <w:rFonts w:ascii="Times New Roman" w:hAnsi="Times New Roman" w:eastAsia="宋体"/>
        </w:rPr>
        <w:t>区域混合率使用Q加权的真实建筑比例p_building,k，在有效区域中统计0.1＜p_building,k＜0.9的区域比例。该指标只描述建筑/背景混合，前景类别混合另行分析；有效区域数和质量/面积分布同时报告，防止仅靠增加小区域提高纯度。边界带由GT建筑掩膜在原图尺度构造，带宽在表1锁定；边缘错误率为带内有效像素的四类错误比例，并报告带内像素数。所有GT只用于事后评价。</w:t>
      </w:r>
    </w:p>
    <w:p>
      <w:pPr>
        <w:widowControl/>
      </w:pPr>
      <w:r>
        <w:rPr>
          <w:rFonts w:ascii="Times New Roman" w:hAnsi="Times New Roman" w:eastAsia="宋体"/>
        </w:rPr>
        <w:t>建筑相容项对应的混合区域率变化为</w:t>
      </w:r>
      <w:r>
        <w:rPr>
          <w:rFonts w:ascii="Times New Roman" w:hAnsi="Times New Roman" w:eastAsia="宋体"/>
          <w:u w:val="single"/>
        </w:rPr>
        <w:t xml:space="preserve">    </w:t>
      </w:r>
      <w:r>
        <w:rPr>
          <w:rFonts w:ascii="Times New Roman" w:hAnsi="Times New Roman" w:eastAsia="宋体"/>
        </w:rPr>
        <w:t>，区域纯度变化为</w:t>
      </w:r>
      <w:r>
        <w:rPr>
          <w:rFonts w:ascii="Times New Roman" w:hAnsi="Times New Roman" w:eastAsia="宋体"/>
          <w:u w:val="single"/>
        </w:rPr>
        <w:t xml:space="preserve">    </w:t>
      </w:r>
      <w:r>
        <w:rPr>
          <w:rFonts w:ascii="Times New Roman" w:hAnsi="Times New Roman" w:eastAsia="宋体"/>
        </w:rPr>
        <w:t>，边缘错误率变化为</w:t>
      </w:r>
      <w:r>
        <w:rPr>
          <w:rFonts w:ascii="Times New Roman" w:hAnsi="Times New Roman" w:eastAsia="宋体"/>
          <w:u w:val="single"/>
        </w:rPr>
        <w:t xml:space="preserve">    </w:t>
      </w:r>
      <w:r>
        <w:rPr>
          <w:rFonts w:ascii="Times New Roman" w:hAnsi="Times New Roman" w:eastAsia="宋体"/>
        </w:rPr>
        <w:t>。结论依据实际方向和稳定性填写；若只有两项联用有效，只说明它们构成相互依赖的结构编码，不预先宣称协同或各自独立有效。</w:t>
      </w:r>
    </w:p>
    <w:p>
      <w:pPr>
        <w:widowControl/>
      </w:pPr>
      <w:r>
        <w:rPr>
          <w:rFonts w:ascii="Times New Roman" w:hAnsi="Times New Roman" w:eastAsia="宋体"/>
        </w:rPr>
        <w:t>图6以四个独立小面板分别展示四类mIoU、受损IoU、毁坏IoU与混合区域率；每个面板均为Q开关×Adapter开关的2×2实际结果。另标配对差值和交互，不以四个格子单独宣称显著性。</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图6　建筑相容项与结构适配的二因素结果</w:t>
      </w:r>
    </w:p>
    <w:p>
      <w:pPr>
        <w:widowControl/>
      </w:pPr>
      <w:r>
        <w:rPr>
          <w:rFonts w:ascii="Times New Roman" w:hAnsi="Times New Roman" w:eastAsia="宋体"/>
        </w:rPr>
        <w:t>为隔离内容条件的作用，表4固定同一Q和输入融合特征，在相同冻结状态、初始化与预算下重新训练Adapter、嵌入及读出；完整条件行也在此协议下训练，不直接复用训练条件不同的S11成绩。普通内容Adapter使用活跃的内容计算和相近参数/计算规模，不用闲置参数冒充有效容量匹配。去B仅移除Adapter显式B通道，B仍可经Q影响b(Q)、H(Q)。</w:t>
      </w:r>
    </w:p>
    <w:p>
      <w:pPr>
        <w:pStyle w:val="15"/>
        <w:keepNext/>
      </w:pPr>
      <w:r>
        <w:rPr>
          <w:rFonts w:ascii="Times New Roman" w:hAnsi="Times New Roman" w:eastAsia="宋体"/>
        </w:rPr>
        <w:t>表4　固定Q的Adapter条件与容量消融</w:t>
      </w:r>
    </w:p>
    <w:tbl>
      <w:tblPr>
        <w:tblStyle w:val="33"/>
        <w:tblW w:type="auto" w:w="0"/>
        <w:jc w:val="center"/>
        <w:tblLayout w:type="fixed"/>
        <w:tblLook w:firstColumn="1" w:firstRow="1" w:lastColumn="0" w:lastRow="0" w:noHBand="0" w:noVBand="1" w:val="04A0"/>
      </w:tblPr>
      <w:tblGrid>
        <w:gridCol w:w="2579"/>
        <w:gridCol w:w="1075"/>
        <w:gridCol w:w="1075"/>
        <w:gridCol w:w="1075"/>
        <w:gridCol w:w="1075"/>
        <w:gridCol w:w="1075"/>
        <w:gridCol w:w="1075"/>
      </w:tblGrid>
      <w:tr>
        <w:trPr>
          <w:tblHeader/>
          <w:cantSplit/>
        </w:trPr>
        <w:tc>
          <w:tcPr>
            <w:tcW w:type="dxa" w:w="2579"/>
            <w:vAlign w:val="center"/>
            <w:shd w:fill="E8EDF2"/>
          </w:tcPr>
          <w:p>
            <w:pPr>
              <w:spacing w:before="20" w:after="20" w:line="252" w:lineRule="auto"/>
              <w:ind w:firstLine="0"/>
            </w:pPr>
            <w:r>
              <w:rPr>
                <w:rFonts w:ascii="Times New Roman" w:hAnsi="Times New Roman" w:eastAsia="宋体"/>
                <w:b/>
                <w:sz w:val="17"/>
              </w:rPr>
              <w:t>条件设置</w:t>
            </w:r>
          </w:p>
        </w:tc>
        <w:tc>
          <w:tcPr>
            <w:tcW w:type="dxa" w:w="1075"/>
            <w:vAlign w:val="center"/>
            <w:shd w:fill="E8EDF2"/>
          </w:tcPr>
          <w:p>
            <w:pPr>
              <w:spacing w:before="20" w:after="20" w:line="252" w:lineRule="auto"/>
              <w:ind w:firstLine="0"/>
            </w:pPr>
            <w:r>
              <w:rPr>
                <w:rFonts w:ascii="Times New Roman" w:hAnsi="Times New Roman" w:eastAsia="宋体"/>
                <w:b/>
                <w:sz w:val="17"/>
              </w:rPr>
              <w:t>参数量</w:t>
            </w:r>
          </w:p>
        </w:tc>
        <w:tc>
          <w:tcPr>
            <w:tcW w:type="dxa" w:w="1075"/>
            <w:vAlign w:val="center"/>
            <w:shd w:fill="E8EDF2"/>
          </w:tcPr>
          <w:p>
            <w:pPr>
              <w:spacing w:before="20" w:after="20" w:line="252" w:lineRule="auto"/>
              <w:ind w:firstLine="0"/>
            </w:pPr>
            <w:r>
              <w:rPr>
                <w:rFonts w:ascii="Times New Roman" w:hAnsi="Times New Roman" w:eastAsia="宋体"/>
                <w:b/>
                <w:sz w:val="17"/>
              </w:rPr>
              <w:t>四类mIoU</w:t>
            </w:r>
          </w:p>
        </w:tc>
        <w:tc>
          <w:tcPr>
            <w:tcW w:type="dxa" w:w="1075"/>
            <w:vAlign w:val="center"/>
            <w:shd w:fill="E8EDF2"/>
          </w:tcPr>
          <w:p>
            <w:pPr>
              <w:spacing w:before="20" w:after="20" w:line="252" w:lineRule="auto"/>
              <w:ind w:firstLine="0"/>
            </w:pPr>
            <w:r>
              <w:rPr>
                <w:rFonts w:ascii="Times New Roman" w:hAnsi="Times New Roman" w:eastAsia="宋体"/>
                <w:b/>
                <w:sz w:val="17"/>
              </w:rPr>
              <w:t>前景mIoU</w:t>
            </w:r>
          </w:p>
        </w:tc>
        <w:tc>
          <w:tcPr>
            <w:tcW w:type="dxa" w:w="1075"/>
            <w:vAlign w:val="center"/>
            <w:shd w:fill="E8EDF2"/>
          </w:tcPr>
          <w:p>
            <w:pPr>
              <w:spacing w:before="20" w:after="20" w:line="252" w:lineRule="auto"/>
              <w:ind w:firstLine="0"/>
            </w:pPr>
            <w:r>
              <w:rPr>
                <w:rFonts w:ascii="Times New Roman" w:hAnsi="Times New Roman" w:eastAsia="宋体"/>
                <w:b/>
                <w:sz w:val="17"/>
              </w:rPr>
              <w:t>受损IoU</w:t>
            </w:r>
          </w:p>
        </w:tc>
        <w:tc>
          <w:tcPr>
            <w:tcW w:type="dxa" w:w="1075"/>
            <w:vAlign w:val="center"/>
            <w:shd w:fill="E8EDF2"/>
          </w:tcPr>
          <w:p>
            <w:pPr>
              <w:spacing w:before="20" w:after="20" w:line="252" w:lineRule="auto"/>
              <w:ind w:firstLine="0"/>
            </w:pPr>
            <w:r>
              <w:rPr>
                <w:rFonts w:ascii="Times New Roman" w:hAnsi="Times New Roman" w:eastAsia="宋体"/>
                <w:b/>
                <w:sz w:val="17"/>
              </w:rPr>
              <w:t>毁坏IoU</w:t>
            </w:r>
          </w:p>
        </w:tc>
        <w:tc>
          <w:tcPr>
            <w:tcW w:type="dxa" w:w="1075"/>
            <w:vAlign w:val="center"/>
            <w:shd w:fill="E8EDF2"/>
          </w:tcPr>
          <w:p>
            <w:pPr>
              <w:spacing w:before="20" w:after="20" w:line="252" w:lineRule="auto"/>
              <w:ind w:firstLine="0"/>
            </w:pPr>
            <w:r>
              <w:rPr>
                <w:rFonts w:ascii="Times New Roman" w:hAnsi="Times New Roman" w:eastAsia="宋体"/>
                <w:b/>
                <w:sz w:val="17"/>
              </w:rPr>
              <w:t>边缘错误率</w:t>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无残差Adapter</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完整B、b(Q)、H(Q)</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去Adapter显式B</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去b(Q)</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去H(Q)</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579"/>
            <w:vAlign w:val="center"/>
          </w:tcPr>
          <w:p>
            <w:pPr>
              <w:spacing w:before="20" w:after="20" w:line="252" w:lineRule="auto"/>
              <w:ind w:firstLine="0"/>
            </w:pPr>
            <w:r>
              <w:rPr>
                <w:rFonts w:ascii="Times New Roman" w:hAnsi="Times New Roman" w:eastAsia="宋体"/>
                <w:b w:val="0"/>
                <w:sz w:val="17"/>
              </w:rPr>
              <w:t>同参数普通内容Adapter</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完整条件相对普通内容Adapter的前景mIoU差值为</w:t>
      </w:r>
      <w:r>
        <w:rPr>
          <w:rFonts w:ascii="Times New Roman" w:hAnsi="Times New Roman" w:eastAsia="宋体"/>
          <w:u w:val="single"/>
        </w:rPr>
        <w:t xml:space="preserve">    </w:t>
      </w:r>
      <w:r>
        <w:rPr>
          <w:rFonts w:ascii="Times New Roman" w:hAnsi="Times New Roman" w:eastAsia="宋体"/>
        </w:rPr>
        <w:t>；分别去除B、b(Q)、H(Q)后的差值为</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。只有这些对照支持时，才将收益归于对应条件，而不是额外MLP容量。</w:t>
      </w:r>
    </w:p>
    <w:p>
      <w:pPr>
        <w:widowControl/>
      </w:pPr>
      <w:r>
        <w:rPr>
          <w:rFonts w:ascii="Times New Roman" w:hAnsi="Times New Roman" w:eastAsia="宋体"/>
        </w:rPr>
        <w:t>图7并列灾前光学、灾后SAR、GT建筑掩膜、预测B、Q相容项关闭/开启、混合区域标记与区域边界；可附b(Q)、H(Q)及固定Q条件消融预测。窗口、颜色和区域预算相同，边界规整仅作观察，须与表3/4计数共同解释。</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图7　软区域组织与结构条件的同窗口诊断</w:t>
      </w:r>
    </w:p>
    <w:p>
      <w:pPr>
        <w:pStyle w:val="4"/>
        <w:keepNext/>
      </w:pPr>
      <w:r>
        <w:rPr>
          <w:rFonts w:ascii="Times New Roman" w:hAnsi="Times New Roman" w:eastAsia="宋体"/>
        </w:rPr>
        <w:t>D. 历史支持与检索排序的分层验证</w:t>
      </w:r>
    </w:p>
    <w:p>
      <w:pPr>
        <w:widowControl/>
      </w:pPr>
      <w:r>
        <w:t>表5按实际信息来源命名配置。“像素基线（分类头适配）”只训练像素分类头；“像素—区域联合基线”将当前区域直接回投，不使用支持Reader；“可学习槽位对照”保留Reader，但用可学习向量替代真实案例；“余弦检索增强模型”读取原始余弦选出的Train记录；“跨事件监督检索增强模型”读取经跨事件监督投影选出的同库记录。后两者只在排序方式上定义差别，Reader训练与配对评价按表6另行控制。</w:t>
      </w:r>
    </w:p>
    <w:p>
      <w:pPr>
        <w:pStyle w:val="15"/>
        <w:keepNext/>
      </w:pPr>
      <w:r>
        <w:rPr>
          <w:rFonts w:ascii="Times New Roman" w:hAnsi="Times New Roman" w:eastAsia="宋体"/>
        </w:rPr>
        <w:t>表5　像素、当前区域与历史支持的信息来源对照</w:t>
      </w:r>
    </w:p>
    <w:tbl>
      <w:tblPr>
        <w:tblStyle w:val="33"/>
        <w:tblW w:type="auto" w:w="0"/>
        <w:jc w:val="center"/>
        <w:tblLayout w:type="fixed"/>
        <w:tblLook w:firstColumn="1" w:firstRow="1" w:lastColumn="0" w:lastRow="0" w:noHBand="0" w:noVBand="1" w:val="04A0"/>
      </w:tblPr>
      <w:tblGrid>
        <w:gridCol w:w="802"/>
        <w:gridCol w:w="802"/>
        <w:gridCol w:w="1805"/>
        <w:gridCol w:w="1605"/>
        <w:gridCol w:w="1003"/>
        <w:gridCol w:w="1003"/>
        <w:gridCol w:w="1003"/>
        <w:gridCol w:w="1003"/>
      </w:tblGrid>
      <w:tr>
        <w:trPr>
          <w:tblHeader/>
          <w:cantSplit/>
        </w:trPr>
        <w:tc>
          <w:tcPr>
            <w:tcW w:type="dxa" w:w="802"/>
            <w:vAlign w:val="center"/>
            <w:shd w:fill="E8EDF2"/>
          </w:tcPr>
          <w:p>
            <w:pPr>
              <w:spacing w:before="20" w:after="20" w:line="252" w:lineRule="auto"/>
              <w:ind w:firstLine="0"/>
            </w:pPr>
            <w:r>
              <w:rPr>
                <w:rFonts w:ascii="Times New Roman" w:hAnsi="Times New Roman" w:eastAsia="宋体"/>
                <w:b/>
                <w:sz w:val="15"/>
              </w:rPr>
              <w:t>配置</w:t>
            </w:r>
          </w:p>
        </w:tc>
        <w:tc>
          <w:tcPr>
            <w:tcW w:type="dxa" w:w="802"/>
            <w:vAlign w:val="center"/>
            <w:shd w:fill="E8EDF2"/>
          </w:tcPr>
          <w:p>
            <w:pPr>
              <w:spacing w:before="20" w:after="20" w:line="252" w:lineRule="auto"/>
              <w:ind w:firstLine="0"/>
            </w:pPr>
            <w:r>
              <w:rPr>
                <w:rFonts w:ascii="Times New Roman" w:hAnsi="Times New Roman" w:eastAsia="宋体"/>
                <w:b/>
                <w:sz w:val="15"/>
              </w:rPr>
              <w:t>当前区域</w:t>
            </w:r>
          </w:p>
        </w:tc>
        <w:tc>
          <w:tcPr>
            <w:tcW w:type="dxa" w:w="1805"/>
            <w:vAlign w:val="center"/>
            <w:shd w:fill="E8EDF2"/>
          </w:tcPr>
          <w:p>
            <w:pPr>
              <w:spacing w:before="20" w:after="20" w:line="252" w:lineRule="auto"/>
              <w:ind w:firstLine="0"/>
            </w:pPr>
            <w:r>
              <w:rPr>
                <w:rFonts w:ascii="Times New Roman" w:hAnsi="Times New Roman" w:eastAsia="宋体"/>
                <w:b/>
                <w:sz w:val="15"/>
              </w:rPr>
              <w:t>Reader/支持</w:t>
            </w:r>
          </w:p>
        </w:tc>
        <w:tc>
          <w:tcPr>
            <w:tcW w:type="dxa" w:w="1605"/>
            <w:vAlign w:val="center"/>
            <w:shd w:fill="E8EDF2"/>
          </w:tcPr>
          <w:p>
            <w:pPr>
              <w:spacing w:before="20" w:after="20" w:line="252" w:lineRule="auto"/>
              <w:ind w:firstLine="0"/>
            </w:pPr>
            <w:r>
              <w:rPr>
                <w:rFonts w:ascii="Times New Roman" w:hAnsi="Times New Roman" w:eastAsia="宋体"/>
                <w:b/>
                <w:sz w:val="15"/>
              </w:rPr>
              <w:t>排序</w:t>
            </w:r>
          </w:p>
        </w:tc>
        <w:tc>
          <w:tcPr>
            <w:tcW w:type="dxa" w:w="1003"/>
            <w:vAlign w:val="center"/>
            <w:shd w:fill="E8EDF2"/>
          </w:tcPr>
          <w:p>
            <w:pPr>
              <w:spacing w:before="20" w:after="20" w:line="252" w:lineRule="auto"/>
              <w:ind w:firstLine="0"/>
            </w:pPr>
            <w:r>
              <w:rPr>
                <w:rFonts w:ascii="Times New Roman" w:hAnsi="Times New Roman" w:eastAsia="宋体"/>
                <w:b/>
                <w:sz w:val="15"/>
              </w:rPr>
              <w:t>四类mIoU</w:t>
            </w:r>
          </w:p>
        </w:tc>
        <w:tc>
          <w:tcPr>
            <w:tcW w:type="dxa" w:w="1003"/>
            <w:vAlign w:val="center"/>
            <w:shd w:fill="E8EDF2"/>
          </w:tcPr>
          <w:p>
            <w:pPr>
              <w:spacing w:before="20" w:after="20" w:line="252" w:lineRule="auto"/>
              <w:ind w:firstLine="0"/>
            </w:pPr>
            <w:r>
              <w:rPr>
                <w:rFonts w:ascii="Times New Roman" w:hAnsi="Times New Roman" w:eastAsia="宋体"/>
                <w:b/>
                <w:sz w:val="15"/>
              </w:rPr>
              <w:t>前景mIoU</w:t>
            </w:r>
          </w:p>
        </w:tc>
        <w:tc>
          <w:tcPr>
            <w:tcW w:type="dxa" w:w="1003"/>
            <w:vAlign w:val="center"/>
            <w:shd w:fill="E8EDF2"/>
          </w:tcPr>
          <w:p>
            <w:pPr>
              <w:spacing w:before="20" w:after="20" w:line="252" w:lineRule="auto"/>
              <w:ind w:firstLine="0"/>
            </w:pPr>
            <w:r>
              <w:rPr>
                <w:rFonts w:ascii="Times New Roman" w:hAnsi="Times New Roman" w:eastAsia="宋体"/>
                <w:b/>
                <w:sz w:val="15"/>
              </w:rPr>
              <w:t>受损IoU</w:t>
            </w:r>
          </w:p>
        </w:tc>
        <w:tc>
          <w:tcPr>
            <w:tcW w:type="dxa" w:w="1003"/>
            <w:vAlign w:val="center"/>
            <w:shd w:fill="E8EDF2"/>
          </w:tcPr>
          <w:p>
            <w:pPr>
              <w:spacing w:before="20" w:after="20" w:line="252" w:lineRule="auto"/>
              <w:ind w:firstLine="0"/>
            </w:pPr>
            <w:r>
              <w:rPr>
                <w:rFonts w:ascii="Times New Roman" w:hAnsi="Times New Roman" w:eastAsia="宋体"/>
                <w:b/>
                <w:sz w:val="15"/>
              </w:rPr>
              <w:t>毁坏IoU</w:t>
            </w:r>
          </w:p>
        </w:tc>
      </w:tr>
      <w:tr>
        <w:trPr>
          <w:cantSplit/>
        </w:trPr>
        <w:tc>
          <w:tcPr>
            <w:tcW w:type="dxa" w:w="802"/>
            <w:vAlign w:val="center"/>
          </w:tcPr>
          <w:p>
            <w:pPr>
              <w:spacing w:before="20" w:after="20" w:line="252" w:lineRule="auto"/>
              <w:ind w:firstLine="0"/>
            </w:pPr>
            <w:r>
              <w:rPr>
                <w:rFonts w:ascii="Times New Roman" w:hAnsi="Times New Roman" w:eastAsia="宋体"/>
                <w:b w:val="0"/>
                <w:sz w:val="15"/>
              </w:rPr>
              <w:t>像素基线（分类头适配）</w:t>
            </w:r>
          </w:p>
        </w:tc>
        <w:tc>
          <w:tcPr>
            <w:tcW w:type="dxa" w:w="802"/>
            <w:vAlign w:val="center"/>
          </w:tcPr>
          <w:p>
            <w:pPr>
              <w:spacing w:before="20" w:after="20" w:line="252" w:lineRule="auto"/>
              <w:ind w:firstLine="0"/>
            </w:pPr>
            <w:r>
              <w:rPr>
                <w:rFonts w:ascii="Times New Roman" w:hAnsi="Times New Roman" w:eastAsia="宋体"/>
                <w:b w:val="0"/>
                <w:sz w:val="15"/>
              </w:rPr>
              <w:t>无</w:t>
            </w:r>
          </w:p>
        </w:tc>
        <w:tc>
          <w:tcPr>
            <w:tcW w:type="dxa" w:w="1805"/>
            <w:vAlign w:val="center"/>
          </w:tcPr>
          <w:p>
            <w:pPr>
              <w:spacing w:before="20" w:after="20" w:line="252" w:lineRule="auto"/>
              <w:ind w:firstLine="0"/>
            </w:pPr>
            <w:r>
              <w:rPr>
                <w:rFonts w:ascii="Times New Roman" w:hAnsi="Times New Roman" w:eastAsia="宋体"/>
                <w:b w:val="0"/>
                <w:sz w:val="15"/>
              </w:rPr>
              <w:t>无</w:t>
            </w:r>
          </w:p>
        </w:tc>
        <w:tc>
          <w:tcPr>
            <w:tcW w:type="dxa" w:w="1605"/>
            <w:vAlign w:val="center"/>
          </w:tcPr>
          <w:p>
            <w:pPr>
              <w:spacing w:before="20" w:after="20" w:line="252" w:lineRule="auto"/>
              <w:ind w:firstLine="0"/>
            </w:pPr>
            <w:r>
              <w:rPr>
                <w:rFonts w:ascii="Times New Roman" w:hAnsi="Times New Roman" w:eastAsia="宋体"/>
                <w:b w:val="0"/>
                <w:sz w:val="15"/>
              </w:rPr>
              <w:t>无</w:t>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r>
      <w:tr>
        <w:trPr>
          <w:cantSplit/>
        </w:trPr>
        <w:tc>
          <w:tcPr>
            <w:tcW w:type="dxa" w:w="802"/>
            <w:vAlign w:val="center"/>
          </w:tcPr>
          <w:p>
            <w:pPr>
              <w:spacing w:before="20" w:after="20" w:line="252" w:lineRule="auto"/>
              <w:ind w:firstLine="0"/>
            </w:pPr>
            <w:r>
              <w:rPr>
                <w:rFonts w:ascii="Times New Roman" w:hAnsi="Times New Roman" w:eastAsia="宋体"/>
                <w:b w:val="0"/>
                <w:sz w:val="15"/>
              </w:rPr>
              <w:t>像素—区域联合基线</w:t>
            </w:r>
          </w:p>
        </w:tc>
        <w:tc>
          <w:tcPr>
            <w:tcW w:type="dxa" w:w="802"/>
            <w:vAlign w:val="center"/>
          </w:tcPr>
          <w:p>
            <w:pPr>
              <w:spacing w:before="20" w:after="20" w:line="252" w:lineRule="auto"/>
              <w:ind w:firstLine="0"/>
            </w:pPr>
            <w:r>
              <w:rPr>
                <w:rFonts w:ascii="Times New Roman" w:hAnsi="Times New Roman" w:eastAsia="宋体"/>
                <w:b w:val="0"/>
                <w:sz w:val="15"/>
              </w:rPr>
              <w:t>有</w:t>
            </w:r>
          </w:p>
        </w:tc>
        <w:tc>
          <w:tcPr>
            <w:tcW w:type="dxa" w:w="1805"/>
            <w:vAlign w:val="center"/>
          </w:tcPr>
          <w:p>
            <w:pPr>
              <w:spacing w:before="20" w:after="20" w:line="252" w:lineRule="auto"/>
              <w:ind w:firstLine="0"/>
            </w:pPr>
            <w:r>
              <w:rPr>
                <w:rFonts w:ascii="Times New Roman" w:hAnsi="Times New Roman" w:eastAsia="宋体"/>
                <w:b w:val="0"/>
                <w:sz w:val="15"/>
              </w:rPr>
              <w:t>无Reader</w:t>
            </w:r>
          </w:p>
        </w:tc>
        <w:tc>
          <w:tcPr>
            <w:tcW w:type="dxa" w:w="1605"/>
            <w:vAlign w:val="center"/>
          </w:tcPr>
          <w:p>
            <w:pPr>
              <w:spacing w:before="20" w:after="20" w:line="252" w:lineRule="auto"/>
              <w:ind w:firstLine="0"/>
            </w:pPr>
            <w:r>
              <w:rPr>
                <w:rFonts w:ascii="Times New Roman" w:hAnsi="Times New Roman" w:eastAsia="宋体"/>
                <w:b w:val="0"/>
                <w:sz w:val="15"/>
              </w:rPr>
              <w:t>无</w:t>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r>
      <w:tr>
        <w:trPr>
          <w:cantSplit/>
        </w:trPr>
        <w:tc>
          <w:tcPr>
            <w:tcW w:type="dxa" w:w="802"/>
            <w:vAlign w:val="center"/>
          </w:tcPr>
          <w:p>
            <w:pPr>
              <w:spacing w:before="20" w:after="20" w:line="252" w:lineRule="auto"/>
              <w:ind w:firstLine="0"/>
            </w:pPr>
            <w:r>
              <w:rPr>
                <w:rFonts w:ascii="Times New Roman" w:hAnsi="Times New Roman" w:eastAsia="宋体"/>
                <w:b w:val="0"/>
                <w:sz w:val="15"/>
              </w:rPr>
              <w:t>可学习槽位对照</w:t>
            </w:r>
          </w:p>
        </w:tc>
        <w:tc>
          <w:tcPr>
            <w:tcW w:type="dxa" w:w="802"/>
            <w:vAlign w:val="center"/>
          </w:tcPr>
          <w:p>
            <w:pPr>
              <w:spacing w:before="20" w:after="20" w:line="252" w:lineRule="auto"/>
              <w:ind w:firstLine="0"/>
            </w:pPr>
            <w:r>
              <w:rPr>
                <w:rFonts w:ascii="Times New Roman" w:hAnsi="Times New Roman" w:eastAsia="宋体"/>
                <w:b w:val="0"/>
                <w:sz w:val="15"/>
              </w:rPr>
              <w:t>有</w:t>
            </w:r>
          </w:p>
        </w:tc>
        <w:tc>
          <w:tcPr>
            <w:tcW w:type="dxa" w:w="1805"/>
            <w:vAlign w:val="center"/>
          </w:tcPr>
          <w:p>
            <w:pPr>
              <w:spacing w:before="20" w:after="20" w:line="252" w:lineRule="auto"/>
              <w:ind w:firstLine="0"/>
            </w:pPr>
            <w:r>
              <w:rPr>
                <w:rFonts w:ascii="Times New Roman" w:hAnsi="Times New Roman" w:eastAsia="宋体"/>
                <w:b w:val="0"/>
                <w:sz w:val="15"/>
              </w:rPr>
              <w:t>可学习槽位</w:t>
            </w:r>
          </w:p>
        </w:tc>
        <w:tc>
          <w:tcPr>
            <w:tcW w:type="dxa" w:w="1605"/>
            <w:vAlign w:val="center"/>
          </w:tcPr>
          <w:p>
            <w:pPr>
              <w:spacing w:before="20" w:after="20" w:line="252" w:lineRule="auto"/>
              <w:ind w:firstLine="0"/>
            </w:pPr>
            <w:r>
              <w:rPr>
                <w:rFonts w:ascii="Times New Roman" w:hAnsi="Times New Roman" w:eastAsia="宋体"/>
                <w:b w:val="0"/>
                <w:sz w:val="15"/>
              </w:rPr>
              <w:t>无真实邻居</w:t>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r>
      <w:tr>
        <w:trPr>
          <w:cantSplit/>
        </w:trPr>
        <w:tc>
          <w:tcPr>
            <w:tcW w:type="dxa" w:w="802"/>
            <w:vAlign w:val="center"/>
          </w:tcPr>
          <w:p>
            <w:pPr>
              <w:spacing w:before="20" w:after="20" w:line="252" w:lineRule="auto"/>
              <w:ind w:firstLine="0"/>
            </w:pPr>
            <w:r>
              <w:rPr>
                <w:rFonts w:ascii="Times New Roman" w:hAnsi="Times New Roman" w:eastAsia="宋体"/>
                <w:b w:val="0"/>
                <w:sz w:val="15"/>
              </w:rPr>
              <w:t>余弦检索增强模型</w:t>
            </w:r>
          </w:p>
        </w:tc>
        <w:tc>
          <w:tcPr>
            <w:tcW w:type="dxa" w:w="802"/>
            <w:vAlign w:val="center"/>
          </w:tcPr>
          <w:p>
            <w:pPr>
              <w:spacing w:before="20" w:after="20" w:line="252" w:lineRule="auto"/>
              <w:ind w:firstLine="0"/>
            </w:pPr>
            <w:r>
              <w:rPr>
                <w:rFonts w:ascii="Times New Roman" w:hAnsi="Times New Roman" w:eastAsia="宋体"/>
                <w:b w:val="0"/>
                <w:sz w:val="15"/>
              </w:rPr>
              <w:t>有</w:t>
            </w:r>
          </w:p>
        </w:tc>
        <w:tc>
          <w:tcPr>
            <w:tcW w:type="dxa" w:w="1805"/>
            <w:vAlign w:val="center"/>
          </w:tcPr>
          <w:p>
            <w:pPr>
              <w:spacing w:before="20" w:after="20" w:line="252" w:lineRule="auto"/>
              <w:ind w:firstLine="0"/>
            </w:pPr>
            <w:r>
              <w:rPr>
                <w:rFonts w:ascii="Times New Roman" w:hAnsi="Times New Roman" w:eastAsia="宋体"/>
                <w:b w:val="0"/>
                <w:sz w:val="15"/>
              </w:rPr>
              <w:t>真实Train记录</w:t>
            </w:r>
          </w:p>
        </w:tc>
        <w:tc>
          <w:tcPr>
            <w:tcW w:type="dxa" w:w="1605"/>
            <w:vAlign w:val="center"/>
          </w:tcPr>
          <w:p>
            <w:pPr>
              <w:spacing w:before="20" w:after="20" w:line="252" w:lineRule="auto"/>
              <w:ind w:firstLine="0"/>
            </w:pPr>
            <w:r>
              <w:rPr>
                <w:rFonts w:ascii="Times New Roman" w:hAnsi="Times New Roman" w:eastAsia="宋体"/>
                <w:b w:val="0"/>
                <w:sz w:val="15"/>
              </w:rPr>
              <w:t>原始余弦</w:t>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r>
      <w:tr>
        <w:trPr>
          <w:cantSplit/>
        </w:trPr>
        <w:tc>
          <w:tcPr>
            <w:tcW w:type="dxa" w:w="802"/>
            <w:vAlign w:val="center"/>
          </w:tcPr>
          <w:p>
            <w:pPr>
              <w:spacing w:before="20" w:after="20" w:line="252" w:lineRule="auto"/>
              <w:ind w:firstLine="0"/>
            </w:pPr>
            <w:r>
              <w:rPr>
                <w:rFonts w:ascii="Times New Roman" w:hAnsi="Times New Roman" w:eastAsia="宋体"/>
                <w:b w:val="0"/>
                <w:sz w:val="15"/>
              </w:rPr>
              <w:t>跨事件监督检索增强模型</w:t>
            </w:r>
          </w:p>
        </w:tc>
        <w:tc>
          <w:tcPr>
            <w:tcW w:type="dxa" w:w="802"/>
            <w:vAlign w:val="center"/>
          </w:tcPr>
          <w:p>
            <w:pPr>
              <w:spacing w:before="20" w:after="20" w:line="252" w:lineRule="auto"/>
              <w:ind w:firstLine="0"/>
            </w:pPr>
            <w:r>
              <w:rPr>
                <w:rFonts w:ascii="Times New Roman" w:hAnsi="Times New Roman" w:eastAsia="宋体"/>
                <w:b w:val="0"/>
                <w:sz w:val="15"/>
              </w:rPr>
              <w:t>有</w:t>
            </w:r>
          </w:p>
        </w:tc>
        <w:tc>
          <w:tcPr>
            <w:tcW w:type="dxa" w:w="1805"/>
            <w:vAlign w:val="center"/>
          </w:tcPr>
          <w:p>
            <w:pPr>
              <w:spacing w:before="20" w:after="20" w:line="252" w:lineRule="auto"/>
              <w:ind w:firstLine="0"/>
            </w:pPr>
            <w:r>
              <w:rPr>
                <w:rFonts w:ascii="Times New Roman" w:hAnsi="Times New Roman" w:eastAsia="宋体"/>
                <w:b w:val="0"/>
                <w:sz w:val="15"/>
              </w:rPr>
              <w:t>真实Train记录</w:t>
            </w:r>
          </w:p>
        </w:tc>
        <w:tc>
          <w:tcPr>
            <w:tcW w:type="dxa" w:w="1605"/>
            <w:vAlign w:val="center"/>
          </w:tcPr>
          <w:p>
            <w:pPr>
              <w:spacing w:before="20" w:after="20" w:line="252" w:lineRule="auto"/>
              <w:ind w:firstLine="0"/>
            </w:pPr>
            <w:r>
              <w:rPr>
                <w:rFonts w:ascii="Times New Roman" w:hAnsi="Times New Roman" w:eastAsia="宋体"/>
                <w:b w:val="0"/>
                <w:sz w:val="15"/>
              </w:rPr>
              <w:t>监督投影</w:t>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c>
          <w:tcPr>
            <w:tcW w:type="dxa" w:w="1003"/>
            <w:vAlign w:val="center"/>
          </w:tcPr>
          <w:p>
            <w:pPr>
              <w:spacing w:before="20" w:after="20" w:line="252" w:lineRule="auto"/>
              <w:ind w:firstLine="0"/>
            </w:pPr>
            <w:r>
              <w:rPr>
                <w:rFonts w:ascii="Times New Roman" w:hAnsi="Times New Roman" w:eastAsia="宋体"/>
                <w:b w:val="0"/>
                <w:sz w:val="15"/>
              </w:rPr>
            </w:r>
          </w:p>
        </w:tc>
      </w:tr>
    </w:tbl>
    <w:p>
      <w:pPr>
        <w:widowControl/>
      </w:pPr>
    </w:p>
    <w:p>
      <w:pPr>
        <w:widowControl/>
      </w:pPr>
      <w:r>
        <w:t>比较依次回答四个问题：区域联合相对像素分类头适配，检验当前区域上下文；槽位对照相对区域联合，检验Reader及参数化先验；真实余弦支持相对槽位对照，检验实际训练案例；监督检索相对余弦检索，比较完整排序配置。槽位不是真实历史案例，但也不是没有信息，它可学习全局先验。像素分类头适配只控制训练预算，不自动控制区域或Reader容量。</w:t>
      </w:r>
    </w:p>
    <w:p>
      <w:pPr>
        <w:widowControl/>
      </w:pPr>
      <w:r>
        <w:rPr>
          <w:rFonts w:ascii="Times New Roman" w:hAnsi="Times New Roman" w:eastAsia="宋体"/>
        </w:rPr>
        <w:t>真实支持相对空支持的前景mIoU差值为</w:t>
      </w:r>
      <w:r>
        <w:rPr>
          <w:rFonts w:ascii="Times New Roman" w:hAnsi="Times New Roman" w:eastAsia="宋体"/>
          <w:u w:val="single"/>
        </w:rPr>
        <w:t xml:space="preserve">    </w:t>
      </w:r>
      <w:r>
        <w:rPr>
          <w:rFonts w:ascii="Times New Roman" w:hAnsi="Times New Roman" w:eastAsia="宋体"/>
        </w:rPr>
        <w:t>；学习检索相对原始余弦配置的差值为</w:t>
      </w:r>
      <w:r>
        <w:rPr>
          <w:rFonts w:ascii="Times New Roman" w:hAnsi="Times New Roman" w:eastAsia="宋体"/>
          <w:u w:val="single"/>
        </w:rPr>
        <w:t xml:space="preserve">    </w:t>
      </w:r>
      <w:r>
        <w:rPr>
          <w:rFonts w:ascii="Times New Roman" w:hAnsi="Times New Roman" w:eastAsia="宋体"/>
        </w:rPr>
        <w:t>。两个独立训练Reader的差值包含邻居分布、读取器适应和随机性，不单独证明纯排序贡献。</w:t>
      </w:r>
    </w:p>
    <w:p>
      <w:pPr>
        <w:widowControl/>
      </w:pPr>
      <w:r>
        <w:rPr>
          <w:rFonts w:ascii="Times New Roman" w:hAnsi="Times New Roman" w:eastAsia="宋体"/>
        </w:rPr>
        <w:t>为控制这些因素，使用Train阶段按预先固定比例混合余弦和学习投影邻居训练共同Reader与联合头。评价时固定查询、前端、库、Reader、联合头、K及排除规则，仅替换返回支持ID；实际被选记录的未投影特征、软标签和元数据按ID一致读取。若不用混合训练，则补余弦训练/投影训练×余弦评价/投影评价的完整交叉替换。</w:t>
      </w:r>
    </w:p>
    <w:p>
      <w:pPr>
        <w:pStyle w:val="15"/>
        <w:keepNext/>
      </w:pPr>
      <w:r>
        <w:rPr>
          <w:rFonts w:ascii="Times New Roman" w:hAnsi="Times New Roman" w:eastAsia="宋体"/>
        </w:rPr>
        <w:t>表6　固定Reader与联合头的配对邻居替换</w:t>
      </w:r>
    </w:p>
    <w:tbl>
      <w:tblPr>
        <w:tblStyle w:val="33"/>
        <w:tblW w:type="auto" w:w="0"/>
        <w:jc w:val="center"/>
        <w:tblLayout w:type="fixed"/>
        <w:tblLook w:firstColumn="1" w:firstRow="1" w:lastColumn="0" w:lastRow="0" w:noHBand="0" w:noVBand="1" w:val="04A0"/>
      </w:tblPr>
      <w:tblGrid>
        <w:gridCol w:w="934"/>
        <w:gridCol w:w="2075"/>
        <w:gridCol w:w="1867"/>
        <w:gridCol w:w="1037"/>
        <w:gridCol w:w="1037"/>
        <w:gridCol w:w="1037"/>
        <w:gridCol w:w="1037"/>
      </w:tblGrid>
      <w:tr>
        <w:trPr>
          <w:tblHeader/>
          <w:cantSplit/>
        </w:trPr>
        <w:tc>
          <w:tcPr>
            <w:tcW w:type="dxa" w:w="934"/>
            <w:vAlign w:val="center"/>
            <w:shd w:fill="E8EDF2"/>
          </w:tcPr>
          <w:p>
            <w:pPr>
              <w:spacing w:before="20" w:after="20" w:line="252" w:lineRule="auto"/>
              <w:ind w:firstLine="0"/>
            </w:pPr>
            <w:r>
              <w:rPr>
                <w:rFonts w:ascii="Times New Roman" w:hAnsi="Times New Roman" w:eastAsia="宋体"/>
                <w:b/>
                <w:sz w:val="17"/>
              </w:rPr>
              <w:t>配置</w:t>
            </w:r>
          </w:p>
        </w:tc>
        <w:tc>
          <w:tcPr>
            <w:tcW w:type="dxa" w:w="2075"/>
            <w:vAlign w:val="center"/>
            <w:shd w:fill="E8EDF2"/>
          </w:tcPr>
          <w:p>
            <w:pPr>
              <w:spacing w:before="20" w:after="20" w:line="252" w:lineRule="auto"/>
              <w:ind w:firstLine="0"/>
            </w:pPr>
            <w:r>
              <w:rPr>
                <w:rFonts w:ascii="Times New Roman" w:hAnsi="Times New Roman" w:eastAsia="宋体"/>
                <w:b/>
                <w:sz w:val="17"/>
              </w:rPr>
              <w:t>固定权重</w:t>
            </w:r>
          </w:p>
        </w:tc>
        <w:tc>
          <w:tcPr>
            <w:tcW w:type="dxa" w:w="1867"/>
            <w:vAlign w:val="center"/>
            <w:shd w:fill="E8EDF2"/>
          </w:tcPr>
          <w:p>
            <w:pPr>
              <w:spacing w:before="20" w:after="20" w:line="252" w:lineRule="auto"/>
              <w:ind w:firstLine="0"/>
            </w:pPr>
            <w:r>
              <w:rPr>
                <w:rFonts w:ascii="Times New Roman" w:hAnsi="Times New Roman" w:eastAsia="宋体"/>
                <w:b/>
                <w:sz w:val="17"/>
              </w:rPr>
              <w:t>评价邻居ID</w:t>
            </w:r>
          </w:p>
        </w:tc>
        <w:tc>
          <w:tcPr>
            <w:tcW w:type="dxa" w:w="1037"/>
            <w:vAlign w:val="center"/>
            <w:shd w:fill="E8EDF2"/>
          </w:tcPr>
          <w:p>
            <w:pPr>
              <w:spacing w:before="20" w:after="20" w:line="252" w:lineRule="auto"/>
              <w:ind w:firstLine="0"/>
            </w:pPr>
            <w:r>
              <w:rPr>
                <w:rFonts w:ascii="Times New Roman" w:hAnsi="Times New Roman" w:eastAsia="宋体"/>
                <w:b/>
                <w:sz w:val="17"/>
              </w:rPr>
              <w:t>四类mIoU</w:t>
            </w:r>
          </w:p>
        </w:tc>
        <w:tc>
          <w:tcPr>
            <w:tcW w:type="dxa" w:w="1037"/>
            <w:vAlign w:val="center"/>
            <w:shd w:fill="E8EDF2"/>
          </w:tcPr>
          <w:p>
            <w:pPr>
              <w:spacing w:before="20" w:after="20" w:line="252" w:lineRule="auto"/>
              <w:ind w:firstLine="0"/>
            </w:pPr>
            <w:r>
              <w:rPr>
                <w:rFonts w:ascii="Times New Roman" w:hAnsi="Times New Roman" w:eastAsia="宋体"/>
                <w:b/>
                <w:sz w:val="17"/>
              </w:rPr>
              <w:t>前景mIoU</w:t>
            </w:r>
          </w:p>
        </w:tc>
        <w:tc>
          <w:tcPr>
            <w:tcW w:type="dxa" w:w="1037"/>
            <w:vAlign w:val="center"/>
            <w:shd w:fill="E8EDF2"/>
          </w:tcPr>
          <w:p>
            <w:pPr>
              <w:spacing w:before="20" w:after="20" w:line="252" w:lineRule="auto"/>
              <w:ind w:firstLine="0"/>
            </w:pPr>
            <w:r>
              <w:rPr>
                <w:rFonts w:ascii="Times New Roman" w:hAnsi="Times New Roman" w:eastAsia="宋体"/>
                <w:b/>
                <w:sz w:val="17"/>
              </w:rPr>
              <w:t>受损IoU</w:t>
            </w:r>
          </w:p>
        </w:tc>
        <w:tc>
          <w:tcPr>
            <w:tcW w:type="dxa" w:w="1037"/>
            <w:vAlign w:val="center"/>
            <w:shd w:fill="E8EDF2"/>
          </w:tcPr>
          <w:p>
            <w:pPr>
              <w:spacing w:before="20" w:after="20" w:line="252" w:lineRule="auto"/>
              <w:ind w:firstLine="0"/>
            </w:pPr>
            <w:r>
              <w:rPr>
                <w:rFonts w:ascii="Times New Roman" w:hAnsi="Times New Roman" w:eastAsia="宋体"/>
                <w:b/>
                <w:sz w:val="17"/>
              </w:rPr>
              <w:t>毁坏IoU</w:t>
            </w:r>
          </w:p>
        </w:tc>
      </w:tr>
      <w:tr>
        <w:trPr>
          <w:cantSplit/>
        </w:trPr>
        <w:tc>
          <w:tcPr>
            <w:tcW w:type="dxa" w:w="934"/>
            <w:vAlign w:val="center"/>
          </w:tcPr>
          <w:p>
            <w:pPr>
              <w:spacing w:before="20" w:after="20" w:line="252" w:lineRule="auto"/>
              <w:ind w:firstLine="0"/>
            </w:pPr>
            <w:r>
              <w:rPr>
                <w:rFonts w:ascii="Times New Roman" w:hAnsi="Times New Roman" w:eastAsia="宋体"/>
                <w:b w:val="0"/>
                <w:sz w:val="17"/>
              </w:rPr>
              <w:t>Pair-A</w:t>
            </w:r>
          </w:p>
        </w:tc>
        <w:tc>
          <w:tcPr>
            <w:tcW w:type="dxa" w:w="2075"/>
            <w:vAlign w:val="center"/>
          </w:tcPr>
          <w:p>
            <w:pPr>
              <w:spacing w:before="20" w:after="20" w:line="252" w:lineRule="auto"/>
              <w:ind w:firstLine="0"/>
            </w:pPr>
            <w:r>
              <w:rPr>
                <w:rFonts w:ascii="Times New Roman" w:hAnsi="Times New Roman" w:eastAsia="宋体"/>
                <w:b w:val="0"/>
                <w:sz w:val="17"/>
              </w:rPr>
              <w:t>同一共同Reader/头</w:t>
            </w:r>
          </w:p>
        </w:tc>
        <w:tc>
          <w:tcPr>
            <w:tcW w:type="dxa" w:w="1867"/>
            <w:vAlign w:val="center"/>
          </w:tcPr>
          <w:p>
            <w:pPr>
              <w:spacing w:before="20" w:after="20" w:line="252" w:lineRule="auto"/>
              <w:ind w:firstLine="0"/>
            </w:pPr>
            <w:r>
              <w:rPr>
                <w:rFonts w:ascii="Times New Roman" w:hAnsi="Times New Roman" w:eastAsia="宋体"/>
                <w:b w:val="0"/>
                <w:sz w:val="17"/>
              </w:rPr>
              <w:t>余弦Top-8</w:t>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r>
      <w:tr>
        <w:trPr>
          <w:cantSplit/>
        </w:trPr>
        <w:tc>
          <w:tcPr>
            <w:tcW w:type="dxa" w:w="934"/>
            <w:vAlign w:val="center"/>
          </w:tcPr>
          <w:p>
            <w:pPr>
              <w:spacing w:before="20" w:after="20" w:line="252" w:lineRule="auto"/>
              <w:ind w:firstLine="0"/>
            </w:pPr>
            <w:r>
              <w:rPr>
                <w:rFonts w:ascii="Times New Roman" w:hAnsi="Times New Roman" w:eastAsia="宋体"/>
                <w:b w:val="0"/>
                <w:sz w:val="17"/>
              </w:rPr>
              <w:t>Pair-B</w:t>
            </w:r>
          </w:p>
        </w:tc>
        <w:tc>
          <w:tcPr>
            <w:tcW w:type="dxa" w:w="2075"/>
            <w:vAlign w:val="center"/>
          </w:tcPr>
          <w:p>
            <w:pPr>
              <w:spacing w:before="20" w:after="20" w:line="252" w:lineRule="auto"/>
              <w:ind w:firstLine="0"/>
            </w:pPr>
            <w:r>
              <w:rPr>
                <w:rFonts w:ascii="Times New Roman" w:hAnsi="Times New Roman" w:eastAsia="宋体"/>
                <w:b w:val="0"/>
                <w:sz w:val="17"/>
              </w:rPr>
              <w:t>同一共同Reader/头</w:t>
            </w:r>
          </w:p>
        </w:tc>
        <w:tc>
          <w:tcPr>
            <w:tcW w:type="dxa" w:w="1867"/>
            <w:vAlign w:val="center"/>
          </w:tcPr>
          <w:p>
            <w:pPr>
              <w:spacing w:before="20" w:after="20" w:line="252" w:lineRule="auto"/>
              <w:ind w:firstLine="0"/>
            </w:pPr>
            <w:r>
              <w:rPr>
                <w:rFonts w:ascii="Times New Roman" w:hAnsi="Times New Roman" w:eastAsia="宋体"/>
                <w:b w:val="0"/>
                <w:sz w:val="17"/>
              </w:rPr>
              <w:t>投影Top-8</w:t>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c>
          <w:tcPr>
            <w:tcW w:type="dxa" w:w="1037"/>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固定Reader下两种排序的前景mIoU差值为</w:t>
      </w:r>
      <w:r>
        <w:rPr>
          <w:rFonts w:ascii="Times New Roman" w:hAnsi="Times New Roman" w:eastAsia="宋体"/>
          <w:u w:val="single"/>
        </w:rPr>
        <w:t xml:space="preserve">    </w:t>
      </w:r>
      <w:r>
        <w:rPr>
          <w:rFonts w:ascii="Times New Roman" w:hAnsi="Times New Roman" w:eastAsia="宋体"/>
        </w:rPr>
        <w:t>，受损与毁坏IoU差值为</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。该配对结果用于检验支持选择的作用；如果只有分别训练的配置不同而配对差值不支持，不将其写成纯排序增益。</w:t>
      </w:r>
    </w:p>
    <w:p>
      <w:pPr>
        <w:pStyle w:val="4"/>
        <w:keepNext/>
      </w:pPr>
      <w:r>
        <w:rPr>
          <w:rFonts w:ascii="Times New Roman" w:hAnsi="Times New Roman" w:eastAsia="宋体"/>
        </w:rPr>
        <w:t>E. 检索质量与支持内容分析</w:t>
      </w:r>
    </w:p>
    <w:p>
      <w:pPr>
        <w:widowControl/>
      </w:pPr>
      <w:r>
        <w:rPr>
          <w:rFonts w:ascii="Times New Roman" w:hAnsi="Times New Roman" w:eastAsia="宋体"/>
        </w:rPr>
        <w:t>表7在固定区域表示、成员、K和候选排除规则下比较原始余弦、普通监督投影及跨事件监督投影。普通监督只放宽事件限制，仍排除锚点自身与同图像；两种投影匹配有效锚点、类别采样、正负候选规模与更新预算。所有评价统一排除同事件及同图像支持。</w:t>
      </w:r>
    </w:p>
    <w:p>
      <w:pPr>
        <w:pStyle w:val="15"/>
        <w:keepNext/>
      </w:pPr>
      <w:r>
        <w:rPr>
          <w:rFonts w:ascii="Times New Roman" w:hAnsi="Times New Roman" w:eastAsia="宋体"/>
        </w:rPr>
        <w:t>表7　检索相关性与支持可用性</w:t>
      </w:r>
    </w:p>
    <w:tbl>
      <w:tblPr>
        <w:tblStyle w:val="33"/>
        <w:tblW w:type="auto" w:w="0"/>
        <w:jc w:val="center"/>
        <w:tblLayout w:type="fixed"/>
        <w:tblLook w:firstColumn="1" w:firstRow="1" w:lastColumn="0" w:lastRow="0" w:noHBand="0" w:noVBand="1" w:val="04A0"/>
      </w:tblPr>
      <w:tblGrid>
        <w:gridCol w:w="2501"/>
        <w:gridCol w:w="1087"/>
        <w:gridCol w:w="1087"/>
        <w:gridCol w:w="1087"/>
        <w:gridCol w:w="1087"/>
        <w:gridCol w:w="1087"/>
        <w:gridCol w:w="1087"/>
      </w:tblGrid>
      <w:tr>
        <w:trPr>
          <w:tblHeader/>
          <w:cantSplit/>
        </w:trPr>
        <w:tc>
          <w:tcPr>
            <w:tcW w:type="dxa" w:w="2501"/>
            <w:vAlign w:val="center"/>
            <w:shd w:fill="E8EDF2"/>
          </w:tcPr>
          <w:p>
            <w:pPr>
              <w:spacing w:before="20" w:after="20" w:line="252" w:lineRule="auto"/>
              <w:ind w:firstLine="0"/>
            </w:pPr>
            <w:r>
              <w:rPr>
                <w:rFonts w:ascii="Times New Roman" w:hAnsi="Times New Roman" w:eastAsia="宋体"/>
                <w:b/>
                <w:sz w:val="17"/>
              </w:rPr>
              <w:t>排序方式</w:t>
            </w:r>
          </w:p>
        </w:tc>
        <w:tc>
          <w:tcPr>
            <w:tcW w:type="dxa" w:w="1087"/>
            <w:vAlign w:val="center"/>
            <w:shd w:fill="E8EDF2"/>
          </w:tcPr>
          <w:p>
            <w:pPr>
              <w:spacing w:before="20" w:after="20" w:line="252" w:lineRule="auto"/>
              <w:ind w:firstLine="0"/>
            </w:pPr>
            <w:r>
              <w:rPr>
                <w:rFonts w:ascii="Times New Roman" w:hAnsi="Times New Roman" w:eastAsia="宋体"/>
                <w:b/>
                <w:sz w:val="17"/>
              </w:rPr>
              <w:t>宏平均P@8</w:t>
            </w:r>
          </w:p>
        </w:tc>
        <w:tc>
          <w:tcPr>
            <w:tcW w:type="dxa" w:w="1087"/>
            <w:vAlign w:val="center"/>
            <w:shd w:fill="E8EDF2"/>
          </w:tcPr>
          <w:p>
            <w:pPr>
              <w:spacing w:before="20" w:after="20" w:line="252" w:lineRule="auto"/>
              <w:ind w:firstLine="0"/>
            </w:pPr>
            <w:r>
              <w:rPr>
                <w:rFonts w:ascii="Times New Roman" w:hAnsi="Times New Roman" w:eastAsia="宋体"/>
                <w:b/>
                <w:sz w:val="17"/>
              </w:rPr>
              <w:t>软组成相关度</w:t>
            </w:r>
          </w:p>
        </w:tc>
        <w:tc>
          <w:tcPr>
            <w:tcW w:type="dxa" w:w="1087"/>
            <w:vAlign w:val="center"/>
            <w:shd w:fill="E8EDF2"/>
          </w:tcPr>
          <w:p>
            <w:pPr>
              <w:spacing w:before="20" w:after="20" w:line="252" w:lineRule="auto"/>
              <w:ind w:firstLine="0"/>
            </w:pPr>
            <w:r>
              <w:rPr>
                <w:rFonts w:ascii="Times New Roman" w:hAnsi="Times New Roman" w:eastAsia="宋体"/>
                <w:b/>
                <w:sz w:val="17"/>
              </w:rPr>
              <w:t>有效槽位率</w:t>
            </w:r>
          </w:p>
        </w:tc>
        <w:tc>
          <w:tcPr>
            <w:tcW w:type="dxa" w:w="1087"/>
            <w:vAlign w:val="center"/>
            <w:shd w:fill="E8EDF2"/>
          </w:tcPr>
          <w:p>
            <w:pPr>
              <w:spacing w:before="20" w:after="20" w:line="252" w:lineRule="auto"/>
              <w:ind w:firstLine="0"/>
            </w:pPr>
            <w:r>
              <w:rPr>
                <w:rFonts w:ascii="Times New Roman" w:hAnsi="Times New Roman" w:eastAsia="宋体"/>
                <w:b/>
                <w:sz w:val="17"/>
              </w:rPr>
              <w:t>满8支持查询率</w:t>
            </w:r>
          </w:p>
        </w:tc>
        <w:tc>
          <w:tcPr>
            <w:tcW w:type="dxa" w:w="1087"/>
            <w:vAlign w:val="center"/>
            <w:shd w:fill="E8EDF2"/>
          </w:tcPr>
          <w:p>
            <w:pPr>
              <w:spacing w:before="20" w:after="20" w:line="252" w:lineRule="auto"/>
              <w:ind w:firstLine="0"/>
            </w:pPr>
            <w:r>
              <w:rPr>
                <w:rFonts w:ascii="Times New Roman" w:hAnsi="Times New Roman" w:eastAsia="宋体"/>
                <w:b/>
                <w:sz w:val="17"/>
              </w:rPr>
              <w:t>受损Hit@8</w:t>
            </w:r>
          </w:p>
        </w:tc>
        <w:tc>
          <w:tcPr>
            <w:tcW w:type="dxa" w:w="1087"/>
            <w:vAlign w:val="center"/>
            <w:shd w:fill="E8EDF2"/>
          </w:tcPr>
          <w:p>
            <w:pPr>
              <w:spacing w:before="20" w:after="20" w:line="252" w:lineRule="auto"/>
              <w:ind w:firstLine="0"/>
            </w:pPr>
            <w:r>
              <w:rPr>
                <w:rFonts w:ascii="Times New Roman" w:hAnsi="Times New Roman" w:eastAsia="宋体"/>
                <w:b/>
                <w:sz w:val="17"/>
              </w:rPr>
              <w:t>毁坏Hit@8</w:t>
            </w:r>
          </w:p>
        </w:tc>
      </w:tr>
      <w:tr>
        <w:trPr>
          <w:cantSplit/>
        </w:trPr>
        <w:tc>
          <w:tcPr>
            <w:tcW w:type="dxa" w:w="2501"/>
            <w:vAlign w:val="center"/>
          </w:tcPr>
          <w:p>
            <w:pPr>
              <w:spacing w:before="20" w:after="20" w:line="252" w:lineRule="auto"/>
              <w:ind w:firstLine="0"/>
            </w:pPr>
            <w:r>
              <w:rPr>
                <w:rFonts w:ascii="Times New Roman" w:hAnsi="Times New Roman" w:eastAsia="宋体"/>
                <w:b w:val="0"/>
                <w:sz w:val="17"/>
              </w:rPr>
              <w:t>原始余弦</w:t>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r>
      <w:tr>
        <w:trPr>
          <w:cantSplit/>
        </w:trPr>
        <w:tc>
          <w:tcPr>
            <w:tcW w:type="dxa" w:w="2501"/>
            <w:vAlign w:val="center"/>
          </w:tcPr>
          <w:p>
            <w:pPr>
              <w:spacing w:before="20" w:after="20" w:line="252" w:lineRule="auto"/>
              <w:ind w:firstLine="0"/>
            </w:pPr>
            <w:r>
              <w:rPr>
                <w:rFonts w:ascii="Times New Roman" w:hAnsi="Times New Roman" w:eastAsia="宋体"/>
                <w:b w:val="0"/>
                <w:sz w:val="17"/>
              </w:rPr>
              <w:t>不限事件的监督投影</w:t>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r>
      <w:tr>
        <w:trPr>
          <w:cantSplit/>
        </w:trPr>
        <w:tc>
          <w:tcPr>
            <w:tcW w:type="dxa" w:w="2501"/>
            <w:vAlign w:val="center"/>
          </w:tcPr>
          <w:p>
            <w:pPr>
              <w:spacing w:before="20" w:after="20" w:line="252" w:lineRule="auto"/>
              <w:ind w:firstLine="0"/>
            </w:pPr>
            <w:r>
              <w:rPr>
                <w:rFonts w:ascii="Times New Roman" w:hAnsi="Times New Roman" w:eastAsia="宋体"/>
                <w:b w:val="0"/>
                <w:sz w:val="17"/>
              </w:rPr>
              <w:t>跨事件监督投影</w:t>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c>
          <w:tcPr>
            <w:tcW w:type="dxa" w:w="1087"/>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对四类主类纯度达到统一阈值的查询，P@8定义为8个返回槽位中支持主类与查询主类一致的比例；无效/替代槽不计为命中。该指标不是“8个邻居投票后是否一致”的准确率。对所有有效查询另报其软标签分布与真实支持分布内积的平均，填槽部分单独屏蔽并报告分母；不静默去背景再归一化。按查询类别和事件分组与宏平均，避免背景或大事件主导。</w:t>
      </w:r>
    </w:p>
    <w:p>
      <w:pPr>
        <w:widowControl/>
      </w:pPr>
      <w:r>
        <w:rPr>
          <w:rFonts w:ascii="Times New Roman" w:hAnsi="Times New Roman" w:eastAsia="宋体"/>
        </w:rPr>
        <w:t>有效槽位率是返回的真实合格支持数除以8，满8支持查询率是具有8条真实支持的查询比例；因同事件已被排除，这两项主要衡量可用性，不证明语义相关。受损/毁坏Hit@8分别在对应高纯度查询中统计是否至少命中一条同主类支持，同时报告查询数及候选池是否存在同类证据。评测标签只用于评分，不进入检索和读取。</w:t>
      </w:r>
    </w:p>
    <w:p>
      <w:pPr>
        <w:widowControl/>
      </w:pPr>
      <w:r>
        <w:rPr>
          <w:rFonts w:ascii="Times New Roman" w:hAnsi="Times New Roman" w:eastAsia="宋体"/>
        </w:rPr>
        <w:t>学习排序对应的P@8、软组成相关度和受损/毁坏Hit@8分别为</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。这些变化与表6最终分类差值分开讨论；若邻居指标改善而分类不改善，结论仅限支持选择。</w:t>
      </w:r>
    </w:p>
    <w:p>
      <w:pPr>
        <w:widowControl/>
      </w:pPr>
      <w:r>
        <w:rPr>
          <w:rFonts w:ascii="Times New Roman" w:hAnsi="Times New Roman" w:eastAsia="宋体"/>
        </w:rPr>
        <w:t>图8(a)在固定排序与候选上统计K=1、2、4、8、16的类别相关性和Hit@K，不为每个K另挑模型；图8(b)显示同一查询在两种排序下的光学/SAR支持裁块、Train标签组成、事件、ID和相似度。至少覆盖改善、持平及退化案例，相似度不能替代损毁相关性判断。</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图8　检索相关性曲线与实际训练支持案例</w:t>
      </w:r>
    </w:p>
    <w:p>
      <w:pPr>
        <w:widowControl/>
      </w:pPr>
      <w:r>
        <w:rPr>
          <w:rFonts w:ascii="Times New Roman" w:hAnsi="Times New Roman" w:eastAsia="宋体"/>
        </w:rPr>
        <w:t>表8区分重新训练的输入消融与固定权重推理干预。前者用于检验对应信息的训练增量；后者用于检验已训练模型的依赖与脆弱性。固定邻居ID去标签或元数据后，需按同预算重新训练Reader；随机邻居从相同合格候选池抽样并重复；标签扰动在记录间置换，保留类别边际分布和种子记录。</w:t>
      </w:r>
    </w:p>
    <w:p>
      <w:pPr>
        <w:pStyle w:val="15"/>
        <w:keepNext/>
      </w:pPr>
      <w:r>
        <w:rPr>
          <w:rFonts w:ascii="Times New Roman" w:hAnsi="Times New Roman" w:eastAsia="宋体"/>
        </w:rPr>
        <w:t>表8　支持标签、元数据与读取依赖</w:t>
      </w:r>
    </w:p>
    <w:tbl>
      <w:tblPr>
        <w:tblStyle w:val="33"/>
        <w:tblW w:type="auto" w:w="0"/>
        <w:jc w:val="center"/>
        <w:tblLayout w:type="fixed"/>
        <w:tblLook w:firstColumn="1" w:firstRow="1" w:lastColumn="0" w:lastRow="0" w:noHBand="0" w:noVBand="1" w:val="04A0"/>
      </w:tblPr>
      <w:tblGrid>
        <w:gridCol w:w="2471"/>
        <w:gridCol w:w="2256"/>
        <w:gridCol w:w="1075"/>
        <w:gridCol w:w="1075"/>
        <w:gridCol w:w="1075"/>
        <w:gridCol w:w="1075"/>
      </w:tblGrid>
      <w:tr>
        <w:trPr>
          <w:tblHeader/>
          <w:cantSplit/>
        </w:trPr>
        <w:tc>
          <w:tcPr>
            <w:tcW w:type="dxa" w:w="2471"/>
            <w:vAlign w:val="center"/>
            <w:shd w:fill="E8EDF2"/>
          </w:tcPr>
          <w:p>
            <w:pPr>
              <w:spacing w:before="20" w:after="20" w:line="252" w:lineRule="auto"/>
              <w:ind w:firstLine="0"/>
            </w:pPr>
            <w:r>
              <w:rPr>
                <w:rFonts w:ascii="Times New Roman" w:hAnsi="Times New Roman" w:eastAsia="宋体"/>
                <w:b/>
                <w:sz w:val="17"/>
              </w:rPr>
              <w:t>支持设置</w:t>
            </w:r>
          </w:p>
        </w:tc>
        <w:tc>
          <w:tcPr>
            <w:tcW w:type="dxa" w:w="2256"/>
            <w:vAlign w:val="center"/>
            <w:shd w:fill="E8EDF2"/>
          </w:tcPr>
          <w:p>
            <w:pPr>
              <w:spacing w:before="20" w:after="20" w:line="252" w:lineRule="auto"/>
              <w:ind w:firstLine="0"/>
            </w:pPr>
            <w:r>
              <w:rPr>
                <w:rFonts w:ascii="Times New Roman" w:hAnsi="Times New Roman" w:eastAsia="宋体"/>
                <w:b/>
                <w:sz w:val="17"/>
              </w:rPr>
              <w:t>操作阶段</w:t>
            </w:r>
          </w:p>
        </w:tc>
        <w:tc>
          <w:tcPr>
            <w:tcW w:type="dxa" w:w="1075"/>
            <w:vAlign w:val="center"/>
            <w:shd w:fill="E8EDF2"/>
          </w:tcPr>
          <w:p>
            <w:pPr>
              <w:spacing w:before="20" w:after="20" w:line="252" w:lineRule="auto"/>
              <w:ind w:firstLine="0"/>
            </w:pPr>
            <w:r>
              <w:rPr>
                <w:rFonts w:ascii="Times New Roman" w:hAnsi="Times New Roman" w:eastAsia="宋体"/>
                <w:b/>
                <w:sz w:val="17"/>
              </w:rPr>
              <w:t>四类mIoU</w:t>
            </w:r>
          </w:p>
        </w:tc>
        <w:tc>
          <w:tcPr>
            <w:tcW w:type="dxa" w:w="1075"/>
            <w:vAlign w:val="center"/>
            <w:shd w:fill="E8EDF2"/>
          </w:tcPr>
          <w:p>
            <w:pPr>
              <w:spacing w:before="20" w:after="20" w:line="252" w:lineRule="auto"/>
              <w:ind w:firstLine="0"/>
            </w:pPr>
            <w:r>
              <w:rPr>
                <w:rFonts w:ascii="Times New Roman" w:hAnsi="Times New Roman" w:eastAsia="宋体"/>
                <w:b/>
                <w:sz w:val="17"/>
              </w:rPr>
              <w:t>前景mIoU</w:t>
            </w:r>
          </w:p>
        </w:tc>
        <w:tc>
          <w:tcPr>
            <w:tcW w:type="dxa" w:w="1075"/>
            <w:vAlign w:val="center"/>
            <w:shd w:fill="E8EDF2"/>
          </w:tcPr>
          <w:p>
            <w:pPr>
              <w:spacing w:before="20" w:after="20" w:line="252" w:lineRule="auto"/>
              <w:ind w:firstLine="0"/>
            </w:pPr>
            <w:r>
              <w:rPr>
                <w:rFonts w:ascii="Times New Roman" w:hAnsi="Times New Roman" w:eastAsia="宋体"/>
                <w:b/>
                <w:sz w:val="17"/>
              </w:rPr>
              <w:t>受损IoU</w:t>
            </w:r>
          </w:p>
        </w:tc>
        <w:tc>
          <w:tcPr>
            <w:tcW w:type="dxa" w:w="1075"/>
            <w:vAlign w:val="center"/>
            <w:shd w:fill="E8EDF2"/>
          </w:tcPr>
          <w:p>
            <w:pPr>
              <w:spacing w:before="20" w:after="20" w:line="252" w:lineRule="auto"/>
              <w:ind w:firstLine="0"/>
            </w:pPr>
            <w:r>
              <w:rPr>
                <w:rFonts w:ascii="Times New Roman" w:hAnsi="Times New Roman" w:eastAsia="宋体"/>
                <w:b/>
                <w:sz w:val="17"/>
              </w:rPr>
              <w:t>毁坏IoU</w:t>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完整软标签与元数据</w:t>
            </w:r>
          </w:p>
        </w:tc>
        <w:tc>
          <w:tcPr>
            <w:tcW w:type="dxa" w:w="2256"/>
            <w:vAlign w:val="center"/>
          </w:tcPr>
          <w:p>
            <w:pPr>
              <w:spacing w:before="20" w:after="20" w:line="252" w:lineRule="auto"/>
              <w:ind w:firstLine="0"/>
            </w:pPr>
            <w:r>
              <w:rPr>
                <w:rFonts w:ascii="Times New Roman" w:hAnsi="Times New Roman" w:eastAsia="宋体"/>
                <w:b w:val="0"/>
                <w:sz w:val="17"/>
              </w:rPr>
              <w:t>重新训练/基准</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仅多数类标签</w:t>
            </w:r>
          </w:p>
        </w:tc>
        <w:tc>
          <w:tcPr>
            <w:tcW w:type="dxa" w:w="2256"/>
            <w:vAlign w:val="center"/>
          </w:tcPr>
          <w:p>
            <w:pPr>
              <w:spacing w:before="20" w:after="20" w:line="252" w:lineRule="auto"/>
              <w:ind w:firstLine="0"/>
            </w:pPr>
            <w:r>
              <w:rPr>
                <w:rFonts w:ascii="Times New Roman" w:hAnsi="Times New Roman" w:eastAsia="宋体"/>
                <w:b w:val="0"/>
                <w:sz w:val="17"/>
              </w:rPr>
              <w:t>重新训练</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去标签</w:t>
            </w:r>
          </w:p>
        </w:tc>
        <w:tc>
          <w:tcPr>
            <w:tcW w:type="dxa" w:w="2256"/>
            <w:vAlign w:val="center"/>
          </w:tcPr>
          <w:p>
            <w:pPr>
              <w:spacing w:before="20" w:after="20" w:line="252" w:lineRule="auto"/>
              <w:ind w:firstLine="0"/>
            </w:pPr>
            <w:r>
              <w:rPr>
                <w:rFonts w:ascii="Times New Roman" w:hAnsi="Times New Roman" w:eastAsia="宋体"/>
                <w:b w:val="0"/>
                <w:sz w:val="17"/>
              </w:rPr>
              <w:t>重新训练</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去全部元数据</w:t>
            </w:r>
          </w:p>
        </w:tc>
        <w:tc>
          <w:tcPr>
            <w:tcW w:type="dxa" w:w="2256"/>
            <w:vAlign w:val="center"/>
          </w:tcPr>
          <w:p>
            <w:pPr>
              <w:spacing w:before="20" w:after="20" w:line="252" w:lineRule="auto"/>
              <w:ind w:firstLine="0"/>
            </w:pPr>
            <w:r>
              <w:rPr>
                <w:rFonts w:ascii="Times New Roman" w:hAnsi="Times New Roman" w:eastAsia="宋体"/>
                <w:b w:val="0"/>
                <w:sz w:val="17"/>
              </w:rPr>
              <w:t>重新训练</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去事件/灾种/几何之一</w:t>
            </w:r>
          </w:p>
        </w:tc>
        <w:tc>
          <w:tcPr>
            <w:tcW w:type="dxa" w:w="2256"/>
            <w:vAlign w:val="center"/>
          </w:tcPr>
          <w:p>
            <w:pPr>
              <w:spacing w:before="20" w:after="20" w:line="252" w:lineRule="auto"/>
              <w:ind w:firstLine="0"/>
            </w:pPr>
            <w:r>
              <w:rPr>
                <w:rFonts w:ascii="Times New Roman" w:hAnsi="Times New Roman" w:eastAsia="宋体"/>
                <w:b w:val="0"/>
                <w:sz w:val="17"/>
              </w:rPr>
              <w:t>分别重训</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随机合格支持</w:t>
            </w:r>
          </w:p>
        </w:tc>
        <w:tc>
          <w:tcPr>
            <w:tcW w:type="dxa" w:w="2256"/>
            <w:vAlign w:val="center"/>
          </w:tcPr>
          <w:p>
            <w:pPr>
              <w:spacing w:before="20" w:after="20" w:line="252" w:lineRule="auto"/>
              <w:ind w:firstLine="0"/>
            </w:pPr>
            <w:r>
              <w:rPr>
                <w:rFonts w:ascii="Times New Roman" w:hAnsi="Times New Roman" w:eastAsia="宋体"/>
                <w:b w:val="0"/>
                <w:sz w:val="17"/>
              </w:rPr>
              <w:t>固定权重，多次抽样</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标签置换</w:t>
            </w:r>
          </w:p>
        </w:tc>
        <w:tc>
          <w:tcPr>
            <w:tcW w:type="dxa" w:w="2256"/>
            <w:vAlign w:val="center"/>
          </w:tcPr>
          <w:p>
            <w:pPr>
              <w:spacing w:before="20" w:after="20" w:line="252" w:lineRule="auto"/>
              <w:ind w:firstLine="0"/>
            </w:pPr>
            <w:r>
              <w:rPr>
                <w:rFonts w:ascii="Times New Roman" w:hAnsi="Times New Roman" w:eastAsia="宋体"/>
                <w:b w:val="0"/>
                <w:sz w:val="17"/>
              </w:rPr>
              <w:t>固定权重，多次置换</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r>
        <w:trPr>
          <w:cantSplit/>
        </w:trPr>
        <w:tc>
          <w:tcPr>
            <w:tcW w:type="dxa" w:w="2471"/>
            <w:vAlign w:val="center"/>
          </w:tcPr>
          <w:p>
            <w:pPr>
              <w:spacing w:before="20" w:after="20" w:line="252" w:lineRule="auto"/>
              <w:ind w:firstLine="0"/>
            </w:pPr>
            <w:r>
              <w:rPr>
                <w:rFonts w:ascii="Times New Roman" w:hAnsi="Times New Roman" w:eastAsia="宋体"/>
                <w:b w:val="0"/>
                <w:sz w:val="17"/>
              </w:rPr>
              <w:t>关闭真实支持/空槽</w:t>
            </w:r>
          </w:p>
        </w:tc>
        <w:tc>
          <w:tcPr>
            <w:tcW w:type="dxa" w:w="2256"/>
            <w:vAlign w:val="center"/>
          </w:tcPr>
          <w:p>
            <w:pPr>
              <w:spacing w:before="20" w:after="20" w:line="252" w:lineRule="auto"/>
              <w:ind w:firstLine="0"/>
            </w:pPr>
            <w:r>
              <w:rPr>
                <w:rFonts w:ascii="Times New Roman" w:hAnsi="Times New Roman" w:eastAsia="宋体"/>
                <w:b w:val="0"/>
                <w:sz w:val="17"/>
              </w:rPr>
              <w:t>固定权重，说明训练覆盖</w:t>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c>
          <w:tcPr>
            <w:tcW w:type="dxa" w:w="1075"/>
            <w:vAlign w:val="center"/>
          </w:tcPr>
          <w:p>
            <w:pPr>
              <w:spacing w:before="20" w:after="20" w:line="252" w:lineRule="auto"/>
              <w:ind w:firstLine="0"/>
            </w:pPr>
            <w:r>
              <w:rPr>
                <w:rFonts w:ascii="Times New Roman" w:hAnsi="Times New Roman" w:eastAsia="宋体"/>
                <w:b w:val="0"/>
                <w:sz w:val="17"/>
              </w:rPr>
            </w:r>
          </w:p>
        </w:tc>
      </w:tr>
    </w:tbl>
    <w:p>
      <w:pPr>
        <w:widowControl/>
      </w:pPr>
    </w:p>
    <w:p>
      <w:pPr>
        <w:pStyle w:val="4"/>
        <w:keepNext/>
      </w:pPr>
      <w:r>
        <w:rPr>
          <w:rFonts w:ascii="Times New Roman" w:hAnsi="Times New Roman" w:eastAsia="宋体"/>
        </w:rPr>
        <w:t>F. 不同灾害事件的结果</w:t>
      </w:r>
    </w:p>
    <w:p>
      <w:pPr>
        <w:widowControl/>
      </w:pPr>
      <w:r>
        <w:rPr>
          <w:rFonts w:ascii="Times New Roman" w:hAnsi="Times New Roman" w:eastAsia="宋体"/>
        </w:rPr>
        <w:t>表9逐事件报告完整模型和对照表现，不以全局平均替代所有事件。为突出信息来源，优先采用同协议重训的DamageFormer、ChangeMamba及像素基线（分类头适配）/像素—区域联合基线/余弦检索增强模型/跨事件监督检索增强模型。若某些外部模型只有reported事件值，则另行标识来源，不与重训结果作严格模块归因。</w:t>
      </w:r>
    </w:p>
    <w:p>
      <w:pPr>
        <w:pStyle w:val="15"/>
        <w:keepNext/>
      </w:pPr>
      <w:r>
        <w:rPr>
          <w:rFonts w:ascii="Times New Roman" w:hAnsi="Times New Roman" w:eastAsia="宋体"/>
        </w:rPr>
        <w:t>表9　灾害事件结果与相对像素读出的变化</w:t>
      </w:r>
    </w:p>
    <w:tbl>
      <w:tblPr>
        <w:tblStyle w:val="33"/>
        <w:tblW w:type="auto" w:w="0"/>
        <w:jc w:val="center"/>
        <w:tblLayout w:type="fixed"/>
        <w:tblLook w:firstColumn="1" w:firstRow="1" w:lastColumn="0" w:lastRow="0" w:noHBand="0" w:noVBand="1" w:val="04A0"/>
      </w:tblPr>
      <w:tblGrid>
        <w:gridCol w:w="2384"/>
        <w:gridCol w:w="1192"/>
        <w:gridCol w:w="1192"/>
        <w:gridCol w:w="852"/>
        <w:gridCol w:w="852"/>
        <w:gridCol w:w="852"/>
        <w:gridCol w:w="852"/>
        <w:gridCol w:w="852"/>
      </w:tblGrid>
      <w:tr>
        <w:trPr>
          <w:tblHeader/>
          <w:cantSplit/>
        </w:trPr>
        <w:tc>
          <w:tcPr>
            <w:tcW w:type="dxa" w:w="2384"/>
            <w:vAlign w:val="center"/>
            <w:shd w:fill="E8EDF2"/>
          </w:tcPr>
          <w:p>
            <w:pPr>
              <w:spacing w:before="20" w:after="20" w:line="252" w:lineRule="auto"/>
              <w:ind w:firstLine="0"/>
            </w:pPr>
            <w:r>
              <w:rPr>
                <w:rFonts w:ascii="Times New Roman" w:hAnsi="Times New Roman" w:eastAsia="宋体"/>
                <w:b/>
                <w:sz w:val="15"/>
              </w:rPr>
              <w:t>事件</w:t>
            </w:r>
          </w:p>
        </w:tc>
        <w:tc>
          <w:tcPr>
            <w:tcW w:type="dxa" w:w="1192"/>
            <w:vAlign w:val="center"/>
            <w:shd w:fill="E8EDF2"/>
          </w:tcPr>
          <w:p>
            <w:pPr>
              <w:spacing w:before="20" w:after="20" w:line="252" w:lineRule="auto"/>
              <w:ind w:firstLine="0"/>
            </w:pPr>
            <w:r>
              <w:rPr>
                <w:rFonts w:ascii="Times New Roman" w:hAnsi="Times New Roman" w:eastAsia="宋体"/>
                <w:b/>
                <w:sz w:val="15"/>
              </w:rPr>
              <w:t>DamageFormer</w:t>
            </w:r>
          </w:p>
        </w:tc>
        <w:tc>
          <w:tcPr>
            <w:tcW w:type="dxa" w:w="1192"/>
            <w:vAlign w:val="center"/>
            <w:shd w:fill="E8EDF2"/>
          </w:tcPr>
          <w:p>
            <w:pPr>
              <w:spacing w:before="20" w:after="20" w:line="252" w:lineRule="auto"/>
              <w:ind w:firstLine="0"/>
            </w:pPr>
            <w:r>
              <w:rPr>
                <w:rFonts w:ascii="Times New Roman" w:hAnsi="Times New Roman" w:eastAsia="宋体"/>
                <w:b/>
                <w:sz w:val="15"/>
              </w:rPr>
              <w:t>ChangeMamba</w:t>
            </w:r>
          </w:p>
        </w:tc>
        <w:tc>
          <w:tcPr>
            <w:tcW w:type="dxa" w:w="852"/>
            <w:vAlign w:val="center"/>
            <w:shd w:fill="E8EDF2"/>
          </w:tcPr>
          <w:p>
            <w:pPr>
              <w:spacing w:before="20" w:after="20" w:line="252" w:lineRule="auto"/>
              <w:ind w:firstLine="0"/>
            </w:pPr>
            <w:r>
              <w:rPr>
                <w:rFonts w:ascii="Times New Roman" w:hAnsi="Times New Roman" w:eastAsia="宋体"/>
                <w:b/>
                <w:sz w:val="15"/>
              </w:rPr>
              <w:t>像素基线（分类头适配）</w:t>
            </w:r>
          </w:p>
        </w:tc>
        <w:tc>
          <w:tcPr>
            <w:tcW w:type="dxa" w:w="852"/>
            <w:vAlign w:val="center"/>
            <w:shd w:fill="E8EDF2"/>
          </w:tcPr>
          <w:p>
            <w:pPr>
              <w:spacing w:before="20" w:after="20" w:line="252" w:lineRule="auto"/>
              <w:ind w:firstLine="0"/>
            </w:pPr>
            <w:r>
              <w:rPr>
                <w:rFonts w:ascii="Times New Roman" w:hAnsi="Times New Roman" w:eastAsia="宋体"/>
                <w:b/>
                <w:sz w:val="15"/>
              </w:rPr>
              <w:t>像素—区域联合基线</w:t>
            </w:r>
          </w:p>
        </w:tc>
        <w:tc>
          <w:tcPr>
            <w:tcW w:type="dxa" w:w="852"/>
            <w:vAlign w:val="center"/>
            <w:shd w:fill="E8EDF2"/>
          </w:tcPr>
          <w:p>
            <w:pPr>
              <w:spacing w:before="20" w:after="20" w:line="252" w:lineRule="auto"/>
              <w:ind w:firstLine="0"/>
            </w:pPr>
            <w:r>
              <w:rPr>
                <w:rFonts w:ascii="Times New Roman" w:hAnsi="Times New Roman" w:eastAsia="宋体"/>
                <w:b/>
                <w:sz w:val="15"/>
              </w:rPr>
              <w:t>余弦检索增强模型</w:t>
            </w:r>
          </w:p>
        </w:tc>
        <w:tc>
          <w:tcPr>
            <w:tcW w:type="dxa" w:w="852"/>
            <w:vAlign w:val="center"/>
            <w:shd w:fill="E8EDF2"/>
          </w:tcPr>
          <w:p>
            <w:pPr>
              <w:spacing w:before="20" w:after="20" w:line="252" w:lineRule="auto"/>
              <w:ind w:firstLine="0"/>
            </w:pPr>
            <w:r>
              <w:rPr>
                <w:rFonts w:ascii="Times New Roman" w:hAnsi="Times New Roman" w:eastAsia="宋体"/>
                <w:b/>
                <w:sz w:val="15"/>
              </w:rPr>
              <w:t>跨事件监督检索增强模型</w:t>
            </w:r>
          </w:p>
        </w:tc>
        <w:tc>
          <w:tcPr>
            <w:tcW w:type="dxa" w:w="852"/>
            <w:vAlign w:val="center"/>
            <w:shd w:fill="E8EDF2"/>
          </w:tcPr>
          <w:p>
            <w:pPr>
              <w:spacing w:before="20" w:after="20" w:line="252" w:lineRule="auto"/>
              <w:ind w:firstLine="0"/>
            </w:pPr>
            <w:r>
              <w:rPr>
                <w:rFonts w:ascii="Times New Roman" w:hAnsi="Times New Roman" w:eastAsia="宋体"/>
                <w:b/>
                <w:sz w:val="15"/>
              </w:rPr>
              <w:t>完整方法−像素适配基线</w:t>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Beirut-EP-2020</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Bata-EP-2021</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Goma-VE-2021</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Les Cayes-EQ-2021</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La Palma-VE-2021</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Marshall-WF-2021</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Ukraine-AC-2022</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Turkey-EQ-2023</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Kyaukpyu-CC-2023</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Hawaii-WF-2023</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Morocco-EQ-2023</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Derna-FL-2023</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Acapulco-HC-2023</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Noto-EQ-2024</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事件等权平均</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r>
        <w:trPr>
          <w:cantSplit/>
        </w:trPr>
        <w:tc>
          <w:tcPr>
            <w:tcW w:type="dxa" w:w="2384"/>
            <w:vAlign w:val="center"/>
          </w:tcPr>
          <w:p>
            <w:pPr>
              <w:spacing w:before="20" w:after="20" w:line="252" w:lineRule="auto"/>
              <w:ind w:firstLine="0"/>
            </w:pPr>
            <w:r>
              <w:rPr>
                <w:rFonts w:ascii="Times New Roman" w:hAnsi="Times New Roman" w:eastAsia="宋体"/>
                <w:b w:val="0"/>
                <w:sz w:val="15"/>
              </w:rPr>
              <w:t>全局累计结果</w:t>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119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c>
          <w:tcPr>
            <w:tcW w:type="dxa" w:w="852"/>
            <w:vAlign w:val="center"/>
          </w:tcPr>
          <w:p>
            <w:pPr>
              <w:spacing w:before="20" w:after="20" w:line="252" w:lineRule="auto"/>
              <w:ind w:firstLine="0"/>
            </w:pPr>
            <w:r>
              <w:rPr>
                <w:rFonts w:ascii="Times New Roman" w:hAnsi="Times New Roman" w:eastAsia="宋体"/>
                <w:b w:val="0"/>
                <w:sz w:val="15"/>
              </w:rPr>
            </w:r>
          </w:p>
        </w:tc>
      </w:tr>
    </w:tbl>
    <w:p>
      <w:pPr>
        <w:widowControl/>
      </w:pPr>
    </w:p>
    <w:p>
      <w:pPr>
        <w:widowControl/>
      </w:pPr>
      <w:r>
        <w:rPr>
          <w:rFonts w:ascii="Times New Roman" w:hAnsi="Times New Roman" w:eastAsia="宋体"/>
        </w:rPr>
        <w:t>完整模型事件等权平均为</w:t>
      </w:r>
      <w:r>
        <w:rPr>
          <w:rFonts w:ascii="Times New Roman" w:hAnsi="Times New Roman" w:eastAsia="宋体"/>
          <w:u w:val="single"/>
        </w:rPr>
        <w:t xml:space="preserve">    </w:t>
      </w:r>
      <w:r>
        <w:rPr>
          <w:rFonts w:ascii="Times New Roman" w:hAnsi="Times New Roman" w:eastAsia="宋体"/>
        </w:rPr>
        <w:t>，相对像素基线（分类头适配）变化为</w:t>
      </w:r>
      <w:r>
        <w:rPr>
          <w:rFonts w:ascii="Times New Roman" w:hAnsi="Times New Roman" w:eastAsia="宋体"/>
          <w:u w:val="single"/>
        </w:rPr>
        <w:t xml:space="preserve">    </w:t>
      </w:r>
      <w:r>
        <w:rPr>
          <w:rFonts w:ascii="Times New Roman" w:hAnsi="Times New Roman" w:eastAsia="宋体"/>
        </w:rPr>
        <w:t>个百分点；提高、接近及下降的事件数量分别为</w:t>
      </w:r>
      <w:r>
        <w:rPr>
          <w:rFonts w:ascii="Times New Roman" w:hAnsi="Times New Roman" w:eastAsia="宋体"/>
          <w:u w:val="single"/>
        </w:rPr>
        <w:t xml:space="preserve">    </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和</w:t>
      </w:r>
      <w:r>
        <w:rPr>
          <w:rFonts w:ascii="Times New Roman" w:hAnsi="Times New Roman" w:eastAsia="宋体"/>
          <w:u w:val="single"/>
        </w:rPr>
        <w:t xml:space="preserve">    </w:t>
      </w:r>
      <w:r>
        <w:rPr>
          <w:rFonts w:ascii="Times New Roman" w:hAnsi="Times New Roman" w:eastAsia="宋体"/>
        </w:rPr>
        <w:t>。事件差异结合建筑密度、类别组成、区域规模和支持覆盖分析；没有单独控制SAR质量时，不将事件差异直接归因于SAR成像。</w:t>
      </w:r>
    </w:p>
    <w:p>
      <w:pPr>
        <w:widowControl/>
      </w:pPr>
      <w:r>
        <w:rPr>
          <w:rFonts w:ascii="Times New Roman" w:hAnsi="Times New Roman" w:eastAsia="宋体"/>
        </w:rPr>
        <w:t>标准划分包含共同灾害事件，因此“支持来自其他事件”不等于“模型没有见过目标事件”。若主张未见事件泛化，须独立使用留事件协议，从多模态像素前端（MPF）、区域训练、支持库、检索投影和选型中全部排除目标事件，并处理未知事件元数据。否则将结论限定为标准划分下的跨事件支持利用。</w:t>
      </w:r>
    </w:p>
    <w:p>
      <w:pPr>
        <w:widowControl/>
      </w:pPr>
      <w:r>
        <w:rPr>
          <w:rFonts w:ascii="Times New Roman" w:hAnsi="Times New Roman" w:eastAsia="宋体"/>
        </w:rPr>
        <w:t>图9(a)显示同一指标的事件级热图，图9(b)显示完整方法−像素适配基线及固定Reader的Pair-B−Pair-A。事件顺序和缺失类别规则固定，给出样本数与区间；不通过色阶截断隐藏负向事件。</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图9　逐事件性能与相对基础模型的配对差值</w:t>
      </w:r>
    </w:p>
    <w:p>
      <w:pPr>
        <w:pStyle w:val="4"/>
        <w:keepNext/>
      </w:pPr>
      <w:r>
        <w:rPr>
          <w:rFonts w:ascii="Times New Roman" w:hAnsi="Times New Roman" w:eastAsia="宋体"/>
        </w:rPr>
        <w:t>G. 混淆矩阵、定性结果与错误分析</w:t>
      </w:r>
    </w:p>
    <w:p>
      <w:pPr>
        <w:widowControl/>
      </w:pPr>
      <w:r>
        <w:rPr>
          <w:rFonts w:ascii="Times New Roman" w:hAnsi="Times New Roman" w:eastAsia="宋体"/>
        </w:rPr>
        <w:t>图10比较同协议像素基线（分类头适配）、像素—区域联合基线与跨事件监督检索增强模型的四类混淆矩阵，采用行归一化展示并另存原始计数。重点检查完好与受损、受损与毁坏之间的转移，以及建筑与背景的错分。按行归一化有助于比较召回方向，类别FP与Precision仍需根据原始矩阵另算。</w:t>
      </w:r>
    </w:p>
    <w:p>
      <w:pPr>
        <w:widowControl/>
      </w:pPr>
      <w:r>
        <w:rPr>
          <w:rFonts w:ascii="Times New Roman" w:hAnsi="Times New Roman" w:eastAsia="宋体"/>
        </w:rPr>
        <w:t>图10使用相同类别顺序、统一颜色范围及行归一化规则；每行附真实像素数。空缺类别依协议处理。当前版位不放零矩阵或示意热图，待真实混淆矩阵生成后填入。</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图10　像素、区域与完整模型的四类混淆矩阵</w:t>
      </w:r>
    </w:p>
    <w:p>
      <w:pPr>
        <w:widowControl/>
      </w:pPr>
      <w:r>
        <w:rPr>
          <w:rFonts w:ascii="Times New Roman" w:hAnsi="Times New Roman" w:eastAsia="宋体"/>
        </w:rPr>
        <w:t>图11在同一测试影像、同一窗口内并列光学、SAR、GT、像素基线（分类头适配）、像素—区域联合基线、可学习槽位对照、余弦检索增强模型和跨事件监督检索增强模型预测，以及救回/误改差异。至少包含建筑边缘复杂、受损较多、毁坏较多及完整模型下降案例，采用统一颜色、SAR显示变换和选样规则。原有仅展示多模态像素前端（MPF）的图件不能替代这些对照，也不通过换标题将其改称Memory证据。</w:t>
      </w:r>
    </w:p>
    <w:p>
      <w:pPr>
        <w:widowControl/>
      </w:pPr>
      <w:r>
        <w:rPr>
          <w:rFonts w:ascii="Times New Roman" w:hAnsi="Times New Roman" w:eastAsia="宋体"/>
        </w:rPr>
        <w:t>救回是对照错误且候选正确的像素，误改是对照正确且候选错误的像素。受损类救回和误改数为</w:t>
      </w:r>
      <w:r>
        <w:rPr>
          <w:rFonts w:ascii="Times New Roman" w:hAnsi="Times New Roman" w:eastAsia="宋体"/>
          <w:u w:val="single"/>
        </w:rPr>
        <w:t xml:space="preserve">    </w:t>
      </w:r>
      <w:r>
        <w:rPr>
          <w:rFonts w:ascii="Times New Roman" w:hAnsi="Times New Roman" w:eastAsia="宋体"/>
        </w:rPr>
        <w:t>与</w:t>
      </w:r>
      <w:r>
        <w:rPr>
          <w:rFonts w:ascii="Times New Roman" w:hAnsi="Times New Roman" w:eastAsia="宋体"/>
          <w:u w:val="single"/>
        </w:rPr>
        <w:t xml:space="preserve">    </w:t>
      </w:r>
      <w:r>
        <w:rPr>
          <w:rFonts w:ascii="Times New Roman" w:hAnsi="Times New Roman" w:eastAsia="宋体"/>
        </w:rPr>
        <w:t>，毁坏类为</w:t>
      </w:r>
      <w:r>
        <w:rPr>
          <w:rFonts w:ascii="Times New Roman" w:hAnsi="Times New Roman" w:eastAsia="宋体"/>
          <w:u w:val="single"/>
        </w:rPr>
        <w:t xml:space="preserve">    </w:t>
      </w:r>
      <w:r>
        <w:rPr>
          <w:rFonts w:ascii="Times New Roman" w:hAnsi="Times New Roman" w:eastAsia="宋体"/>
        </w:rPr>
        <w:t>与</w:t>
      </w:r>
      <w:r>
        <w:rPr>
          <w:rFonts w:ascii="Times New Roman" w:hAnsi="Times New Roman" w:eastAsia="宋体"/>
          <w:u w:val="single"/>
        </w:rPr>
        <w:t xml:space="preserve">    </w:t>
      </w:r>
      <w:r>
        <w:rPr>
          <w:rFonts w:ascii="Times New Roman" w:hAnsi="Times New Roman" w:eastAsia="宋体"/>
        </w:rPr>
        <w:t>；原本正确的完好像素误改数为</w:t>
      </w:r>
      <w:r>
        <w:rPr>
          <w:rFonts w:ascii="Times New Roman" w:hAnsi="Times New Roman" w:eastAsia="宋体"/>
          <w:u w:val="single"/>
        </w:rPr>
        <w:t xml:space="preserve">    </w:t>
      </w:r>
      <w:r>
        <w:rPr>
          <w:rFonts w:ascii="Times New Roman" w:hAnsi="Times New Roman" w:eastAsia="宋体"/>
        </w:rPr>
        <w:t>。数量以像素为单位，不能解释为建筑数。</w:t>
      </w:r>
    </w:p>
    <w:p>
      <w:pPr>
        <w:widowControl/>
      </w:pPr>
      <w:r>
        <w:rPr>
          <w:rFonts w:ascii="Times New Roman" w:hAnsi="Times New Roman" w:eastAsia="宋体"/>
        </w:rPr>
        <w:t>区域连贯与建筑实例一致性分开处理。若使用真实建筑多边形或实例ID，可联合报告实例内预测一致性、等级正确率和漏检；只有语义掩膜时，连通块分析明确标为代理。仅更连贯或全部预测为背景并不能证明实例判断更好。</w:t>
      </w:r>
    </w:p>
    <w:p>
      <w:pPr>
        <w:widowControl/>
      </w:pPr>
      <w:r>
        <w:rPr>
          <w:rFonts w:ascii="Times New Roman" w:hAnsi="Times New Roman" w:eastAsia="宋体"/>
        </w:rPr>
        <w:t>图11采用完全相同的裁块和放大框。完整预测对应本稿跨事件监督检索增强模型，必要时联列图8中的实际支持案例；至少提供一个下降案例并标出新增错误。旧多模态像素前端（MPF）效果图不收入本版位。</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图11　完整框架的同窗口预测、支持证据与失败案例</w:t>
      </w:r>
    </w:p>
    <w:p>
      <w:pPr>
        <w:pStyle w:val="4"/>
        <w:keepNext/>
      </w:pPr>
      <w:r>
        <w:rPr>
          <w:rFonts w:ascii="Times New Roman" w:hAnsi="Times New Roman" w:eastAsia="宋体"/>
        </w:rPr>
        <w:t>H. 计算开销、稳定性与结果管理</w:t>
      </w:r>
    </w:p>
    <w:p>
      <w:pPr>
        <w:widowControl/>
      </w:pPr>
      <w:r>
        <w:rPr>
          <w:rFonts w:ascii="Times New Roman" w:hAnsi="Times New Roman" w:eastAsia="宋体"/>
        </w:rPr>
        <w:t>表10区分一次性训练/建库成本与在线推理成本，记录总参数、可训练参数、训练时间、在线编码/检索/读取耗时、峰值显存、CPU峰值内存和支持库规模。计时使用统一硬件、线程、精度、批大小和同步方式，明确是否包括I/O及预热；不能将共享资源下的单次墙钟时间作为模型本身的固定开销。</w:t>
      </w:r>
    </w:p>
    <w:p>
      <w:pPr>
        <w:pStyle w:val="15"/>
        <w:keepNext/>
      </w:pPr>
      <w:r>
        <w:rPr>
          <w:rFonts w:ascii="Times New Roman" w:hAnsi="Times New Roman" w:eastAsia="宋体"/>
        </w:rPr>
        <w:t>表10　资源开销与支持库规模</w:t>
      </w:r>
    </w:p>
    <w:tbl>
      <w:tblPr>
        <w:tblStyle w:val="33"/>
        <w:tblW w:type="auto" w:w="0"/>
        <w:jc w:val="center"/>
        <w:tblLayout w:type="fixed"/>
        <w:tblLook w:firstColumn="1" w:firstRow="1" w:lastColumn="0" w:lastRow="0" w:noHBand="0" w:noVBand="1" w:val="04A0"/>
      </w:tblPr>
      <w:tblGrid>
        <w:gridCol w:w="626"/>
        <w:gridCol w:w="1251"/>
        <w:gridCol w:w="1251"/>
        <w:gridCol w:w="1609"/>
        <w:gridCol w:w="983"/>
        <w:gridCol w:w="983"/>
        <w:gridCol w:w="1072"/>
        <w:gridCol w:w="1251"/>
      </w:tblGrid>
      <w:tr>
        <w:trPr>
          <w:tblHeader/>
          <w:cantSplit/>
        </w:trPr>
        <w:tc>
          <w:tcPr>
            <w:tcW w:type="dxa" w:w="626"/>
            <w:vAlign w:val="center"/>
            <w:shd w:fill="E8EDF2"/>
          </w:tcPr>
          <w:p>
            <w:pPr>
              <w:spacing w:before="20" w:after="20" w:line="252" w:lineRule="auto"/>
              <w:ind w:firstLine="0"/>
            </w:pPr>
            <w:r>
              <w:rPr>
                <w:rFonts w:ascii="Times New Roman" w:hAnsi="Times New Roman" w:eastAsia="宋体"/>
                <w:b/>
                <w:sz w:val="15"/>
              </w:rPr>
              <w:t>配置</w:t>
            </w:r>
          </w:p>
        </w:tc>
        <w:tc>
          <w:tcPr>
            <w:tcW w:type="dxa" w:w="1251"/>
            <w:vAlign w:val="center"/>
            <w:shd w:fill="E8EDF2"/>
          </w:tcPr>
          <w:p>
            <w:pPr>
              <w:spacing w:before="20" w:after="20" w:line="252" w:lineRule="auto"/>
              <w:ind w:firstLine="0"/>
            </w:pPr>
            <w:r>
              <w:rPr>
                <w:rFonts w:ascii="Times New Roman" w:hAnsi="Times New Roman" w:eastAsia="宋体"/>
                <w:b/>
                <w:sz w:val="15"/>
              </w:rPr>
              <w:t>总/可训练参数</w:t>
            </w:r>
          </w:p>
        </w:tc>
        <w:tc>
          <w:tcPr>
            <w:tcW w:type="dxa" w:w="1251"/>
            <w:vAlign w:val="center"/>
            <w:shd w:fill="E8EDF2"/>
          </w:tcPr>
          <w:p>
            <w:pPr>
              <w:spacing w:before="20" w:after="20" w:line="252" w:lineRule="auto"/>
              <w:ind w:firstLine="0"/>
            </w:pPr>
            <w:r>
              <w:rPr>
                <w:rFonts w:ascii="Times New Roman" w:hAnsi="Times New Roman" w:eastAsia="宋体"/>
                <w:b/>
                <w:sz w:val="15"/>
              </w:rPr>
              <w:t>训练/建库时间</w:t>
            </w:r>
          </w:p>
        </w:tc>
        <w:tc>
          <w:tcPr>
            <w:tcW w:type="dxa" w:w="1609"/>
            <w:vAlign w:val="center"/>
            <w:shd w:fill="E8EDF2"/>
          </w:tcPr>
          <w:p>
            <w:pPr>
              <w:spacing w:before="20" w:after="20" w:line="252" w:lineRule="auto"/>
              <w:ind w:firstLine="0"/>
            </w:pPr>
            <w:r>
              <w:rPr>
                <w:rFonts w:ascii="Times New Roman" w:hAnsi="Times New Roman" w:eastAsia="宋体"/>
                <w:b/>
                <w:sz w:val="15"/>
              </w:rPr>
              <w:t>编码/检索/读取时间</w:t>
            </w:r>
          </w:p>
        </w:tc>
        <w:tc>
          <w:tcPr>
            <w:tcW w:type="dxa" w:w="983"/>
            <w:vAlign w:val="center"/>
            <w:shd w:fill="E8EDF2"/>
          </w:tcPr>
          <w:p>
            <w:pPr>
              <w:spacing w:before="20" w:after="20" w:line="252" w:lineRule="auto"/>
              <w:ind w:firstLine="0"/>
            </w:pPr>
            <w:r>
              <w:rPr>
                <w:rFonts w:ascii="Times New Roman" w:hAnsi="Times New Roman" w:eastAsia="宋体"/>
                <w:b/>
                <w:sz w:val="15"/>
              </w:rPr>
              <w:t>总延迟/图</w:t>
            </w:r>
          </w:p>
        </w:tc>
        <w:tc>
          <w:tcPr>
            <w:tcW w:type="dxa" w:w="983"/>
            <w:vAlign w:val="center"/>
            <w:shd w:fill="E8EDF2"/>
          </w:tcPr>
          <w:p>
            <w:pPr>
              <w:spacing w:before="20" w:after="20" w:line="252" w:lineRule="auto"/>
              <w:ind w:firstLine="0"/>
            </w:pPr>
            <w:r>
              <w:rPr>
                <w:rFonts w:ascii="Times New Roman" w:hAnsi="Times New Roman" w:eastAsia="宋体"/>
                <w:b/>
                <w:sz w:val="15"/>
              </w:rPr>
              <w:t>峰值显存</w:t>
            </w:r>
          </w:p>
        </w:tc>
        <w:tc>
          <w:tcPr>
            <w:tcW w:type="dxa" w:w="1072"/>
            <w:vAlign w:val="center"/>
            <w:shd w:fill="E8EDF2"/>
          </w:tcPr>
          <w:p>
            <w:pPr>
              <w:spacing w:before="20" w:after="20" w:line="252" w:lineRule="auto"/>
              <w:ind w:firstLine="0"/>
            </w:pPr>
            <w:r>
              <w:rPr>
                <w:rFonts w:ascii="Times New Roman" w:hAnsi="Times New Roman" w:eastAsia="宋体"/>
                <w:b/>
                <w:sz w:val="15"/>
              </w:rPr>
              <w:t>CPU峰值内存</w:t>
            </w:r>
          </w:p>
        </w:tc>
        <w:tc>
          <w:tcPr>
            <w:tcW w:type="dxa" w:w="1251"/>
            <w:vAlign w:val="center"/>
            <w:shd w:fill="E8EDF2"/>
          </w:tcPr>
          <w:p>
            <w:pPr>
              <w:spacing w:before="20" w:after="20" w:line="252" w:lineRule="auto"/>
              <w:ind w:firstLine="0"/>
            </w:pPr>
            <w:r>
              <w:rPr>
                <w:rFonts w:ascii="Times New Roman" w:hAnsi="Times New Roman" w:eastAsia="宋体"/>
                <w:b/>
                <w:sz w:val="15"/>
              </w:rPr>
              <w:t>库条目/磁盘</w:t>
            </w:r>
          </w:p>
        </w:tc>
      </w:tr>
      <w:tr>
        <w:trPr>
          <w:cantSplit/>
        </w:trPr>
        <w:tc>
          <w:tcPr>
            <w:tcW w:type="dxa" w:w="626"/>
            <w:vAlign w:val="center"/>
          </w:tcPr>
          <w:p>
            <w:pPr>
              <w:spacing w:before="20" w:after="20" w:line="252" w:lineRule="auto"/>
              <w:ind w:firstLine="0"/>
            </w:pPr>
            <w:r>
              <w:rPr>
                <w:rFonts w:ascii="Times New Roman" w:hAnsi="Times New Roman" w:eastAsia="宋体"/>
                <w:b w:val="0"/>
                <w:sz w:val="15"/>
              </w:rPr>
              <w:t>像素基线（分类头适配）</w:t>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609"/>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1072"/>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r>
      <w:tr>
        <w:trPr>
          <w:cantSplit/>
        </w:trPr>
        <w:tc>
          <w:tcPr>
            <w:tcW w:type="dxa" w:w="626"/>
            <w:vAlign w:val="center"/>
          </w:tcPr>
          <w:p>
            <w:pPr>
              <w:spacing w:before="20" w:after="20" w:line="252" w:lineRule="auto"/>
              <w:ind w:firstLine="0"/>
            </w:pPr>
            <w:r>
              <w:rPr>
                <w:rFonts w:ascii="Times New Roman" w:hAnsi="Times New Roman" w:eastAsia="宋体"/>
                <w:b w:val="0"/>
                <w:sz w:val="15"/>
              </w:rPr>
              <w:t>像素—区域联合基线</w:t>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609"/>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1072"/>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r>
      <w:tr>
        <w:trPr>
          <w:cantSplit/>
        </w:trPr>
        <w:tc>
          <w:tcPr>
            <w:tcW w:type="dxa" w:w="626"/>
            <w:vAlign w:val="center"/>
          </w:tcPr>
          <w:p>
            <w:pPr>
              <w:spacing w:before="20" w:after="20" w:line="252" w:lineRule="auto"/>
              <w:ind w:firstLine="0"/>
            </w:pPr>
            <w:r>
              <w:rPr>
                <w:rFonts w:ascii="Times New Roman" w:hAnsi="Times New Roman" w:eastAsia="宋体"/>
                <w:b w:val="0"/>
                <w:sz w:val="15"/>
              </w:rPr>
              <w:t>可学习槽位对照</w:t>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609"/>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1072"/>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r>
      <w:tr>
        <w:trPr>
          <w:cantSplit/>
        </w:trPr>
        <w:tc>
          <w:tcPr>
            <w:tcW w:type="dxa" w:w="626"/>
            <w:vAlign w:val="center"/>
          </w:tcPr>
          <w:p>
            <w:pPr>
              <w:spacing w:before="20" w:after="20" w:line="252" w:lineRule="auto"/>
              <w:ind w:firstLine="0"/>
            </w:pPr>
            <w:r>
              <w:rPr>
                <w:rFonts w:ascii="Times New Roman" w:hAnsi="Times New Roman" w:eastAsia="宋体"/>
                <w:b w:val="0"/>
                <w:sz w:val="15"/>
              </w:rPr>
              <w:t>余弦检索增强模型</w:t>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609"/>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1072"/>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r>
      <w:tr>
        <w:trPr>
          <w:cantSplit/>
        </w:trPr>
        <w:tc>
          <w:tcPr>
            <w:tcW w:type="dxa" w:w="626"/>
            <w:vAlign w:val="center"/>
          </w:tcPr>
          <w:p>
            <w:pPr>
              <w:spacing w:before="20" w:after="20" w:line="252" w:lineRule="auto"/>
              <w:ind w:firstLine="0"/>
            </w:pPr>
            <w:r>
              <w:rPr>
                <w:rFonts w:ascii="Times New Roman" w:hAnsi="Times New Roman" w:eastAsia="宋体"/>
                <w:b w:val="0"/>
                <w:sz w:val="15"/>
              </w:rPr>
              <w:t>跨事件监督检索增强模型</w:t>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c>
          <w:tcPr>
            <w:tcW w:type="dxa" w:w="1609"/>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983"/>
            <w:vAlign w:val="center"/>
          </w:tcPr>
          <w:p>
            <w:pPr>
              <w:spacing w:before="20" w:after="20" w:line="252" w:lineRule="auto"/>
              <w:ind w:firstLine="0"/>
            </w:pPr>
            <w:r>
              <w:rPr>
                <w:rFonts w:ascii="Times New Roman" w:hAnsi="Times New Roman" w:eastAsia="宋体"/>
                <w:b w:val="0"/>
                <w:sz w:val="15"/>
              </w:rPr>
            </w:r>
          </w:p>
        </w:tc>
        <w:tc>
          <w:tcPr>
            <w:tcW w:type="dxa" w:w="1072"/>
            <w:vAlign w:val="center"/>
          </w:tcPr>
          <w:p>
            <w:pPr>
              <w:spacing w:before="20" w:after="20" w:line="252" w:lineRule="auto"/>
              <w:ind w:firstLine="0"/>
            </w:pPr>
            <w:r>
              <w:rPr>
                <w:rFonts w:ascii="Times New Roman" w:hAnsi="Times New Roman" w:eastAsia="宋体"/>
                <w:b w:val="0"/>
                <w:sz w:val="15"/>
              </w:rPr>
            </w:r>
          </w:p>
        </w:tc>
        <w:tc>
          <w:tcPr>
            <w:tcW w:type="dxa" w:w="1251"/>
            <w:vAlign w:val="center"/>
          </w:tcPr>
          <w:p>
            <w:pPr>
              <w:spacing w:before="20" w:after="20" w:line="252" w:lineRule="auto"/>
              <w:ind w:firstLine="0"/>
            </w:pPr>
            <w:r>
              <w:rPr>
                <w:rFonts w:ascii="Times New Roman" w:hAnsi="Times New Roman" w:eastAsia="宋体"/>
                <w:b w:val="0"/>
                <w:sz w:val="15"/>
              </w:rPr>
            </w:r>
          </w:p>
        </w:tc>
      </w:tr>
    </w:tbl>
    <w:p>
      <w:pPr>
        <w:widowControl/>
      </w:pPr>
    </w:p>
    <w:p>
      <w:pPr>
        <w:widowControl/>
      </w:pPr>
      <w:r>
        <w:rPr>
          <w:rFonts w:ascii="Times New Roman" w:hAnsi="Times New Roman" w:eastAsia="宋体"/>
        </w:rPr>
        <w:t>图12由表10实测绘制，分别展示准确性—延迟和库规模—内存关系；参数量、时间、显存不混用同一纵轴。一次性成本在表中单独说明。</w:t>
      </w:r>
    </w:p>
    <w:tbl>
      <w:tblPr>
        <w:tblStyle w:val="33"/>
        <w:tblW w:type="auto" w:w="0"/>
        <w:tblLayout w:type="fixed"/>
        <w:tblLook w:firstColumn="1" w:firstRow="1" w:lastColumn="0" w:lastRow="0" w:noHBand="0" w:noVBand="1" w:val="04A0"/>
      </w:tblPr>
      <w:tblGrid>
        <w:gridCol w:w="9026"/>
      </w:tblGrid>
      <w:tr>
        <w:trPr>
          <w:trHeight w:val="964" w:hRule="atLeast"/>
        </w:trPr>
        <w:tc>
          <w:tcPr>
            <w:tcW w:type="dxa" w:w="9026"/>
          </w:tcPr>
          <w:p>
            <w:r/>
          </w:p>
        </w:tc>
      </w:tr>
    </w:tbl>
    <w:p>
      <w:pPr>
        <w:pStyle w:val="15"/>
        <w:keepNext/>
      </w:pPr>
      <w:r>
        <w:rPr>
          <w:rFonts w:ascii="Times New Roman" w:hAnsi="Times New Roman" w:eastAsia="宋体"/>
        </w:rPr>
        <w:t>图12　精度与在线推理资源的关系</w:t>
      </w:r>
    </w:p>
    <w:p>
      <w:pPr>
        <w:widowControl/>
      </w:pPr>
      <w:r>
        <w:rPr>
          <w:rFonts w:ascii="Times New Roman" w:hAnsi="Times New Roman" w:eastAsia="宋体"/>
        </w:rPr>
        <w:t>核心配置至少采用三个预先指定随机种子，报告均值、标准差及同种子配对差值；若只能进行单次运行，应明确单种子范围，不以微小差值作稳定性结论。数据重采样优先以事件为单位，或明确图像单位的限制；全局mIoU在重采样后累计混淆矩阵再计算。种子间波动和数据重采样区间分开解释，不把数亿像素当作独立显著性样本。</w:t>
      </w:r>
    </w:p>
    <w:p>
      <w:pPr>
        <w:pStyle w:val="15"/>
        <w:keepNext/>
      </w:pPr>
      <w:r>
        <w:rPr>
          <w:rFonts w:ascii="Times New Roman" w:hAnsi="Times New Roman" w:eastAsia="宋体"/>
        </w:rPr>
        <w:t>表11　主要配置与配对差值的稳定性</w:t>
      </w:r>
    </w:p>
    <w:tbl>
      <w:tblPr>
        <w:tblStyle w:val="33"/>
        <w:tblW w:type="auto" w:w="0"/>
        <w:jc w:val="center"/>
        <w:tblLayout w:type="fixed"/>
        <w:tblLook w:firstColumn="1" w:firstRow="1" w:lastColumn="0" w:lastRow="0" w:noHBand="0" w:noVBand="1" w:val="04A0"/>
      </w:tblPr>
      <w:tblGrid>
        <w:gridCol w:w="2256"/>
        <w:gridCol w:w="1128"/>
        <w:gridCol w:w="1128"/>
        <w:gridCol w:w="1128"/>
        <w:gridCol w:w="1128"/>
        <w:gridCol w:w="1128"/>
        <w:gridCol w:w="1128"/>
      </w:tblGrid>
      <w:tr>
        <w:trPr>
          <w:tblHeader/>
          <w:cantSplit/>
        </w:trPr>
        <w:tc>
          <w:tcPr>
            <w:tcW w:type="dxa" w:w="2256"/>
            <w:vAlign w:val="center"/>
            <w:shd w:fill="E8EDF2"/>
          </w:tcPr>
          <w:p>
            <w:pPr>
              <w:spacing w:before="20" w:after="20" w:line="252" w:lineRule="auto"/>
              <w:ind w:firstLine="0"/>
            </w:pPr>
            <w:r>
              <w:rPr>
                <w:rFonts w:ascii="Times New Roman" w:hAnsi="Times New Roman" w:eastAsia="宋体"/>
                <w:b/>
                <w:sz w:val="17"/>
              </w:rPr>
              <w:t>配置/差值</w:t>
            </w:r>
          </w:p>
        </w:tc>
        <w:tc>
          <w:tcPr>
            <w:tcW w:type="dxa" w:w="1128"/>
            <w:vAlign w:val="center"/>
            <w:shd w:fill="E8EDF2"/>
          </w:tcPr>
          <w:p>
            <w:pPr>
              <w:spacing w:before="20" w:after="20" w:line="252" w:lineRule="auto"/>
              <w:ind w:firstLine="0"/>
            </w:pPr>
            <w:r>
              <w:rPr>
                <w:rFonts w:ascii="Times New Roman" w:hAnsi="Times New Roman" w:eastAsia="宋体"/>
                <w:b/>
                <w:sz w:val="17"/>
              </w:rPr>
              <w:t>种子1</w:t>
            </w:r>
          </w:p>
        </w:tc>
        <w:tc>
          <w:tcPr>
            <w:tcW w:type="dxa" w:w="1128"/>
            <w:vAlign w:val="center"/>
            <w:shd w:fill="E8EDF2"/>
          </w:tcPr>
          <w:p>
            <w:pPr>
              <w:spacing w:before="20" w:after="20" w:line="252" w:lineRule="auto"/>
              <w:ind w:firstLine="0"/>
            </w:pPr>
            <w:r>
              <w:rPr>
                <w:rFonts w:ascii="Times New Roman" w:hAnsi="Times New Roman" w:eastAsia="宋体"/>
                <w:b/>
                <w:sz w:val="17"/>
              </w:rPr>
              <w:t>种子2</w:t>
            </w:r>
          </w:p>
        </w:tc>
        <w:tc>
          <w:tcPr>
            <w:tcW w:type="dxa" w:w="1128"/>
            <w:vAlign w:val="center"/>
            <w:shd w:fill="E8EDF2"/>
          </w:tcPr>
          <w:p>
            <w:pPr>
              <w:spacing w:before="20" w:after="20" w:line="252" w:lineRule="auto"/>
              <w:ind w:firstLine="0"/>
            </w:pPr>
            <w:r>
              <w:rPr>
                <w:rFonts w:ascii="Times New Roman" w:hAnsi="Times New Roman" w:eastAsia="宋体"/>
                <w:b/>
                <w:sz w:val="17"/>
              </w:rPr>
              <w:t>种子3</w:t>
            </w:r>
          </w:p>
        </w:tc>
        <w:tc>
          <w:tcPr>
            <w:tcW w:type="dxa" w:w="1128"/>
            <w:vAlign w:val="center"/>
            <w:shd w:fill="E8EDF2"/>
          </w:tcPr>
          <w:p>
            <w:pPr>
              <w:spacing w:before="20" w:after="20" w:line="252" w:lineRule="auto"/>
              <w:ind w:firstLine="0"/>
            </w:pPr>
            <w:r>
              <w:rPr>
                <w:rFonts w:ascii="Times New Roman" w:hAnsi="Times New Roman" w:eastAsia="宋体"/>
                <w:b/>
                <w:sz w:val="17"/>
              </w:rPr>
              <w:t>均值</w:t>
            </w:r>
          </w:p>
        </w:tc>
        <w:tc>
          <w:tcPr>
            <w:tcW w:type="dxa" w:w="1128"/>
            <w:vAlign w:val="center"/>
            <w:shd w:fill="E8EDF2"/>
          </w:tcPr>
          <w:p>
            <w:pPr>
              <w:spacing w:before="20" w:after="20" w:line="252" w:lineRule="auto"/>
              <w:ind w:firstLine="0"/>
            </w:pPr>
            <w:r>
              <w:rPr>
                <w:rFonts w:ascii="Times New Roman" w:hAnsi="Times New Roman" w:eastAsia="宋体"/>
                <w:b/>
                <w:sz w:val="17"/>
              </w:rPr>
              <w:t>标准差</w:t>
            </w:r>
          </w:p>
        </w:tc>
        <w:tc>
          <w:tcPr>
            <w:tcW w:type="dxa" w:w="1128"/>
            <w:vAlign w:val="center"/>
            <w:shd w:fill="E8EDF2"/>
          </w:tcPr>
          <w:p>
            <w:pPr>
              <w:spacing w:before="20" w:after="20" w:line="252" w:lineRule="auto"/>
              <w:ind w:firstLine="0"/>
            </w:pPr>
            <w:r>
              <w:rPr>
                <w:rFonts w:ascii="Times New Roman" w:hAnsi="Times New Roman" w:eastAsia="宋体"/>
                <w:b/>
                <w:sz w:val="17"/>
              </w:rPr>
              <w:t>事件重采样区间</w:t>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像素基线（分类头适配）</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像素—区域联合基线</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可学习槽位对照</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余弦检索增强模型</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跨事件监督检索增强模型</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余弦检索−槽位对照</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监督检索−余弦检索</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r>
        <w:trPr>
          <w:cantSplit/>
        </w:trPr>
        <w:tc>
          <w:tcPr>
            <w:tcW w:type="dxa" w:w="2256"/>
            <w:vAlign w:val="center"/>
          </w:tcPr>
          <w:p>
            <w:pPr>
              <w:spacing w:before="20" w:after="20" w:line="252" w:lineRule="auto"/>
              <w:ind w:firstLine="0"/>
            </w:pPr>
            <w:r>
              <w:rPr>
                <w:rFonts w:ascii="Times New Roman" w:hAnsi="Times New Roman" w:eastAsia="宋体"/>
                <w:b w:val="0"/>
                <w:sz w:val="17"/>
              </w:rPr>
              <w:t>Pair-B−Pair-A</w:t>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c>
          <w:tcPr>
            <w:tcW w:type="dxa" w:w="1128"/>
            <w:vAlign w:val="center"/>
          </w:tcPr>
          <w:p>
            <w:pPr>
              <w:spacing w:before="20" w:after="20" w:line="252" w:lineRule="auto"/>
              <w:ind w:firstLine="0"/>
            </w:pPr>
            <w:r>
              <w:rPr>
                <w:rFonts w:ascii="Times New Roman" w:hAnsi="Times New Roman" w:eastAsia="宋体"/>
                <w:b w:val="0"/>
                <w:sz w:val="17"/>
              </w:rPr>
            </w:r>
          </w:p>
        </w:tc>
      </w:tr>
    </w:tbl>
    <w:p>
      <w:pPr>
        <w:widowControl/>
      </w:pPr>
    </w:p>
    <w:p>
      <w:pPr>
        <w:widowControl/>
      </w:pPr>
      <w:r>
        <w:rPr>
          <w:rFonts w:ascii="Times New Roman" w:hAnsi="Times New Roman" w:eastAsia="宋体"/>
        </w:rPr>
        <w:t>每个实验以配置、代码提交、检查点清单、划分及库校验、全局/逐类/逐事件原始矩阵、检索诊断、训练摘要和资源记录共同绑定。图表从同一份结果文件生成，不手动拼接不同模型版本。完整预测在结果核对前保留；磁盘有限时优先保留原始计数、身份索引与代表性配对图，并在确认不再依赖后归档大数组。</w:t>
      </w:r>
    </w:p>
    <w:p>
      <w:pPr>
        <w:pStyle w:val="3"/>
        <w:keepNext/>
      </w:pPr>
      <w:r>
        <w:rPr>
          <w:rFonts w:ascii="Times New Roman" w:hAnsi="Times New Roman" w:eastAsia="宋体"/>
        </w:rPr>
        <w:t>V. 结论</w:t>
      </w:r>
    </w:p>
    <w:p>
      <w:pPr>
        <w:widowControl/>
      </w:pPr>
      <w:r>
        <w:rPr>
          <w:rFonts w:ascii="Times New Roman" w:hAnsi="Times New Roman" w:eastAsia="宋体"/>
        </w:rPr>
        <w:t>本文按区域成员、区域内容和历史支持选择构建光学–SAR建筑损毁评估框架。预测建筑概率软约束区域归属，分区状态条件化融合内容，跨事件类别关系调整Train支持排序；增强区域特征经同一Q回投，与保留的像素路径联合预测。实验通过二因素结构对照、固定Q内容消融、真实/空支持及固定Reader排序替换，分别检验各环节及其相互作用。</w:t>
      </w:r>
    </w:p>
    <w:p>
      <w:pPr>
        <w:widowControl/>
      </w:pPr>
      <w:r>
        <w:rPr>
          <w:rFonts w:ascii="Times New Roman" w:hAnsi="Times New Roman" w:eastAsia="宋体"/>
        </w:rPr>
        <w:t>完整模型的四类mIoU为</w:t>
      </w:r>
      <w:r>
        <w:rPr>
          <w:rFonts w:ascii="Times New Roman" w:hAnsi="Times New Roman" w:eastAsia="宋体"/>
          <w:u w:val="single"/>
        </w:rPr>
        <w:t xml:space="preserve">    </w:t>
      </w:r>
      <w:r>
        <w:rPr>
          <w:rFonts w:ascii="Times New Roman" w:hAnsi="Times New Roman" w:eastAsia="宋体"/>
        </w:rPr>
        <w:t>，前景mIoU为</w:t>
      </w:r>
      <w:r>
        <w:rPr>
          <w:rFonts w:ascii="Times New Roman" w:hAnsi="Times New Roman" w:eastAsia="宋体"/>
          <w:u w:val="single"/>
        </w:rPr>
        <w:t xml:space="preserve">    </w:t>
      </w:r>
      <w:r>
        <w:rPr>
          <w:rFonts w:ascii="Times New Roman" w:hAnsi="Times New Roman" w:eastAsia="宋体"/>
        </w:rPr>
        <w:t>，事件等权平均为</w:t>
      </w:r>
      <w:r>
        <w:rPr>
          <w:rFonts w:ascii="Times New Roman" w:hAnsi="Times New Roman" w:eastAsia="宋体"/>
          <w:u w:val="single"/>
        </w:rPr>
        <w:t xml:space="preserve">    </w:t>
      </w:r>
      <w:r>
        <w:rPr>
          <w:rFonts w:ascii="Times New Roman" w:hAnsi="Times New Roman" w:eastAsia="宋体"/>
        </w:rPr>
        <w:t>；相对匹配像素基线的变化为</w:t>
      </w:r>
      <w:r>
        <w:rPr>
          <w:rFonts w:ascii="Times New Roman" w:hAnsi="Times New Roman" w:eastAsia="宋体"/>
          <w:u w:val="single"/>
        </w:rPr>
        <w:t xml:space="preserve">    </w:t>
      </w:r>
      <w:r>
        <w:rPr>
          <w:rFonts w:ascii="Times New Roman" w:hAnsi="Times New Roman" w:eastAsia="宋体"/>
        </w:rPr>
        <w:t>个百分点。上述空白与摘要、表2、表9及稳定性记录使用同一结果来源回填，是否保留某项有效性主张由对应对照决定。</w:t>
      </w:r>
    </w:p>
    <w:p>
      <w:pPr>
        <w:widowControl/>
      </w:pPr>
      <w:r>
        <w:rPr>
          <w:rFonts w:ascii="Times New Roman" w:hAnsi="Times New Roman" w:eastAsia="宋体"/>
        </w:rPr>
        <w:t>方法仍受预测建筑概率、区域混合、基础融合表征和支持覆盖限制。历史案例提供训练经验而非当前场景的新观测，跨事件支持不保证事件不变或未见灾害泛化，软区域也不自动等于建筑实例。若某项条件或检索改动没有稳定增量，应缩小贡献或简化框架，并如实说明失败条件。</w:t>
      </w:r>
    </w:p>
    <w:p w14:paraId="297C1154">
      <w:pPr>
        <w:pStyle w:val="3"/>
        <w:keepNext/>
        <w:pageBreakBefore/>
        <w:rPr>
          <w:rFonts w:hint="eastAsia" w:ascii="宋体" w:hAnsi="宋体" w:eastAsia="宋体" w:cs="宋体"/>
        </w:rPr>
      </w:pPr>
      <w:r>
        <w:rPr>
          <w:rFonts w:hint="eastAsia" w:ascii="宋体" w:hAnsi="宋体" w:eastAsia="宋体" w:cs="宋体"/>
        </w:rPr>
        <w:t>参考文献</w:t>
      </w:r>
    </w:p>
    <w:p w14:paraId="1AA9C3FD">
      <w:pPr>
        <w:pStyle w:val="165"/>
        <w:rPr>
          <w:rFonts w:hint="eastAsia" w:ascii="宋体" w:hAnsi="宋体" w:eastAsia="宋体" w:cs="宋体"/>
        </w:rPr>
      </w:pPr>
      <w:r>
        <w:rPr>
          <w:rFonts w:hint="eastAsia" w:ascii="宋体" w:hAnsi="宋体" w:eastAsia="宋体" w:cs="宋体"/>
        </w:rPr>
        <w:t>[1] Ritwik Gupta, Bryce Goodman, Nirav Patel, et al. Creating xBD: A Dataset for Assessing Building Damage from Satellite Imagery. CVPR Workshops, 2019.</w:t>
      </w:r>
    </w:p>
    <w:p w14:paraId="09CEA317">
      <w:pPr>
        <w:pStyle w:val="165"/>
        <w:rPr>
          <w:rFonts w:hint="eastAsia" w:ascii="宋体" w:hAnsi="宋体" w:eastAsia="宋体" w:cs="宋体"/>
        </w:rPr>
      </w:pPr>
      <w:r>
        <w:rPr>
          <w:rFonts w:hint="eastAsia" w:ascii="宋体" w:hAnsi="宋体" w:eastAsia="宋体" w:cs="宋体"/>
        </w:rPr>
        <w:t>[2] Hongruixuan Chen, Jian Song, Olivier Dietrich, et al. BRIGHT: a globally distributed multimodal building damage assessment dataset with very-high-resolution for all-weather disaster response. Earth System Science Data, 17: 6217–6253, 2025.</w:t>
      </w:r>
    </w:p>
    <w:p w14:paraId="5D52BC6E">
      <w:pPr>
        <w:pStyle w:val="165"/>
        <w:rPr>
          <w:rFonts w:hint="eastAsia" w:ascii="宋体" w:hAnsi="宋体" w:eastAsia="宋体" w:cs="宋体"/>
        </w:rPr>
      </w:pPr>
      <w:r>
        <w:rPr>
          <w:rFonts w:hint="eastAsia" w:ascii="宋体" w:hAnsi="宋体" w:eastAsia="宋体" w:cs="宋体"/>
        </w:rPr>
        <w:t>[3] Zhuo Zheng, Yanfei Zhong, Junjue Wang, et al. Building damage assessment for rapid disaster response with a deep object-based semantic change detection framework: From natural disasters to man-made disasters. Remote Sensing of Environment, 265: 112636, 2021.</w:t>
      </w:r>
    </w:p>
    <w:p w14:paraId="30C99565">
      <w:pPr>
        <w:pStyle w:val="165"/>
        <w:rPr>
          <w:rFonts w:hint="eastAsia" w:ascii="宋体" w:hAnsi="宋体" w:eastAsia="宋体" w:cs="宋体"/>
        </w:rPr>
      </w:pPr>
      <w:r>
        <w:rPr>
          <w:rFonts w:hint="eastAsia" w:ascii="宋体" w:hAnsi="宋体" w:eastAsia="宋体" w:cs="宋体"/>
        </w:rPr>
        <w:t>[4] Varun Jampani, Deqing Sun, Ming-Yu Liu, et al. Superpixel Sampling Networks. ECCV, 2018.</w:t>
      </w:r>
    </w:p>
    <w:p w14:paraId="03EEADCC">
      <w:pPr>
        <w:pStyle w:val="165"/>
        <w:rPr>
          <w:rFonts w:hint="eastAsia" w:ascii="宋体" w:hAnsi="宋体" w:eastAsia="宋体" w:cs="宋体"/>
        </w:rPr>
      </w:pPr>
      <w:r>
        <w:rPr>
          <w:rFonts w:hint="eastAsia" w:ascii="宋体" w:hAnsi="宋体" w:eastAsia="宋体" w:cs="宋体"/>
        </w:rPr>
        <w:t>[5] Yuhui Yuan, Xilin Chen, Jingdong Wang. Object-Contextual Representations for Semantic Segmentation. ECCV, 2020.</w:t>
      </w:r>
    </w:p>
    <w:p w14:paraId="2F8F2AA5">
      <w:pPr>
        <w:pStyle w:val="165"/>
        <w:rPr>
          <w:rFonts w:hint="eastAsia" w:ascii="宋体" w:hAnsi="宋体" w:eastAsia="宋体" w:cs="宋体"/>
        </w:rPr>
      </w:pPr>
      <w:r>
        <w:rPr>
          <w:rFonts w:hint="eastAsia" w:ascii="宋体" w:hAnsi="宋体" w:eastAsia="宋体" w:cs="宋体"/>
        </w:rPr>
        <w:t>[6] Hongruixuan Chen, Edoardo Nemni, Sofia Vallecorsa, et al. Dual-Tasks Siamese Transformer Framework for Building Damage Assessment. IGARSS, 2022.</w:t>
      </w:r>
    </w:p>
    <w:p w14:paraId="09984AD1">
      <w:pPr>
        <w:pStyle w:val="165"/>
        <w:rPr>
          <w:rFonts w:hint="eastAsia" w:ascii="宋体" w:hAnsi="宋体" w:eastAsia="宋体" w:cs="宋体"/>
        </w:rPr>
      </w:pPr>
      <w:r>
        <w:rPr>
          <w:rFonts w:hint="eastAsia" w:ascii="宋体" w:hAnsi="宋体" w:eastAsia="宋体" w:cs="宋体"/>
        </w:rPr>
        <w:t>[7] Hongruixuan Chen, Jian Song, Chengxi Han, et al. ChangeMamba: Remote Sensing Change Detection With Spatiotemporal State Space Model. IEEE Transactions on Geoscience and Remote Sensing, 62: 4409720, 2024.</w:t>
      </w:r>
    </w:p>
    <w:p w14:paraId="671E99EF">
      <w:pPr>
        <w:pStyle w:val="165"/>
        <w:rPr>
          <w:rFonts w:hint="eastAsia" w:ascii="宋体" w:hAnsi="宋体" w:eastAsia="宋体" w:cs="宋体"/>
        </w:rPr>
      </w:pPr>
      <w:r>
        <w:rPr>
          <w:rFonts w:hint="eastAsia" w:ascii="宋体" w:hAnsi="宋体" w:eastAsia="宋体" w:cs="宋体"/>
        </w:rPr>
        <w:t>[8] Rongping Zhu, Xiaoji Lan. Multimodal Building Damage Assessment Method Fusing Adaptive Attention Mechanism and State-Space Modeling. Sensors, 26(2): 638, 2026.</w:t>
      </w:r>
    </w:p>
    <w:p w14:paraId="669722BF">
      <w:pPr>
        <w:pStyle w:val="165"/>
        <w:rPr>
          <w:rFonts w:hint="eastAsia" w:ascii="宋体" w:hAnsi="宋体" w:eastAsia="宋体" w:cs="宋体"/>
        </w:rPr>
      </w:pPr>
      <w:r>
        <w:rPr>
          <w:rFonts w:hint="eastAsia" w:ascii="宋体" w:hAnsi="宋体" w:eastAsia="宋体" w:cs="宋体"/>
        </w:rPr>
        <w:t>[9] Radhakrishna Achanta, Appu Shaji, Kevin Smith, et al. SLIC Superpixels Compared to State-of-the-Art Superpixel Methods. IEEE Transactions on Pattern Analysis and Machine Intelligence, 34(11): 2274–2282, 2012.</w:t>
      </w:r>
    </w:p>
    <w:p w14:paraId="3D264EA5">
      <w:pPr>
        <w:pStyle w:val="165"/>
        <w:rPr>
          <w:rFonts w:hint="eastAsia" w:ascii="宋体" w:hAnsi="宋体" w:eastAsia="宋体" w:cs="宋体"/>
        </w:rPr>
      </w:pPr>
      <w:r>
        <w:rPr>
          <w:rFonts w:hint="eastAsia" w:ascii="宋体" w:hAnsi="宋体" w:eastAsia="宋体" w:cs="宋体"/>
        </w:rPr>
        <w:t>[10] Fengting Yang, Qian Sun, Hailin Jin, et al. Superpixel Segmentation With Fully Convolutional Networks. CVPR, 2020.</w:t>
      </w:r>
    </w:p>
    <w:p w14:paraId="72F5E359">
      <w:pPr>
        <w:pStyle w:val="165"/>
        <w:rPr>
          <w:rFonts w:hint="eastAsia" w:ascii="宋体" w:hAnsi="宋体" w:eastAsia="宋体" w:cs="宋体"/>
        </w:rPr>
      </w:pPr>
      <w:r>
        <w:rPr>
          <w:rFonts w:hint="eastAsia" w:ascii="宋体" w:hAnsi="宋体" w:eastAsia="宋体" w:cs="宋体"/>
        </w:rPr>
        <w:t>[11] Alex Zihao Zhu, Jieru Mei, Siyuan Qiao, et al. Superpixel Transformers for Efficient Semantic Segmentation. IROS, 2023.</w:t>
      </w:r>
    </w:p>
    <w:p w14:paraId="44C41D55">
      <w:pPr>
        <w:pStyle w:val="165"/>
        <w:rPr>
          <w:rFonts w:hint="eastAsia" w:ascii="宋体" w:hAnsi="宋体" w:eastAsia="宋体" w:cs="宋体"/>
        </w:rPr>
      </w:pPr>
      <w:r>
        <w:rPr>
          <w:rFonts w:hint="eastAsia" w:ascii="宋体" w:hAnsi="宋体" w:eastAsia="宋体" w:cs="宋体"/>
        </w:rPr>
        <w:t>[12] Koji Okabe, Takafumi Koshinaka, Koichi Shinoda. Attentive Statistics Pooling for Deep Speaker Embedding. Interspeech, 2018.</w:t>
      </w:r>
    </w:p>
    <w:p w14:paraId="15CA0064">
      <w:pPr>
        <w:pStyle w:val="165"/>
        <w:rPr>
          <w:rFonts w:hint="eastAsia" w:ascii="宋体" w:hAnsi="宋体" w:eastAsia="宋体" w:cs="宋体"/>
        </w:rPr>
      </w:pPr>
      <w:r>
        <w:rPr>
          <w:rFonts w:hint="eastAsia" w:ascii="宋体" w:hAnsi="宋体" w:eastAsia="宋体" w:cs="宋体"/>
        </w:rPr>
        <w:t>[13] Wenguan Wang, Tianfei Zhou, Fisher Yu, et al. Exploring Cross-Image Pixel Contrast for Semantic Segmentation. ICCV, 2021.</w:t>
      </w:r>
    </w:p>
    <w:p w14:paraId="35AF3D8D">
      <w:pPr>
        <w:pStyle w:val="165"/>
        <w:rPr>
          <w:rFonts w:hint="eastAsia" w:ascii="宋体" w:hAnsi="宋体" w:eastAsia="宋体" w:cs="宋体"/>
        </w:rPr>
      </w:pPr>
      <w:r>
        <w:rPr>
          <w:rFonts w:hint="eastAsia" w:ascii="宋体" w:hAnsi="宋体" w:eastAsia="宋体" w:cs="宋体"/>
        </w:rPr>
        <w:t>[14] Tianfei Zhou, Wenguan Wang, Ender Konukoglu, et al. Rethinking Semantic Segmentation: A Prototype View. CVPR, 2022.</w:t>
      </w:r>
    </w:p>
    <w:p w14:paraId="7727F065">
      <w:pPr>
        <w:pStyle w:val="165"/>
        <w:rPr>
          <w:rFonts w:hint="eastAsia" w:ascii="宋体" w:hAnsi="宋体" w:eastAsia="宋体" w:cs="宋体"/>
        </w:rPr>
      </w:pPr>
      <w:r>
        <w:rPr>
          <w:rFonts w:hint="eastAsia" w:ascii="宋体" w:hAnsi="宋体" w:eastAsia="宋体" w:cs="宋体"/>
        </w:rPr>
        <w:t>[15] Renrui Zhang, Wei Zhang, Rongyao Fang, et al. Tip-Adapter: Training-Free Adaption of CLIP for Few-Shot Classification. ECCV, 2022.</w:t>
      </w:r>
    </w:p>
    <w:p w14:paraId="3842A786">
      <w:pPr>
        <w:pStyle w:val="165"/>
        <w:rPr>
          <w:rFonts w:hint="eastAsia" w:ascii="宋体" w:hAnsi="宋体" w:eastAsia="宋体" w:cs="宋体"/>
        </w:rPr>
      </w:pPr>
      <w:r>
        <w:rPr>
          <w:rFonts w:hint="eastAsia" w:ascii="宋体" w:hAnsi="宋体" w:eastAsia="宋体" w:cs="宋体"/>
        </w:rPr>
        <w:t>[16] Alexander Long, Wei Yin, Thalaiyasingam Ajanthan, et al. Retrieval Augmented Classification for Long-Tail Visual Recognition. CVPR, 2022.</w:t>
      </w:r>
    </w:p>
    <w:p w14:paraId="49C52503">
      <w:pPr>
        <w:pStyle w:val="165"/>
        <w:rPr>
          <w:rFonts w:hint="eastAsia" w:ascii="宋体" w:hAnsi="宋体" w:eastAsia="宋体" w:cs="宋体"/>
        </w:rPr>
      </w:pPr>
      <w:r>
        <w:rPr>
          <w:rFonts w:hint="eastAsia" w:ascii="宋体" w:hAnsi="宋体" w:eastAsia="宋体" w:cs="宋体"/>
        </w:rPr>
        <w:t>[17] Prannay Khosla, Piotr Teterwak, Chen Wang, et al. Supervised Contrastive Learning. NeurIPS, 2020.</w:t>
      </w:r>
    </w:p>
    <w:p w14:paraId="69F32808">
      <w:pPr>
        <w:pStyle w:val="165"/>
        <w:rPr>
          <w:rFonts w:hint="eastAsia" w:ascii="宋体" w:hAnsi="宋体" w:eastAsia="宋体" w:cs="宋体"/>
        </w:rPr>
      </w:pPr>
      <w:r>
        <w:rPr>
          <w:rFonts w:hint="eastAsia" w:ascii="宋体" w:hAnsi="宋体" w:eastAsia="宋体" w:cs="宋体"/>
        </w:rPr>
        <w:t>[18] Ze Liu, Yutong Lin, Yue Cao, et al. Swin Transformer: Hierarchical Vision Transformer Using Shifted Windows. ICCV, 2021.</w:t>
      </w:r>
    </w:p>
    <w:p w14:paraId="2EBA8BF9">
      <w:pPr>
        <w:pStyle w:val="165"/>
        <w:rPr>
          <w:rFonts w:hint="eastAsia" w:ascii="宋体" w:hAnsi="宋体" w:eastAsia="宋体" w:cs="宋体"/>
        </w:rPr>
      </w:pPr>
      <w:r>
        <w:rPr>
          <w:rFonts w:hint="eastAsia" w:ascii="宋体" w:hAnsi="宋体" w:eastAsia="宋体" w:cs="宋体"/>
        </w:rPr>
        <w:t>[19] Maxim Berman, Amal Rannen Triki, Matthew B. Blaschko. The Lovász-Softmax Loss: A Tractable Surrogate for the Optimization of the Intersection-Over-Union Measure in Neural Networks. CVPR, 2018.</w:t>
      </w:r>
    </w:p>
    <w:p>
      <w:pPr>
        <w:pStyle w:val="165"/>
      </w:pPr>
      <w:r>
        <w:t>[20] Superpixel Anything: A general object-based framework for accurate yet regular superpixel segmentation. BMVC, 2025. 官方代码：https://github.com/waldo-j/spam 。</w:t>
      </w:r>
    </w:p>
    <w:p>
      <w:pPr>
        <w:pStyle w:val="165"/>
      </w:pPr>
      <w:r>
        <w:t>[21] Ethan Perez, Florian Strub, Harm de Vries, et al. FiLM: Visual Reasoning with a General Conditioning Layer. AAAI, 2018. 官方代码：https://github.com/ethanjperez/film 。</w:t>
      </w:r>
    </w:p>
    <w:p>
      <w:pPr>
        <w:pStyle w:val="165"/>
      </w:pPr>
      <w:r>
        <w:t>[22] Siheng Ning, Yuan Li, Xiaodan Zhang, Jianbin Jiao. SRAC: Superpixel Retrieval-Augmented Classification for Multi-Modal Disaster Building Damage Assessment. IGARSS 2026，会议论文条目。https://2026.ieeeigarss.org/view_paper.php?PaperNum=2851&amp;SessionID=1356 。当前证据限目录、机构介绍及方法图。</w:t>
      </w:r>
    </w:p>
    <w:p>
      <w:pPr>
        <w:pStyle w:val="3"/>
      </w:pPr>
      <w:r>
        <w:t>附录A　内部实验编号与论文名称对照</w:t>
      </w:r>
    </w:p>
    <w:p>
      <w:pPr/>
      <w:r>
        <w:t>本表只用于核对历史日志与配置。正文和主表使用描述性名称，原代码目录及文件名保留原编号。图1为原始位图，暂保留旧内部标记并在图注说明对应关系。</w:t>
      </w:r>
    </w:p>
    <w:tbl>
      <w:tblPr>
        <w:tblStyle w:val="33"/>
        <w:tblW w:type="auto" w:w="0"/>
        <w:tblLook w:firstColumn="1" w:firstRow="1" w:lastColumn="0" w:lastRow="0" w:noHBand="0" w:noVBand="1" w:val="04A0"/>
      </w:tblPr>
      <w:tblGrid>
        <w:gridCol w:w="2256"/>
        <w:gridCol w:w="2256"/>
        <w:gridCol w:w="2256"/>
        <w:gridCol w:w="2256"/>
      </w:tblGrid>
      <w:tr>
        <w:tc>
          <w:tcPr>
            <w:tcW w:type="dxa" w:w="2256"/>
          </w:tcPr>
          <w:p>
            <w:pPr>
              <w:ind w:firstLine="0"/>
            </w:pPr>
            <w:r>
              <w:rPr>
                <w:rFonts w:ascii="Times New Roman" w:hAnsi="Times New Roman" w:eastAsia="宋体"/>
                <w:sz w:val="17"/>
              </w:rPr>
              <w:t>内部编号</w:t>
            </w:r>
          </w:p>
        </w:tc>
        <w:tc>
          <w:tcPr>
            <w:tcW w:type="dxa" w:w="2256"/>
          </w:tcPr>
          <w:p>
            <w:pPr>
              <w:ind w:firstLine="0"/>
            </w:pPr>
            <w:r>
              <w:rPr>
                <w:rFonts w:ascii="Times New Roman" w:hAnsi="Times New Roman" w:eastAsia="宋体"/>
                <w:sz w:val="17"/>
              </w:rPr>
              <w:t>论文名称</w:t>
            </w:r>
          </w:p>
        </w:tc>
        <w:tc>
          <w:tcPr>
            <w:tcW w:type="dxa" w:w="2256"/>
          </w:tcPr>
          <w:p>
            <w:pPr>
              <w:ind w:firstLine="0"/>
            </w:pPr>
            <w:r>
              <w:rPr>
                <w:rFonts w:ascii="Times New Roman" w:hAnsi="Times New Roman" w:eastAsia="宋体"/>
                <w:sz w:val="17"/>
              </w:rPr>
              <w:t>英文描述</w:t>
            </w:r>
          </w:p>
        </w:tc>
        <w:tc>
          <w:tcPr>
            <w:tcW w:type="dxa" w:w="2256"/>
          </w:tcPr>
          <w:p>
            <w:pPr>
              <w:ind w:firstLine="0"/>
            </w:pPr>
            <w:r>
              <w:rPr>
                <w:rFonts w:ascii="Times New Roman" w:hAnsi="Times New Roman" w:eastAsia="宋体"/>
                <w:sz w:val="17"/>
              </w:rPr>
              <w:t>实际区别</w:t>
            </w:r>
          </w:p>
        </w:tc>
      </w:tr>
      <w:tr>
        <w:tc>
          <w:tcPr>
            <w:tcW w:type="dxa" w:w="2256"/>
          </w:tcPr>
          <w:p>
            <w:pPr>
              <w:ind w:firstLine="0"/>
            </w:pPr>
            <w:r>
              <w:rPr>
                <w:rFonts w:ascii="Times New Roman" w:hAnsi="Times New Roman" w:eastAsia="宋体"/>
                <w:sz w:val="17"/>
              </w:rPr>
              <w:t>A1</w:t>
            </w:r>
          </w:p>
        </w:tc>
        <w:tc>
          <w:tcPr>
            <w:tcW w:type="dxa" w:w="2256"/>
          </w:tcPr>
          <w:p>
            <w:pPr>
              <w:ind w:firstLine="0"/>
            </w:pPr>
            <w:r>
              <w:rPr>
                <w:rFonts w:ascii="Times New Roman" w:hAnsi="Times New Roman" w:eastAsia="宋体"/>
                <w:sz w:val="17"/>
              </w:rPr>
              <w:t>像素基线（原始权重）</w:t>
            </w:r>
          </w:p>
        </w:tc>
        <w:tc>
          <w:tcPr>
            <w:tcW w:type="dxa" w:w="2256"/>
          </w:tcPr>
          <w:p>
            <w:pPr>
              <w:ind w:firstLine="0"/>
            </w:pPr>
            <w:r>
              <w:rPr>
                <w:rFonts w:ascii="Times New Roman" w:hAnsi="Times New Roman" w:eastAsia="宋体"/>
                <w:sz w:val="17"/>
              </w:rPr>
              <w:t>Pixel baseline (original weights)</w:t>
            </w:r>
          </w:p>
        </w:tc>
        <w:tc>
          <w:tcPr>
            <w:tcW w:type="dxa" w:w="2256"/>
          </w:tcPr>
          <w:p>
            <w:pPr>
              <w:ind w:firstLine="0"/>
            </w:pPr>
            <w:r>
              <w:rPr>
                <w:rFonts w:ascii="Times New Roman" w:hAnsi="Times New Roman" w:eastAsia="宋体"/>
                <w:sz w:val="17"/>
              </w:rPr>
              <w:t>直接评价MPF既有像素分类器，不进行本轮头训练</w:t>
            </w:r>
          </w:p>
        </w:tc>
      </w:tr>
      <w:tr>
        <w:tc>
          <w:tcPr>
            <w:tcW w:type="dxa" w:w="2256"/>
          </w:tcPr>
          <w:p>
            <w:pPr>
              <w:ind w:firstLine="0"/>
            </w:pPr>
            <w:r>
              <w:rPr>
                <w:rFonts w:ascii="Times New Roman" w:hAnsi="Times New Roman" w:eastAsia="宋体"/>
                <w:sz w:val="17"/>
              </w:rPr>
              <w:t>J0</w:t>
            </w:r>
          </w:p>
        </w:tc>
        <w:tc>
          <w:tcPr>
            <w:tcW w:type="dxa" w:w="2256"/>
          </w:tcPr>
          <w:p>
            <w:pPr>
              <w:ind w:firstLine="0"/>
            </w:pPr>
            <w:r>
              <w:rPr>
                <w:rFonts w:ascii="Times New Roman" w:hAnsi="Times New Roman" w:eastAsia="宋体"/>
                <w:sz w:val="17"/>
              </w:rPr>
              <w:t>像素基线（分类头适配）</w:t>
            </w:r>
          </w:p>
        </w:tc>
        <w:tc>
          <w:tcPr>
            <w:tcW w:type="dxa" w:w="2256"/>
          </w:tcPr>
          <w:p>
            <w:pPr>
              <w:ind w:firstLine="0"/>
            </w:pPr>
            <w:r>
              <w:rPr>
                <w:rFonts w:ascii="Times New Roman" w:hAnsi="Times New Roman" w:eastAsia="宋体"/>
                <w:sz w:val="17"/>
              </w:rPr>
              <w:t>Pixel baseline (head adaptation)</w:t>
            </w:r>
          </w:p>
        </w:tc>
        <w:tc>
          <w:tcPr>
            <w:tcW w:type="dxa" w:w="2256"/>
          </w:tcPr>
          <w:p>
            <w:pPr>
              <w:ind w:firstLine="0"/>
            </w:pPr>
            <w:r>
              <w:rPr>
                <w:rFonts w:ascii="Times New Roman" w:hAnsi="Times New Roman" w:eastAsia="宋体"/>
                <w:sz w:val="17"/>
              </w:rPr>
              <w:t>冻结同一前端，只训练像素分类头</w:t>
            </w:r>
          </w:p>
        </w:tc>
      </w:tr>
      <w:tr>
        <w:tc>
          <w:tcPr>
            <w:tcW w:type="dxa" w:w="2256"/>
          </w:tcPr>
          <w:p>
            <w:pPr>
              <w:ind w:firstLine="0"/>
            </w:pPr>
            <w:r>
              <w:rPr>
                <w:rFonts w:ascii="Times New Roman" w:hAnsi="Times New Roman" w:eastAsia="宋体"/>
                <w:sz w:val="17"/>
              </w:rPr>
              <w:t>Jcur</w:t>
            </w:r>
          </w:p>
        </w:tc>
        <w:tc>
          <w:tcPr>
            <w:tcW w:type="dxa" w:w="2256"/>
          </w:tcPr>
          <w:p>
            <w:pPr>
              <w:ind w:firstLine="0"/>
            </w:pPr>
            <w:r>
              <w:rPr>
                <w:rFonts w:ascii="Times New Roman" w:hAnsi="Times New Roman" w:eastAsia="宋体"/>
                <w:sz w:val="17"/>
              </w:rPr>
              <w:t>像素—区域联合基线</w:t>
            </w:r>
          </w:p>
        </w:tc>
        <w:tc>
          <w:tcPr>
            <w:tcW w:type="dxa" w:w="2256"/>
          </w:tcPr>
          <w:p>
            <w:pPr>
              <w:ind w:firstLine="0"/>
            </w:pPr>
            <w:r>
              <w:rPr>
                <w:rFonts w:ascii="Times New Roman" w:hAnsi="Times New Roman" w:eastAsia="宋体"/>
                <w:sz w:val="17"/>
              </w:rPr>
              <w:t>Pixel–region baseline</w:t>
            </w:r>
          </w:p>
        </w:tc>
        <w:tc>
          <w:tcPr>
            <w:tcW w:type="dxa" w:w="2256"/>
          </w:tcPr>
          <w:p>
            <w:pPr>
              <w:ind w:firstLine="0"/>
            </w:pPr>
            <w:r>
              <w:rPr>
                <w:rFonts w:ascii="Times New Roman" w:hAnsi="Times New Roman" w:eastAsia="宋体"/>
                <w:sz w:val="17"/>
              </w:rPr>
              <w:t>当前图区域直接回投，无支持Reader</w:t>
            </w:r>
          </w:p>
        </w:tc>
      </w:tr>
      <w:tr>
        <w:tc>
          <w:tcPr>
            <w:tcW w:type="dxa" w:w="2256"/>
          </w:tcPr>
          <w:p>
            <w:pPr>
              <w:ind w:firstLine="0"/>
            </w:pPr>
            <w:r>
              <w:rPr>
                <w:rFonts w:ascii="Times New Roman" w:hAnsi="Times New Roman" w:eastAsia="宋体"/>
                <w:sz w:val="17"/>
              </w:rPr>
              <w:t>J1</w:t>
            </w:r>
          </w:p>
        </w:tc>
        <w:tc>
          <w:tcPr>
            <w:tcW w:type="dxa" w:w="2256"/>
          </w:tcPr>
          <w:p>
            <w:pPr>
              <w:ind w:firstLine="0"/>
            </w:pPr>
            <w:r>
              <w:rPr>
                <w:rFonts w:ascii="Times New Roman" w:hAnsi="Times New Roman" w:eastAsia="宋体"/>
                <w:sz w:val="17"/>
              </w:rPr>
              <w:t>可学习槽位对照</w:t>
            </w:r>
          </w:p>
        </w:tc>
        <w:tc>
          <w:tcPr>
            <w:tcW w:type="dxa" w:w="2256"/>
          </w:tcPr>
          <w:p>
            <w:pPr>
              <w:ind w:firstLine="0"/>
            </w:pPr>
            <w:r>
              <w:rPr>
                <w:rFonts w:ascii="Times New Roman" w:hAnsi="Times New Roman" w:eastAsia="宋体"/>
                <w:sz w:val="17"/>
              </w:rPr>
              <w:t>Learnable-slot control</w:t>
            </w:r>
          </w:p>
        </w:tc>
        <w:tc>
          <w:tcPr>
            <w:tcW w:type="dxa" w:w="2256"/>
          </w:tcPr>
          <w:p>
            <w:pPr>
              <w:ind w:firstLine="0"/>
            </w:pPr>
            <w:r>
              <w:rPr>
                <w:rFonts w:ascii="Times New Roman" w:hAnsi="Times New Roman" w:eastAsia="宋体"/>
                <w:sz w:val="17"/>
              </w:rPr>
              <w:t>Reader读取可学习参考向量，不读取真实Train记录</w:t>
            </w:r>
          </w:p>
        </w:tc>
      </w:tr>
      <w:tr>
        <w:tc>
          <w:tcPr>
            <w:tcW w:type="dxa" w:w="2256"/>
          </w:tcPr>
          <w:p>
            <w:pPr>
              <w:ind w:firstLine="0"/>
            </w:pPr>
            <w:r>
              <w:rPr>
                <w:rFonts w:ascii="Times New Roman" w:hAnsi="Times New Roman" w:eastAsia="宋体"/>
                <w:sz w:val="17"/>
              </w:rPr>
              <w:t>J2</w:t>
            </w:r>
          </w:p>
        </w:tc>
        <w:tc>
          <w:tcPr>
            <w:tcW w:type="dxa" w:w="2256"/>
          </w:tcPr>
          <w:p>
            <w:pPr>
              <w:ind w:firstLine="0"/>
            </w:pPr>
            <w:r>
              <w:rPr>
                <w:rFonts w:ascii="Times New Roman" w:hAnsi="Times New Roman" w:eastAsia="宋体"/>
                <w:sz w:val="17"/>
              </w:rPr>
              <w:t>余弦检索增强模型</w:t>
            </w:r>
          </w:p>
        </w:tc>
        <w:tc>
          <w:tcPr>
            <w:tcW w:type="dxa" w:w="2256"/>
          </w:tcPr>
          <w:p>
            <w:pPr>
              <w:ind w:firstLine="0"/>
            </w:pPr>
            <w:r>
              <w:rPr>
                <w:rFonts w:ascii="Times New Roman" w:hAnsi="Times New Roman" w:eastAsia="宋体"/>
                <w:sz w:val="17"/>
              </w:rPr>
              <w:t>Cosine retrieval-augmented model</w:t>
            </w:r>
          </w:p>
        </w:tc>
        <w:tc>
          <w:tcPr>
            <w:tcW w:type="dxa" w:w="2256"/>
          </w:tcPr>
          <w:p>
            <w:pPr>
              <w:ind w:firstLine="0"/>
            </w:pPr>
            <w:r>
              <w:rPr>
                <w:rFonts w:ascii="Times New Roman" w:hAnsi="Times New Roman" w:eastAsia="宋体"/>
                <w:sz w:val="17"/>
              </w:rPr>
              <w:t>同一Train库，按原始余弦选择真实支持</w:t>
            </w:r>
          </w:p>
        </w:tc>
      </w:tr>
      <w:tr>
        <w:tc>
          <w:tcPr>
            <w:tcW w:type="dxa" w:w="2256"/>
          </w:tcPr>
          <w:p>
            <w:pPr>
              <w:ind w:firstLine="0"/>
            </w:pPr>
            <w:r>
              <w:rPr>
                <w:rFonts w:ascii="Times New Roman" w:hAnsi="Times New Roman" w:eastAsia="宋体"/>
                <w:sz w:val="17"/>
              </w:rPr>
              <w:t>J3</w:t>
            </w:r>
          </w:p>
        </w:tc>
        <w:tc>
          <w:tcPr>
            <w:tcW w:type="dxa" w:w="2256"/>
          </w:tcPr>
          <w:p>
            <w:pPr>
              <w:ind w:firstLine="0"/>
            </w:pPr>
            <w:r>
              <w:rPr>
                <w:rFonts w:ascii="Times New Roman" w:hAnsi="Times New Roman" w:eastAsia="宋体"/>
                <w:sz w:val="17"/>
              </w:rPr>
              <w:t>跨事件监督检索增强模型</w:t>
            </w:r>
          </w:p>
        </w:tc>
        <w:tc>
          <w:tcPr>
            <w:tcW w:type="dxa" w:w="2256"/>
          </w:tcPr>
          <w:p>
            <w:pPr>
              <w:ind w:firstLine="0"/>
            </w:pPr>
            <w:r>
              <w:rPr>
                <w:rFonts w:ascii="Times New Roman" w:hAnsi="Times New Roman" w:eastAsia="宋体"/>
                <w:sz w:val="17"/>
              </w:rPr>
              <w:t>Cross-event supervised retrieval model</w:t>
            </w:r>
          </w:p>
        </w:tc>
        <w:tc>
          <w:tcPr>
            <w:tcW w:type="dxa" w:w="2256"/>
          </w:tcPr>
          <w:p>
            <w:pPr>
              <w:ind w:firstLine="0"/>
            </w:pPr>
            <w:r>
              <w:rPr>
                <w:rFonts w:ascii="Times New Roman" w:hAnsi="Times New Roman" w:eastAsia="宋体"/>
                <w:sz w:val="17"/>
              </w:rPr>
              <w:t>同一Train库，跨事件监督投影选择支持ID</w:t>
            </w:r>
          </w:p>
        </w:tc>
      </w:tr>
    </w:tbl>
    <w:sectPr>
      <w:footerReference r:id="rId5" w:type="default"/>
      <w:pgSz w:w="11906" w:h="16838"/>
      <w:pgMar w:top="1440" w:right="1440" w:bottom="1440" w:left="144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0845">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71117C"/>
    <w:rsid w:val="733946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331"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widowControl/>
      <w:spacing w:before="220" w:after="120" w:line="276" w:lineRule="auto"/>
      <w:ind w:firstLine="0"/>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widowControl/>
      <w:spacing w:before="120" w:after="60" w:line="276"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120" w:line="288" w:lineRule="auto"/>
      <w:ind w:firstLine="0"/>
    </w:pPr>
    <w:rPr>
      <w:rFonts w:ascii="Times New Roman" w:hAnsi="Times New Roman" w:eastAsia="宋体"/>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 Body"/>
    <w:uiPriority w:val="0"/>
    <w:pPr>
      <w:widowControl/>
      <w:spacing w:after="100" w:line="331" w:lineRule="auto"/>
      <w:ind w:firstLine="0"/>
    </w:pPr>
    <w:rPr>
      <w:rFonts w:ascii="Times New Roman" w:hAnsi="Times New Roman" w:eastAsia="宋体" w:cstheme="minorBidi"/>
      <w:color w:val="000000"/>
      <w:sz w:val="21"/>
      <w:szCs w:val="22"/>
      <w:lang w:val="en-US" w:eastAsia="en-US" w:bidi="ar-SA"/>
    </w:rPr>
  </w:style>
  <w:style w:type="paragraph" w:customStyle="1" w:styleId="165">
    <w:name w:val="Reference Entry"/>
    <w:uiPriority w:val="0"/>
    <w:pPr>
      <w:keepLines/>
      <w:spacing w:after="40" w:line="283"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2576</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2026-10-16T02:14:52Z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3388F77FB18D443EB41F50B267671847_13</vt:lpwstr>
  </property>
</Properties>
</file>