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东北大学本科毕业设计（论文）中期报告</w:t>
      </w:r>
    </w:p>
    <w:p/>
    <w:tbl>
      <w:tblPr>
        <w:tblStyle w:val="TableGrid"/>
        <w:tblW w:type="auto" w:w="0"/>
        <w:jc w:val="center"/>
        <w:tblLook w:firstColumn="1" w:firstRow="1" w:lastColumn="0" w:lastRow="0" w:noHBand="0" w:noVBand="1" w:val="04A0"/>
      </w:tblPr>
      <w:tblGrid>
        <w:gridCol w:w="4317"/>
        <w:gridCol w:w="4317"/>
      </w:tblGrid>
      <w:tr>
        <w:tc>
          <w:tcPr>
            <w:tcW w:type="dxa" w:w="4317"/>
            <w:vAlign w:val="center"/>
          </w:tcPr>
          <w:p>
            <w:pPr>
              <w:jc w:val="center"/>
            </w:pPr>
            <w:r>
              <w:rPr>
                <w:rFonts w:ascii="宋体" w:hAnsi="宋体" w:eastAsia="宋体"/>
                <w:sz w:val="24"/>
              </w:rPr>
              <w:t>题目</w:t>
            </w:r>
          </w:p>
        </w:tc>
        <w:tc>
          <w:tcPr>
            <w:tcW w:type="dxa" w:w="4317"/>
            <w:vAlign w:val="center"/>
          </w:tcPr>
          <w:p>
            <w:pPr>
              <w:jc w:val="left"/>
            </w:pPr>
            <w:r>
              <w:rPr>
                <w:rFonts w:ascii="宋体" w:hAnsi="宋体" w:eastAsia="宋体"/>
                <w:sz w:val="24"/>
              </w:rPr>
              <w:t>考虑时间窗的多配送中心车辆路径优化</w:t>
            </w:r>
          </w:p>
        </w:tc>
      </w:tr>
      <w:tr>
        <w:tc>
          <w:tcPr>
            <w:tcW w:type="dxa" w:w="4317"/>
            <w:vAlign w:val="center"/>
          </w:tcPr>
          <w:p>
            <w:pPr>
              <w:jc w:val="center"/>
            </w:pPr>
            <w:r>
              <w:rPr>
                <w:rFonts w:ascii="宋体" w:hAnsi="宋体" w:eastAsia="宋体"/>
                <w:sz w:val="24"/>
              </w:rPr>
              <w:t>学院</w:t>
            </w:r>
          </w:p>
        </w:tc>
        <w:tc>
          <w:tcPr>
            <w:tcW w:type="dxa" w:w="4317"/>
            <w:vAlign w:val="center"/>
          </w:tcPr>
          <w:p>
            <w:pPr>
              <w:jc w:val="left"/>
            </w:pPr>
            <w:r>
              <w:rPr>
                <w:rFonts w:ascii="宋体" w:hAnsi="宋体" w:eastAsia="宋体"/>
                <w:sz w:val="24"/>
              </w:rPr>
              <w:t>计算机科学与工程学院</w:t>
            </w:r>
          </w:p>
        </w:tc>
      </w:tr>
      <w:tr>
        <w:tc>
          <w:tcPr>
            <w:tcW w:type="dxa" w:w="4317"/>
            <w:vAlign w:val="center"/>
          </w:tcPr>
          <w:p>
            <w:pPr>
              <w:jc w:val="center"/>
            </w:pPr>
            <w:r>
              <w:rPr>
                <w:rFonts w:ascii="宋体" w:hAnsi="宋体" w:eastAsia="宋体"/>
                <w:sz w:val="24"/>
              </w:rPr>
              <w:t>专业</w:t>
            </w:r>
          </w:p>
        </w:tc>
        <w:tc>
          <w:tcPr>
            <w:tcW w:type="dxa" w:w="4317"/>
            <w:vAlign w:val="center"/>
          </w:tcPr>
          <w:p>
            <w:pPr>
              <w:jc w:val="left"/>
            </w:pPr>
            <w:r>
              <w:rPr>
                <w:rFonts w:ascii="宋体" w:hAnsi="宋体" w:eastAsia="宋体"/>
                <w:sz w:val="24"/>
              </w:rPr>
              <w:t>计算机科学与技术</w:t>
            </w:r>
          </w:p>
        </w:tc>
      </w:tr>
      <w:tr>
        <w:tc>
          <w:tcPr>
            <w:tcW w:type="dxa" w:w="4317"/>
            <w:vAlign w:val="center"/>
          </w:tcPr>
          <w:p>
            <w:pPr>
              <w:jc w:val="center"/>
            </w:pPr>
            <w:r>
              <w:rPr>
                <w:rFonts w:ascii="宋体" w:hAnsi="宋体" w:eastAsia="宋体"/>
                <w:sz w:val="24"/>
              </w:rPr>
              <w:t>学号</w:t>
            </w:r>
          </w:p>
        </w:tc>
        <w:tc>
          <w:tcPr>
            <w:tcW w:type="dxa" w:w="4317"/>
            <w:vAlign w:val="center"/>
          </w:tcPr>
          <w:p>
            <w:pPr>
              <w:jc w:val="left"/>
            </w:pPr>
            <w:r>
              <w:rPr>
                <w:rFonts w:ascii="宋体" w:hAnsi="宋体" w:eastAsia="宋体"/>
                <w:sz w:val="24"/>
              </w:rPr>
              <w:t>20225801</w:t>
            </w:r>
          </w:p>
        </w:tc>
      </w:tr>
      <w:tr>
        <w:tc>
          <w:tcPr>
            <w:tcW w:type="dxa" w:w="4317"/>
            <w:vAlign w:val="center"/>
          </w:tcPr>
          <w:p>
            <w:pPr>
              <w:jc w:val="center"/>
            </w:pPr>
            <w:r>
              <w:rPr>
                <w:rFonts w:ascii="宋体" w:hAnsi="宋体" w:eastAsia="宋体"/>
                <w:sz w:val="24"/>
              </w:rPr>
              <w:t>姓名</w:t>
            </w:r>
          </w:p>
        </w:tc>
        <w:tc>
          <w:tcPr>
            <w:tcW w:type="dxa" w:w="4317"/>
            <w:vAlign w:val="center"/>
          </w:tcPr>
          <w:p>
            <w:pPr>
              <w:jc w:val="left"/>
            </w:pPr>
            <w:r>
              <w:rPr>
                <w:rFonts w:ascii="宋体" w:hAnsi="宋体" w:eastAsia="宋体"/>
                <w:sz w:val="24"/>
              </w:rPr>
              <w:t>彭骏杰</w:t>
            </w:r>
          </w:p>
        </w:tc>
      </w:tr>
      <w:tr>
        <w:tc>
          <w:tcPr>
            <w:tcW w:type="dxa" w:w="4317"/>
            <w:vAlign w:val="center"/>
          </w:tcPr>
          <w:p>
            <w:pPr>
              <w:jc w:val="center"/>
            </w:pPr>
            <w:r>
              <w:rPr>
                <w:rFonts w:ascii="宋体" w:hAnsi="宋体" w:eastAsia="宋体"/>
                <w:sz w:val="24"/>
              </w:rPr>
              <w:t>指导教师</w:t>
            </w:r>
          </w:p>
        </w:tc>
        <w:tc>
          <w:tcPr>
            <w:tcW w:type="dxa" w:w="4317"/>
            <w:vAlign w:val="center"/>
          </w:tcPr>
          <w:p>
            <w:pPr>
              <w:jc w:val="left"/>
            </w:pPr>
            <w:r>
              <w:rPr>
                <w:rFonts w:ascii="宋体" w:hAnsi="宋体" w:eastAsia="宋体"/>
                <w:sz w:val="24"/>
              </w:rPr>
              <w:t>李海燕</w:t>
            </w:r>
          </w:p>
        </w:tc>
      </w:tr>
      <w:tr>
        <w:tc>
          <w:tcPr>
            <w:tcW w:type="dxa" w:w="4317"/>
            <w:vAlign w:val="center"/>
          </w:tcPr>
          <w:p>
            <w:pPr>
              <w:jc w:val="center"/>
            </w:pPr>
            <w:r>
              <w:rPr>
                <w:rFonts w:ascii="宋体" w:hAnsi="宋体" w:eastAsia="宋体"/>
                <w:sz w:val="24"/>
              </w:rPr>
              <w:t>填写日期</w:t>
            </w:r>
          </w:p>
        </w:tc>
        <w:tc>
          <w:tcPr>
            <w:tcW w:type="dxa" w:w="4317"/>
            <w:vAlign w:val="center"/>
          </w:tcPr>
          <w:p>
            <w:pPr>
              <w:jc w:val="left"/>
            </w:pPr>
            <w:r>
              <w:rPr>
                <w:rFonts w:ascii="宋体" w:hAnsi="宋体" w:eastAsia="宋体"/>
                <w:sz w:val="24"/>
              </w:rPr>
              <w:t>2026年3月17日</w:t>
            </w:r>
          </w:p>
        </w:tc>
      </w:tr>
    </w:tbl>
    <w:p/>
    <w:p>
      <w:pPr>
        <w:ind w:firstLine="0"/>
      </w:pPr>
      <w:r>
        <w:rPr>
          <w:rFonts w:ascii="黑体" w:hAnsi="黑体" w:eastAsia="黑体"/>
          <w:b/>
          <w:sz w:val="28"/>
        </w:rPr>
        <w:t>一、课题当前进展情况</w:t>
      </w:r>
    </w:p>
    <w:p>
      <w:pPr>
        <w:spacing w:line="360" w:lineRule="auto"/>
        <w:ind w:firstLine="420"/>
      </w:pPr>
      <w:r>
        <w:rPr>
          <w:rFonts w:ascii="宋体" w:hAnsi="宋体" w:eastAsia="宋体"/>
          <w:sz w:val="24"/>
        </w:rPr>
        <w:t>本课题围绕“考虑时间窗的多配送中心车辆路径优化”展开，当前已完成问题建模、数据组织、分解法与整体法两条技术路线的核心代码实现，并形成了较完整的实验对比框架。现阶段研究重点已经从“能否完成求解”推进到“如何稳定获得更优结果”。</w:t>
      </w:r>
    </w:p>
    <w:p>
      <w:pPr>
        <w:spacing w:line="360" w:lineRule="auto"/>
        <w:ind w:firstLine="420"/>
      </w:pPr>
      <w:r>
        <w:rPr>
          <w:rFonts w:ascii="宋体" w:hAnsi="宋体" w:eastAsia="宋体"/>
          <w:sz w:val="24"/>
        </w:rPr>
        <w:t>在问题定义方面，已经明确将研究对象建模为多配送中心、异构车辆、带时间窗与容量约束的车辆路径优化问题，并完成了相应的数据读取、距离计算、时间窗校验、车辆容量约束判定及结果可视化模块。项目已具备从原始数据输入、客户分配、车辆路径生成到结果导出和图形展示的完整运行链路。</w:t>
      </w:r>
    </w:p>
    <w:p>
      <w:pPr>
        <w:spacing w:line="360" w:lineRule="auto"/>
        <w:ind w:firstLine="420"/>
      </w:pPr>
      <w:r>
        <w:rPr>
          <w:rFonts w:ascii="宋体" w:hAnsi="宋体" w:eastAsia="宋体"/>
          <w:sz w:val="24"/>
        </w:rPr>
        <w:t>在求解框架方面，已完成两类方法的落地实现。第一类为分解法，即先进行客户到车场的分配，再在各车场内部求解带时间窗路径问题；第二类为整体法，即不先做分解，直接在全网络层面进行多车场路径优化。通过这两类方法的并行推进，当前已经能够较系统地比较不同建模思想与不同智能算法对求解质量的影响。</w:t>
      </w:r>
    </w:p>
    <w:p>
      <w:pPr>
        <w:ind w:firstLine="0"/>
      </w:pPr>
      <w:r>
        <w:rPr>
          <w:rFonts w:ascii="黑体" w:hAnsi="黑体" w:eastAsia="黑体"/>
          <w:b/>
          <w:sz w:val="28"/>
        </w:rPr>
        <w:t>二、已完成的主要工作及阶段性成果</w:t>
      </w:r>
    </w:p>
    <w:p>
      <w:pPr>
        <w:spacing w:line="360" w:lineRule="auto"/>
        <w:ind w:firstLine="420"/>
      </w:pPr>
      <w:r>
        <w:rPr>
          <w:rFonts w:ascii="宋体" w:hAnsi="宋体" w:eastAsia="宋体"/>
          <w:sz w:val="24"/>
        </w:rPr>
        <w:t>1. 已完成分解法第一阶段的多种分配算法实现与比较。当前已实现并测试基础分配、Exact MILP、GAP、SA、DBO + Repair 等方案，并整理出统一的阶段对比结果。从现有实验结果看，第一阶段中 Exact MILP 的总分配距离最低，为 588.70；若兼顾可实现性与启发式效率，DBO + Repair 的结果较稳定，总分配距离为 594.90，且 30 个客户均满足容量与分配可行性要求，因此目前后续第二阶段实验主要基于 DBO + Repair 分配结果展开。</w:t>
      </w:r>
    </w:p>
    <w:p>
      <w:pPr>
        <w:spacing w:line="360" w:lineRule="auto"/>
        <w:ind w:firstLine="420"/>
      </w:pPr>
      <w:r>
        <w:rPr>
          <w:rFonts w:ascii="宋体" w:hAnsi="宋体" w:eastAsia="宋体"/>
          <w:sz w:val="24"/>
        </w:rPr>
        <w:t>2. 已完成分解法第二阶段 ACO 路径求解框架。已经实现基础 ACO VRPTW 求解器，并在此基础上持续开展改进实验，陆续实现了 Improved ACO、Improved2 ACO、Improved3 ACO、Improved4 ACO、Improved5 ACO、Improved6 MACS-ACO 以及 Improved6.2 DBO-MACS-ACO 等多个版本。现阶段单次实验最优结果来自 Improved5 ACO，总成本为 461.67，总里程为 450.95；Improved6.2 的单次结果为 461.79，已经接近当前最优，但尚未实现超越。</w:t>
      </w:r>
    </w:p>
    <w:p>
      <w:pPr>
        <w:spacing w:line="360" w:lineRule="auto"/>
        <w:ind w:firstLine="420"/>
      </w:pPr>
      <w:r>
        <w:rPr>
          <w:rFonts w:ascii="宋体" w:hAnsi="宋体" w:eastAsia="宋体"/>
          <w:sz w:val="24"/>
        </w:rPr>
        <w:t>3. 已完成整体法算法原型实现。当前已经实现整体法 ACO、整体法 DBO 以及整体法 Improved ACO 等求解器，并能输出全网络的路径结果与汇总文件。从实验结果来看，整体法当前整体成本明显高于分解法，例如 Whole ACO 的总成本为 1200.10，Whole DBO 的总成本为 1381.29，说明在当前数据规模与实现方式下，分解法仍是更具优势的技术路线。</w:t>
      </w:r>
    </w:p>
    <w:p>
      <w:pPr>
        <w:spacing w:line="360" w:lineRule="auto"/>
        <w:ind w:firstLine="420"/>
      </w:pPr>
      <w:r>
        <w:rPr>
          <w:rFonts w:ascii="宋体" w:hAnsi="宋体" w:eastAsia="宋体"/>
          <w:sz w:val="24"/>
        </w:rPr>
        <w:t>4. 已完成多算法实验汇总与结果整理。项目中已经形成 phase1_comparison.csv、phase2_comparison.csv、comparison_summary.txt 等结果文件，并对分解法与整体法进行了统一对比。与此同时，已开展部分改进算法的重复实验，完成 Improved ACO、Improved3 ACO、Improved5 ACO 各 5 次复现统计；其中 Improved5 ACO 的 5 次复现实验平均成本为 465.834，方差为 20.928，平均表现优于另外两种已复现方法。Improved6.2 也已完成 5 次复现实验，其平均成本为 470.195，方差为 8.423，表现出一定稳定性，但平均效果仍未超过 Improved5 ACO。</w:t>
      </w:r>
    </w:p>
    <w:p>
      <w:pPr>
        <w:spacing w:line="360" w:lineRule="auto"/>
        <w:ind w:firstLine="420"/>
      </w:pPr>
      <w:r>
        <w:rPr>
          <w:rFonts w:ascii="宋体" w:hAnsi="宋体" w:eastAsia="宋体"/>
          <w:sz w:val="24"/>
        </w:rPr>
        <w:t>5. 已完成论文前期文字工作准备。结合学长论文结构与本人开题内容，已经梳理出后续毕业论文目录框架，并启动第一章等文字撰写准备工作。现阶段论文写作材料已具备较好的代码、实验数据和图表基础。</w:t>
      </w:r>
    </w:p>
    <w:p>
      <w:pPr>
        <w:ind w:firstLine="0"/>
      </w:pPr>
      <w:r>
        <w:rPr>
          <w:rFonts w:ascii="黑体" w:hAnsi="黑体" w:eastAsia="黑体"/>
          <w:b/>
          <w:sz w:val="28"/>
        </w:rPr>
        <w:t>三、存在的问题及拟采取的解决措施</w:t>
      </w:r>
    </w:p>
    <w:p>
      <w:pPr>
        <w:spacing w:line="360" w:lineRule="auto"/>
        <w:ind w:firstLine="420"/>
      </w:pPr>
      <w:r>
        <w:rPr>
          <w:rFonts w:ascii="宋体" w:hAnsi="宋体" w:eastAsia="宋体"/>
          <w:sz w:val="24"/>
        </w:rPr>
        <w:t>1. 当前最突出的问题是第二阶段最优算法尚未完全确定。虽然已经完成多个 ACO 改进版本，但不同算法在“单次最优值”和“多次复现均值”上的表现并不完全一致。例如 Improved5 ACO 当前单次最优最强，而 DBO 深度融入后的 Improved6.2 在稳定性上更好，但均值仍偏高。这说明改进机制之间存在耦合，部分增强策略会提高搜索多样性，却不一定直接带来更低成本。</w:t>
      </w:r>
    </w:p>
    <w:p>
      <w:pPr>
        <w:spacing w:line="360" w:lineRule="auto"/>
        <w:ind w:firstLine="420"/>
      </w:pPr>
      <w:r>
        <w:rPr>
          <w:rFonts w:ascii="宋体" w:hAnsi="宋体" w:eastAsia="宋体"/>
          <w:sz w:val="24"/>
        </w:rPr>
        <w:t>2. 目前各改进算法之间的公平比较仍需进一步统一。不同算法中存在参数规模、迭代次数、内外层优化开销不完全一致的问题，容易导致“结果更好”与“计算资源更多”混在一起。后续需要在统一计算预算、统一随机种子组和统一评价指标的条件下，进一步开展对照实验。</w:t>
      </w:r>
    </w:p>
    <w:p>
      <w:pPr>
        <w:spacing w:line="360" w:lineRule="auto"/>
        <w:ind w:firstLine="420"/>
      </w:pPr>
      <w:r>
        <w:rPr>
          <w:rFonts w:ascii="宋体" w:hAnsi="宋体" w:eastAsia="宋体"/>
          <w:sz w:val="24"/>
        </w:rPr>
        <w:t>3. 整体法虽然已经实现，但当前效果明显弱于分解法，说明整体编码方式、约束处理方式以及搜索策略仍有较大改进空间。若后续希望把整体法作为论文中的重要对照组，需要进一步提升其可行解构造能力和全局搜索效率。</w:t>
      </w:r>
    </w:p>
    <w:p>
      <w:pPr>
        <w:spacing w:line="360" w:lineRule="auto"/>
        <w:ind w:firstLine="420"/>
      </w:pPr>
      <w:r>
        <w:rPr>
          <w:rFonts w:ascii="宋体" w:hAnsi="宋体" w:eastAsia="宋体"/>
          <w:sz w:val="24"/>
        </w:rPr>
        <w:t>4. 论文写作方面虽然已经积累了较多结果，但仍存在“实验数量较多、主线叙述需要收束”的问题。后续需要明确论文主打算法与辅助对照算法，避免实验线过多导致论文结构分散。</w:t>
      </w:r>
    </w:p>
    <w:p>
      <w:pPr>
        <w:spacing w:line="360" w:lineRule="auto"/>
        <w:ind w:firstLine="420"/>
      </w:pPr>
      <w:r>
        <w:rPr>
          <w:rFonts w:ascii="宋体" w:hAnsi="宋体" w:eastAsia="宋体"/>
          <w:sz w:val="24"/>
        </w:rPr>
        <w:t>针对上述问题，拟采取以下措施：一是继续围绕分解法第二阶段开展定向优化，重点保留有效机制、削弱无明显收益的复杂模块；二是增加重复实验和统计分析，以均值、方差和最优值共同评价算法；三是把整体法定位为对照研究，保持实现完整但避免投入过多时间；四是同步推进论文正文撰写，使算法实验和论文结构逐步收敛到同一主线。</w:t>
      </w:r>
    </w:p>
    <w:p>
      <w:pPr>
        <w:ind w:firstLine="0"/>
      </w:pPr>
      <w:r>
        <w:rPr>
          <w:rFonts w:ascii="黑体" w:hAnsi="黑体" w:eastAsia="黑体"/>
          <w:b/>
          <w:sz w:val="28"/>
        </w:rPr>
        <w:t>四、下一步工作安排</w:t>
      </w:r>
    </w:p>
    <w:p>
      <w:pPr>
        <w:spacing w:line="360" w:lineRule="auto"/>
        <w:ind w:firstLine="420"/>
      </w:pPr>
      <w:r>
        <w:rPr>
          <w:rFonts w:ascii="宋体" w:hAnsi="宋体" w:eastAsia="宋体"/>
          <w:sz w:val="24"/>
        </w:rPr>
        <w:t>1. 继续完善分解法第二阶段的改进算法设计，重点围绕蚁群算法与蜣螂优化思想的融合开展后续实验，争取在统一复现实验口径下实现对 Improved5 ACO 的稳定超越。</w:t>
      </w:r>
    </w:p>
    <w:p>
      <w:pPr>
        <w:spacing w:line="360" w:lineRule="auto"/>
        <w:ind w:firstLine="420"/>
      </w:pPr>
      <w:r>
        <w:rPr>
          <w:rFonts w:ascii="宋体" w:hAnsi="宋体" w:eastAsia="宋体"/>
          <w:sz w:val="24"/>
        </w:rPr>
        <w:t>2. 对现有候选算法开展更加规范的多次复现实验，统一采用相同数据、相同统计口径和相近计算预算，输出均值、方差、收敛趋势等指标，为论文实验章节提供更有说服力的数据支撑。</w:t>
      </w:r>
    </w:p>
    <w:p>
      <w:pPr>
        <w:spacing w:line="360" w:lineRule="auto"/>
        <w:ind w:firstLine="420"/>
      </w:pPr>
      <w:r>
        <w:rPr>
          <w:rFonts w:ascii="宋体" w:hAnsi="宋体" w:eastAsia="宋体"/>
          <w:sz w:val="24"/>
        </w:rPr>
        <w:t>3. 对当前代码与实验结果进行进一步整理，补充必要的图表、流程图和算法伪代码，逐步形成论文第三章、第四章和第五章所需材料。</w:t>
      </w:r>
    </w:p>
    <w:p>
      <w:pPr>
        <w:spacing w:line="360" w:lineRule="auto"/>
        <w:ind w:firstLine="420"/>
      </w:pPr>
      <w:r>
        <w:rPr>
          <w:rFonts w:ascii="宋体" w:hAnsi="宋体" w:eastAsia="宋体"/>
          <w:sz w:val="24"/>
        </w:rPr>
        <w:t>4. 在算法主线基本确定后，完成毕业论文目录细化，并继续撰写绪论、模型建立、算法设计和实验分析等章节，确保后续写作与实验同步推进。</w:t>
      </w:r>
    </w:p>
    <w:p>
      <w:pPr>
        <w:spacing w:line="360" w:lineRule="auto"/>
        <w:ind w:firstLine="420"/>
      </w:pPr>
      <w:r>
        <w:rPr>
          <w:rFonts w:ascii="宋体" w:hAnsi="宋体" w:eastAsia="宋体"/>
          <w:sz w:val="24"/>
        </w:rPr>
        <w:t>5. 预留一定时间用于结果复核、格式调整和与指导教师沟通修改意见，保证后期提交材料的完整性和规范性。</w:t>
      </w:r>
    </w:p>
    <w:p>
      <w:pPr>
        <w:ind w:firstLine="0"/>
      </w:pPr>
      <w:r>
        <w:rPr>
          <w:rFonts w:ascii="黑体" w:hAnsi="黑体" w:eastAsia="黑体"/>
          <w:b/>
          <w:sz w:val="28"/>
        </w:rPr>
        <w:t>五、指导教师意见（参考稿）</w:t>
      </w:r>
    </w:p>
    <w:p>
      <w:pPr>
        <w:spacing w:line="360" w:lineRule="auto"/>
        <w:ind w:firstLine="420"/>
      </w:pPr>
      <w:r>
        <w:rPr>
          <w:rFonts w:ascii="宋体" w:hAnsi="宋体" w:eastAsia="宋体"/>
          <w:sz w:val="24"/>
        </w:rPr>
        <w:t>学生前期工作推进较扎实，已完成课题相关文献调研、问题建模、程序实现和阶段性实验分析，能够围绕多配送中心带时间窗车辆路径优化问题持续开展算法设计与改进。当前已经形成较完整的分解法与整体法实验框架，并能对不同算法结果进行归纳比较，说明其具备较强的独立分析与实现能力。</w:t>
      </w:r>
    </w:p>
    <w:p>
      <w:pPr>
        <w:spacing w:line="360" w:lineRule="auto"/>
        <w:ind w:firstLine="420"/>
      </w:pPr>
      <w:r>
        <w:rPr>
          <w:rFonts w:ascii="宋体" w:hAnsi="宋体" w:eastAsia="宋体"/>
          <w:sz w:val="24"/>
        </w:rPr>
        <w:t>下一阶段建议继续聚焦第二阶段路径优化算法，突出论文主线，进一步加强复现实验与统计分析，尽快确定最终主打算法方案，并同步推进论文正文撰写。总体来看，课题进展符合中期要求。</w:t>
      </w:r>
    </w:p>
    <w:p>
      <w:pPr>
        <w:ind w:firstLine="0"/>
      </w:pPr>
      <w:r>
        <w:rPr>
          <w:rFonts w:ascii="宋体" w:hAnsi="宋体" w:eastAsia="宋体"/>
          <w:sz w:val="22"/>
        </w:rPr>
        <w:t>说明：指导教师签字、日期等栏目建议在最终提交前结合学院要求手动确认。</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