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60"/>
        <w:jc w:val="center"/>
      </w:pPr>
      <w:r>
        <w:rPr>
          <w:rFonts w:ascii="黑体" w:hAnsi="黑体" w:eastAsia="黑体"/>
          <w:b/>
          <w:sz w:val="36"/>
        </w:rPr>
        <w:t>5 实验结果与性能分析</w:t>
      </w:r>
    </w:p>
    <w:p>
      <w:pPr>
        <w:spacing w:before="0" w:after="0" w:lineRule="exact" w:line="460"/>
      </w:pPr>
      <w:r>
        <w:rPr>
          <w:rFonts w:ascii="黑体" w:hAnsi="黑体" w:eastAsia="黑体"/>
          <w:b/>
          <w:sz w:val="28"/>
        </w:rPr>
        <w:t>5.1 实验环境与评价指标</w:t>
      </w:r>
    </w:p>
    <w:p>
      <w:pPr>
        <w:spacing w:before="0" w:after="0" w:lineRule="exact" w:line="460"/>
        <w:ind w:firstLine="420"/>
      </w:pPr>
      <w:r>
        <w:rPr>
          <w:rFonts w:ascii="宋体" w:hAnsi="宋体" w:eastAsia="宋体"/>
          <w:b w:val="0"/>
          <w:sz w:val="24"/>
        </w:rPr>
        <w:t>为验证本文所建立分解法与整体法求解框架的有效性，并比较不同客户分配策略和路径优化算法在多配送中心带时间窗车辆路径问题中的适用性，本文在统一的数据集和程序环境下开展对比实验。实验数据来自项目中的自定义算例文件，包含 3 个配送中心、30 个客户点以及异构车辆信息。客户数据给出了坐标、需求量和时间窗，车辆数据给出了车型、容量、速度以及单位运输成本，能够较完整地反映本文研究问题的关键约束。</w:t>
      </w:r>
    </w:p>
    <w:p>
      <w:pPr>
        <w:spacing w:before="0" w:after="0" w:lineRule="exact" w:line="460"/>
        <w:ind w:firstLine="420"/>
      </w:pPr>
      <w:r>
        <w:rPr>
          <w:rFonts w:ascii="宋体" w:hAnsi="宋体" w:eastAsia="宋体"/>
          <w:b w:val="0"/>
          <w:sz w:val="24"/>
        </w:rPr>
        <w:t>在实验实现上，分解法与整体法均基于同一数据源运行，便于进行横向比较。分解法第一阶段输出客户到车场的分配结果，第二阶段在各车场内部独立构造带时间窗的车辆路径。整体法则直接在全局范围内同时处理客户归属和路径构造问题。为保证后续结果比较具有一致性，本文统一记录总分配距离、总行驶距离、总成本、车辆使用数量、超载情况以及多次重复实验下的均值和方差等指标。</w:t>
      </w:r>
    </w:p>
    <w:p>
      <w:pPr>
        <w:spacing w:before="0" w:after="0" w:lineRule="exact" w:line="460"/>
        <w:ind w:firstLine="420"/>
      </w:pPr>
      <w:r>
        <w:rPr>
          <w:rFonts w:ascii="宋体" w:hAnsi="宋体" w:eastAsia="宋体"/>
          <w:b w:val="0"/>
          <w:sz w:val="24"/>
        </w:rPr>
        <w:t>本文所采用的总成本指标主要基于车辆行驶距离与单位里程成本进行计算。对于分解法第二阶段，在算法评价过程中还额外考虑了时间窗迟到惩罚；对于整体法，为便于与分解法结果表进行统一比较，本文在结果统计阶段采用与分解法表格一致的距离成本口径重新计算整体法总成本，不再将固定出车成本单独计入比较值。由此可以保证第五章中的表格结果在统计口径上尽可能一致。</w:t>
      </w:r>
    </w:p>
    <w:p>
      <w:pPr>
        <w:spacing w:before="0" w:after="0" w:lineRule="exact" w:line="460"/>
      </w:pPr>
      <w:r>
        <w:rPr>
          <w:rFonts w:ascii="黑体" w:hAnsi="黑体" w:eastAsia="黑体"/>
          <w:b/>
          <w:sz w:val="28"/>
        </w:rPr>
        <w:t>5.2 第一阶段客户-车场分配结果分析</w:t>
      </w:r>
    </w:p>
    <w:p>
      <w:pPr>
        <w:spacing w:before="0" w:after="0" w:lineRule="exact" w:line="460"/>
      </w:pPr>
      <w:r>
        <w:rPr>
          <w:rFonts w:ascii="黑体" w:hAnsi="黑体" w:eastAsia="黑体"/>
          <w:b/>
          <w:sz w:val="24"/>
        </w:rPr>
        <w:t>5.2.1 不同分配方法的结果对比</w:t>
      </w:r>
    </w:p>
    <w:p>
      <w:pPr>
        <w:spacing w:before="0" w:after="0" w:lineRule="exact" w:line="460"/>
        <w:jc w:val="center"/>
      </w:pPr>
      <w:r>
        <w:rPr>
          <w:rFonts w:ascii="宋体" w:hAnsi="宋体" w:eastAsia="宋体"/>
          <w:b w:val="0"/>
          <w:sz w:val="21"/>
        </w:rPr>
        <w:t>表 5.1 第一阶段客户分配结果比较</w:t>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Method</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Total_Assignment_Distance</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Depot_Loads</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Total_Overload</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Time_Feasible_Customers</w:t>
            </w:r>
          </w:p>
        </w:tc>
      </w:tr>
      <w:tr>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DBO + Repair</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594.90</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90 / 125 / 113</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0.00</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30</w:t>
            </w:r>
          </w:p>
        </w:tc>
      </w:tr>
      <w:tr>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GAP</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598.19</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88 / 121 / 119</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0.00</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30</w:t>
            </w:r>
          </w:p>
        </w:tc>
      </w:tr>
      <w:tr>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Sweep + Repair</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618.59</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90 / 118 / 120</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0.00</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30</w:t>
            </w:r>
          </w:p>
        </w:tc>
      </w:tr>
      <w:tr>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Exact MILP</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588.70</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89 / 119 / 120</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0.00</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30</w:t>
            </w:r>
          </w:p>
        </w:tc>
      </w:tr>
    </w:tbl>
    <w:p>
      <w:pPr>
        <w:spacing w:before="0" w:after="0" w:lineRule="exact" w:line="460"/>
        <w:ind w:firstLine="420"/>
      </w:pPr>
      <w:r>
        <w:rPr>
          <w:rFonts w:ascii="宋体" w:hAnsi="宋体" w:eastAsia="宋体"/>
          <w:b w:val="0"/>
          <w:sz w:val="24"/>
        </w:rPr>
        <w:t>第一阶段实验重点考察扫描法、GAP 启发式、精确数学规划以及 DBO + Repair 方法在客户分配问题中的表现。表 5.1 给出了不同分配方法在总分配距离、车场负载、容量约束和时间可行客户数量方面的比较结果。从总分配距离看，Exact MILP 取得了 588.70 的最小值，说明在线性分配模型意义下该方法能够提供理论最优边界。DBO + Repair 的总分配距离为 594.90，仅比 Exact MILP 高 6.20；GAP 的结果为 598.19；Sweep + Repair 为 618.59，四种方法中相对较高。</w:t>
      </w:r>
    </w:p>
    <w:p>
      <w:pPr>
        <w:spacing w:before="0" w:after="0" w:lineRule="exact" w:line="460"/>
        <w:ind w:firstLine="420"/>
      </w:pPr>
      <w:r>
        <w:rPr>
          <w:rFonts w:ascii="宋体" w:hAnsi="宋体" w:eastAsia="宋体"/>
          <w:b w:val="0"/>
          <w:sz w:val="24"/>
        </w:rPr>
        <w:t>从容量与可行性角度看，四种方法在当前算例下均未出现超载现象，30 个客户也全部满足时间可行性检查要求。这表明本文第一阶段设置的数据规模和约束条件在经过修复处理后均能够得到可行分配方案。然而，如果仅依据总分配距离进行评价，则难以完全反映分配结果对第二阶段路径求解的影响。相较于 Exact MILP，DBO + Repair 虽然在距离上略逊一筹，但其通过动态权重和修复机制形成的客户簇结构更贴近后续路径构造需要，因此更适合作为第二阶段路径优化的输入基础。</w:t>
      </w:r>
    </w:p>
    <w:p>
      <w:pPr>
        <w:spacing w:before="0" w:after="0" w:lineRule="exact" w:line="460"/>
      </w:pPr>
      <w:r>
        <w:rPr>
          <w:rFonts w:ascii="黑体" w:hAnsi="黑体" w:eastAsia="黑体"/>
          <w:b/>
          <w:sz w:val="24"/>
        </w:rPr>
        <w:t>5.2.2 DBO + Repair 方法分析</w:t>
      </w:r>
    </w:p>
    <w:p>
      <w:pPr>
        <w:spacing w:before="0" w:after="0" w:lineRule="exact" w:line="460"/>
        <w:ind w:firstLine="420"/>
      </w:pPr>
      <w:r>
        <w:rPr>
          <w:rFonts w:ascii="宋体" w:hAnsi="宋体" w:eastAsia="宋体"/>
          <w:b w:val="0"/>
          <w:sz w:val="24"/>
        </w:rPr>
        <w:t>结合第一阶段整体结果可以看出，DBO + Repair 方法在分配距离、容量平衡和可实现性之间取得了较好的折中。该方法不是单纯追求分配距离最小，而是在 DBO 动态权重搜索基础上，通过后续修复过程主动规避可能影响车场内独立求解的结构性问题。对于本文研究而言，第一阶段的作用不仅是完成客户归属，更重要的是为第二阶段生成易于求解、约束冲突较少的子问题。因此，本文在后续分解法第二阶段实验中统一采用 DBO + Repair 的分配结果作为输入。</w:t>
      </w:r>
    </w:p>
    <w:p>
      <w:pPr>
        <w:spacing w:before="0" w:after="0" w:lineRule="exact" w:line="460"/>
      </w:pPr>
      <w:r>
        <w:rPr>
          <w:rFonts w:ascii="黑体" w:hAnsi="黑体" w:eastAsia="黑体"/>
          <w:b/>
          <w:sz w:val="28"/>
        </w:rPr>
        <w:t>5.3 第二阶段路径优化结果分析</w:t>
      </w:r>
    </w:p>
    <w:p>
      <w:pPr>
        <w:spacing w:before="0" w:after="0" w:lineRule="exact" w:line="460"/>
      </w:pPr>
      <w:r>
        <w:rPr>
          <w:rFonts w:ascii="黑体" w:hAnsi="黑体" w:eastAsia="黑体"/>
          <w:b/>
          <w:sz w:val="24"/>
        </w:rPr>
        <w:t>5.3.1 基础算法与改进算法单次结果对比</w:t>
      </w:r>
    </w:p>
    <w:p>
      <w:pPr>
        <w:spacing w:before="0" w:after="0" w:lineRule="exact" w:line="460"/>
        <w:jc w:val="center"/>
      </w:pPr>
      <w:r>
        <w:rPr>
          <w:rFonts w:ascii="宋体" w:hAnsi="宋体" w:eastAsia="宋体"/>
          <w:b w:val="0"/>
          <w:sz w:val="21"/>
        </w:rPr>
        <w:t>表 5.2 分解法第二阶段单次实验结果比较</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Method</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Route_Count</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Total_Distance</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Total_Cost</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ACO VRPTW</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455.76</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468.10</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451.64</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463.71</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Improved2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472.18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485.67</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Improved3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452.32</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464.46</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Improved4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476.04</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490.49</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Improved5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450.95</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461.67</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Improved6 MACS-ACO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455.06</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467.46</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Improved6.2 DBO-MACS-ACO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451.08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461.79</w:t>
            </w:r>
          </w:p>
        </w:tc>
      </w:tr>
      <w:tr>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Improved6.3 Robust DBO-MACS-ACO</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8</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457.35</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470.43</w:t>
            </w:r>
          </w:p>
        </w:tc>
      </w:tr>
    </w:tbl>
    <w:p>
      <w:pPr>
        <w:spacing w:before="0" w:after="0" w:lineRule="exact" w:line="460"/>
        <w:ind w:firstLine="420"/>
      </w:pPr>
      <w:r>
        <w:rPr>
          <w:rFonts w:ascii="宋体" w:hAnsi="宋体" w:eastAsia="宋体"/>
          <w:b w:val="0"/>
          <w:sz w:val="24"/>
        </w:rPr>
        <w:t>第二阶段实验主要围绕车场内独立 VRPTW 路径优化展开。本文以基础 ACO VRPTW 为起点，逐步设计了 Improve 1、Improve 2、Improve 3、Improve 4、Improve 5、Improve 6、Improve 6.2 和 Improve 6.3 等改进算法，并与整体法结果进行统一比较。表 5.2 给出了各算法在总车辆数、总里程和总成本上的单次实验结果。</w:t>
      </w:r>
    </w:p>
    <w:p>
      <w:pPr>
        <w:spacing w:before="0" w:after="0" w:lineRule="exact" w:line="460"/>
        <w:ind w:firstLine="420"/>
      </w:pPr>
      <w:r>
        <w:rPr>
          <w:rFonts w:ascii="宋体" w:hAnsi="宋体" w:eastAsia="宋体"/>
          <w:b w:val="0"/>
          <w:sz w:val="24"/>
        </w:rPr>
        <w:t>从分解法内部比较看，基础 ACO VRPTW 的总成本为 468.10；Improve 1 将总成本降低至 463.71；Improve 3 进一步降至 464.46；Improve 4 由于外层调参收益不足，总成本上升至 490.49；Improve 5 的总里程为 450.95，总成本为 461.67，是当前分解法第二阶段表现最好的算法；Improve 6.2 的总成本为 461.79，已经非常接近 Improve 5，但仍略高 0.12；Improve 6.3 的总成本为 470.43，未能继续取得提升。由此说明，在本文算例下，单纯增加算法结构复杂度并不必然带来更优结果。</w:t>
      </w:r>
    </w:p>
    <w:p>
      <w:pPr>
        <w:spacing w:before="0" w:after="0" w:lineRule="exact" w:line="460"/>
        <w:ind w:firstLine="420"/>
      </w:pPr>
      <w:r>
        <w:rPr>
          <w:rFonts w:ascii="宋体" w:hAnsi="宋体" w:eastAsia="宋体"/>
          <w:b w:val="0"/>
          <w:sz w:val="24"/>
        </w:rPr>
        <w:t>从机制角度分析，Improve 5 能够取得最优结果，主要原因在于它同时引入了多因子启发函数、异质蚂蚁分工、精英信息素强化以及 DBO 外层调参机制。与仅从局部策略上增强的 Improve 1 和 Improve 3 相比，Improve 5 在构解质量、信息素强化方向和参数适配能力三方面形成了较完整的协同结构，因此在当前实验中表现出最优的单次解质量。</w:t>
      </w:r>
    </w:p>
    <w:p>
      <w:pPr>
        <w:spacing w:before="0" w:after="0" w:lineRule="exact" w:line="460"/>
      </w:pPr>
      <w:r>
        <w:rPr>
          <w:rFonts w:ascii="黑体" w:hAnsi="黑体" w:eastAsia="黑体"/>
          <w:b/>
          <w:sz w:val="24"/>
        </w:rPr>
        <w:t>5.3.2 改进算法复现实验与稳定性分析</w:t>
      </w:r>
    </w:p>
    <w:p>
      <w:pPr>
        <w:spacing w:before="0" w:after="0" w:lineRule="exact" w:line="460"/>
        <w:jc w:val="center"/>
      </w:pPr>
      <w:r>
        <w:rPr>
          <w:rFonts w:ascii="宋体" w:hAnsi="宋体" w:eastAsia="宋体"/>
          <w:b w:val="0"/>
          <w:sz w:val="21"/>
        </w:rPr>
        <w:t>表 5.3 改进算法复现实验统计结果</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Method</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Mean_Cost</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Var_Cost</w:t>
            </w:r>
          </w:p>
        </w:tc>
        <w:tc>
          <w:tcPr>
            <w:tcW w:type="dxa" w:w="224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Mean_Distance</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Improved5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465.834</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20.928</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453.839</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Improved3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466.169</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115.095</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454.386</w:t>
            </w:r>
          </w:p>
        </w:tc>
      </w:tr>
      <w:tr>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Improved ACO</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468.340</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17.682</w:t>
            </w:r>
          </w:p>
        </w:tc>
        <w:tc>
          <w:tcPr>
            <w:tcW w:type="dxa" w:w="224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456.872</w:t>
            </w:r>
          </w:p>
        </w:tc>
      </w:tr>
      <w:tr>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Improved6.2 DBO-MACS-ACO</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470.195</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8.423</w:t>
            </w:r>
          </w:p>
        </w:tc>
        <w:tc>
          <w:tcPr>
            <w:tcW w:type="dxa" w:w="224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457.226</w:t>
            </w:r>
          </w:p>
        </w:tc>
      </w:tr>
    </w:tbl>
    <w:p>
      <w:pPr>
        <w:spacing w:before="0" w:after="0" w:lineRule="exact" w:line="460"/>
        <w:ind w:firstLine="420"/>
      </w:pPr>
      <w:r>
        <w:rPr>
          <w:rFonts w:ascii="宋体" w:hAnsi="宋体" w:eastAsia="宋体"/>
          <w:b w:val="0"/>
          <w:sz w:val="24"/>
        </w:rPr>
        <w:t>为了避免仅凭单次实验结果判断算法优劣，本文进一步对具有代表性的改进算法进行了 5 次复现实验，并统计均值和方差。表 5.3 给出了 Improve 1、Improve 3、Improve 5 和 Improve 6.2 的复现实验统计结果。从平均成本看，Improve 5 的均值为 465.834，低于 Improve 3 的 466.169、Improve 1 的 468.340 和 Improve 6.2 的 470.195，说明 Improve 5 并非依赖偶然性的单次最优结果，而是在重复实验意义下仍然保持较强的综合表现。</w:t>
      </w:r>
    </w:p>
    <w:p>
      <w:pPr>
        <w:spacing w:before="0" w:after="0" w:lineRule="exact" w:line="460"/>
        <w:ind w:firstLine="420"/>
      </w:pPr>
      <w:r>
        <w:rPr>
          <w:rFonts w:ascii="宋体" w:hAnsi="宋体" w:eastAsia="宋体"/>
          <w:b w:val="0"/>
          <w:sz w:val="24"/>
        </w:rPr>
        <w:t>从方差指标看，Improve 6.2 的成本方差为 8.423，明显小于 Improve 5 的 20.928，表明多蚁群协同与内外层控制机制确实在一定程度上提高了算法稳定性。但与此同时，Improve 6.2 的平均成本仍高于 Improve 5，这说明其稳定性提升尚未转化为更低的总体成本。相对而言，Improve 3 的方差达到 115.095，波动较大，虽然局部改进能够带来部分收益，但稳定性不足。综合均值、方差和单次最优值三个角度，Improve 5 更适合作为本文第二阶段的主打算法。</w:t>
      </w:r>
    </w:p>
    <w:p>
      <w:pPr>
        <w:spacing w:before="0" w:after="0" w:lineRule="exact" w:line="460"/>
      </w:pPr>
      <w:r>
        <w:rPr>
          <w:rFonts w:ascii="黑体" w:hAnsi="黑体" w:eastAsia="黑体"/>
          <w:b/>
          <w:sz w:val="24"/>
        </w:rPr>
        <w:t>5.3.3 整体法与分解法结果对比</w:t>
      </w:r>
    </w:p>
    <w:p>
      <w:pPr>
        <w:spacing w:before="0" w:after="0" w:lineRule="exact" w:line="460"/>
        <w:jc w:val="center"/>
      </w:pPr>
      <w:r>
        <w:rPr>
          <w:rFonts w:ascii="宋体" w:hAnsi="宋体" w:eastAsia="宋体"/>
          <w:b w:val="0"/>
          <w:sz w:val="21"/>
        </w:rPr>
        <w:t>表 5.4 整体法实验结果比较</w:t>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Method</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Route_Count</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Total_Distance</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Total_Cost</w:t>
            </w:r>
          </w:p>
        </w:tc>
        <w:tc>
          <w:tcPr>
            <w:tcW w:type="dxa" w:w="1799"/>
            <w:vAlign w:val="center"/>
            <w:tcBorders>
              <w:top w:val="single" w:sz="8" w:color="000000"/>
              <w:left w:val="single" w:sz="4" w:color="000000"/>
              <w:bottom w:val="single" w:sz="4" w:color="000000"/>
              <w:right w:val="single" w:sz="4" w:color="000000"/>
            </w:tcBorders>
          </w:tcPr>
          <w:p>
            <w:pPr>
              <w:spacing w:before="0" w:after="0" w:lineRule="exact" w:line="460"/>
              <w:jc w:val="center"/>
            </w:pPr>
            <w:r>
              <w:rPr>
                <w:rFonts w:ascii="宋体" w:hAnsi="宋体" w:eastAsia="宋体"/>
                <w:b/>
                <w:sz w:val="21"/>
              </w:rPr>
              <w:t>Avg_Load_Rate</w:t>
            </w:r>
          </w:p>
        </w:tc>
      </w:tr>
      <w:tr>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Whole ACO</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7</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459.67</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462.42</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0.9388</w:t>
            </w:r>
          </w:p>
        </w:tc>
      </w:tr>
      <w:tr>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Whole DBO</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9</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504.95</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522.95</w:t>
            </w:r>
          </w:p>
        </w:tc>
        <w:tc>
          <w:tcPr>
            <w:tcW w:type="dxa" w:w="1799"/>
            <w:vAlign w:val="center"/>
            <w:tcBorders>
              <w:top w:val="single" w:sz="4" w:color="000000"/>
              <w:left w:val="single" w:sz="4" w:color="000000"/>
              <w:bottom w:val="single" w:sz="4" w:color="000000"/>
              <w:right w:val="single" w:sz="4" w:color="000000"/>
            </w:tcBorders>
          </w:tcPr>
          <w:p>
            <w:pPr>
              <w:spacing w:before="0" w:after="0" w:lineRule="exact" w:line="460"/>
              <w:jc w:val="center"/>
            </w:pPr>
            <w:r>
              <w:rPr>
                <w:rFonts w:ascii="宋体" w:hAnsi="宋体" w:eastAsia="宋体"/>
                <w:b w:val="0"/>
                <w:sz w:val="21"/>
              </w:rPr>
              <w:t>0.8794</w:t>
            </w:r>
          </w:p>
        </w:tc>
      </w:tr>
      <w:tr>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Whole ACO Improve1</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7</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481.23</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511.24</w:t>
            </w:r>
          </w:p>
        </w:tc>
        <w:tc>
          <w:tcPr>
            <w:tcW w:type="dxa" w:w="1799"/>
            <w:vAlign w:val="center"/>
            <w:tcBorders>
              <w:top w:val="single" w:sz="4" w:color="000000"/>
              <w:left w:val="single" w:sz="4" w:color="000000"/>
              <w:bottom w:val="single" w:sz="8" w:color="000000"/>
              <w:right w:val="single" w:sz="4" w:color="000000"/>
            </w:tcBorders>
          </w:tcPr>
          <w:p>
            <w:pPr>
              <w:spacing w:before="0" w:after="0" w:lineRule="exact" w:line="460"/>
              <w:jc w:val="center"/>
            </w:pPr>
            <w:r>
              <w:rPr>
                <w:rFonts w:ascii="宋体" w:hAnsi="宋体" w:eastAsia="宋体"/>
                <w:b w:val="0"/>
                <w:sz w:val="21"/>
              </w:rPr>
              <w:t>0.9412</w:t>
            </w:r>
          </w:p>
        </w:tc>
      </w:tr>
    </w:tbl>
    <w:p>
      <w:pPr>
        <w:spacing w:before="0" w:after="0" w:lineRule="exact" w:line="460"/>
        <w:ind w:firstLine="420"/>
      </w:pPr>
      <w:r>
        <w:rPr>
          <w:rFonts w:ascii="宋体" w:hAnsi="宋体" w:eastAsia="宋体"/>
          <w:b w:val="0"/>
          <w:sz w:val="24"/>
        </w:rPr>
        <w:t>在统一成本口径后，整体法与分解法的差异表现得更加清晰。Whole ACO 的总里程为 459.67，总成本为 462.42；Whole DBO 的总里程为 504.95，总成本为 522.95；Whole ACO Improve1 的总里程为 481.23，总成本为 511.24。可以看出，在整体法中，基础 Whole ACO 的结果已经接近分解法中的优质算法，但整体 DBO 和整体改进 ACO 仍明显落后于分解法中的 Improve 5。</w:t>
      </w:r>
    </w:p>
    <w:p>
      <w:pPr>
        <w:spacing w:before="0" w:after="0" w:lineRule="exact" w:line="460"/>
        <w:ind w:firstLine="420"/>
      </w:pPr>
      <w:r>
        <w:rPr>
          <w:rFonts w:ascii="宋体" w:hAnsi="宋体" w:eastAsia="宋体"/>
          <w:b w:val="0"/>
          <w:sz w:val="24"/>
        </w:rPr>
        <w:t>这一现象说明，整体法在理论上虽然能够同时处理客户归属与路径构造，但其搜索空间显著大于分解法，因此对构解机制和参数控制的要求更高。分解法通过第一阶段先完成客户分配，相当于提前缩小了第二阶段搜索空间，使得改进蚁群算法能够更集中地针对车场内 VRPTW 进行优化。对于本文当前算例而言，这种先分配后路径优化的框架更有利于稳定获得高质量结果。与此同时，Whole ACO 接近 Improve 5 的实验现象也说明，整体法并非完全不具竞争力，只是在当前实现深度下，其整体鲁棒性和算法演化空间尚不如分解法成熟。</w:t>
      </w:r>
    </w:p>
    <w:p>
      <w:pPr>
        <w:spacing w:before="0" w:after="0" w:lineRule="exact" w:line="460"/>
      </w:pPr>
      <w:r>
        <w:rPr>
          <w:rFonts w:ascii="黑体" w:hAnsi="黑体" w:eastAsia="黑体"/>
          <w:b/>
          <w:sz w:val="28"/>
        </w:rPr>
        <w:t>5.4 本章小结</w:t>
      </w:r>
    </w:p>
    <w:p>
      <w:pPr>
        <w:spacing w:before="0" w:after="0" w:lineRule="exact" w:line="460"/>
        <w:ind w:firstLine="420"/>
      </w:pPr>
      <w:r>
        <w:rPr>
          <w:rFonts w:ascii="宋体" w:hAnsi="宋体" w:eastAsia="宋体"/>
          <w:b w:val="0"/>
          <w:sz w:val="24"/>
        </w:rPr>
        <w:t>本章对本文提出的分解法与整体法求解框架进行了统一实验验证和结果分析。第一阶段实验表明，Exact MILP 在总分配距离上给出了理论最优边界，而 DBO + Repair 方法在距离、容量平衡和后续可实现性之间取得了更适合工程求解的折中，因此被选作第二阶段输入。第二阶段实验表明，Improve 5 在单次结果和多次复现实验中均表现出较强的综合优势，是本文当前分解法框架下表现最好的路径优化算法。</w:t>
      </w:r>
    </w:p>
    <w:p>
      <w:pPr>
        <w:spacing w:before="0" w:after="0" w:lineRule="exact" w:line="460"/>
        <w:ind w:firstLine="420"/>
      </w:pPr>
      <w:r>
        <w:rPr>
          <w:rFonts w:ascii="宋体" w:hAnsi="宋体" w:eastAsia="宋体"/>
          <w:b w:val="0"/>
          <w:sz w:val="24"/>
        </w:rPr>
        <w:t>通过整体法与分解法的比较可以进一步发现，在统一成本统计口径后，整体基础蚁群算法已经能够取得与优质分解法结果接近的成本值，但从算法体系整体表现和稳定性看，分解法仍更适合作为本文问题的主要求解路线。综上，本文实验结果支持了“以 DBO + Repair 完成客户分配、以 Improve 5 完成车场内路径优化”的两阶段求解方案，这也为后续结论归纳提供了实验依据。</w:t>
      </w:r>
    </w:p>
    <w:sectPr w:rsidR="00FC693F" w:rsidRPr="0006063C" w:rsidSect="00034616">
      <w:headerReference w:type="default" r:id="rId9"/>
      <w:footerReference w:type="default" r:id="rId10"/>
      <w:pgSz w:w="12240" w:h="15840"/>
      <w:pgMar w:top="1440" w:right="1440"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jc w:val="left"/>
      <w:pBdr>
        <w:bottom w:val="single" w:sz="6" w:space="1" w:color="auto"/>
      </w:pBdr>
    </w:pPr>
    <w:r>
      <w:rPr>
        <w:rFonts w:ascii="宋体" w:hAnsi="宋体" w:eastAsia="宋体"/>
        <w:b w:val="0"/>
        <w:sz w:val="20"/>
      </w:rPr>
      <w:t>东北大学本科生毕业设计（论文）</w:t>
      <w:tab/>
      <w:t>5 实验结果与性能分析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