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Assessing Policy Alternatives</w:t>
      </w:r>
    </w:p>
    <w:p>
      <w:pPr>
        <w:pStyle w:val="Subtitle"/>
        <w:bidi w:val="0"/>
        <w:spacing w:before="60" w:after="120"/>
        <w:jc w:val="center"/>
        <w:rPr/>
      </w:pPr>
      <w:r>
        <w:rPr/>
        <w:t>POSC 315 - Introduction to Public Policy | Week 6</w:t>
      </w:r>
    </w:p>
    <w:p>
      <w:pPr>
        <w:pStyle w:val="Author"/>
        <w:bidi w:val="0"/>
        <w:jc w:val="center"/>
        <w:rPr/>
      </w:pPr>
      <w:r>
        <w:rPr/>
        <w:t>David P. Adams, Ph.D.</w:t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0" w:name="feeling-wonky-today"/>
      <w:r>
        <w:rPr/>
        <w:t>Feeling wonky today?</w:t>
      </w:r>
      <w:bookmarkEnd w:id="0"/>
    </w:p>
    <w:p>
      <w:pPr>
        <w:pStyle w:val="FigureWithCaption"/>
        <w:keepNext w:val="true"/>
        <w:suppressLineNumbers/>
        <w:bidi w:val="0"/>
        <w:jc w:val="start"/>
        <w:rPr/>
      </w:pPr>
      <w:r>
        <w:rPr/>
        <w:drawing>
          <wp:inline distT="0" distB="0" distL="0" distR="0">
            <wp:extent cx="13004800" cy="13004800"/>
            <wp:effectExtent l="0" t="0" r="0" b="0"/>
            <wp:docPr id="1" name="img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130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  <w:bidi w:val="0"/>
        <w:jc w:val="start"/>
        <w:rPr/>
      </w:pPr>
      <w:r>
        <w:rPr/>
        <w:t>Policy Alternatives</w:t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" w:name="slide-1-feeling-wonky-today"/>
      <w:r>
        <w:rPr/>
        <w:t>Slide 1: Feeling Wonky Today?</w:t>
      </w:r>
      <w:bookmarkEnd w:id="1"/>
    </w:p>
    <w:p>
      <w:pPr>
        <w:pStyle w:val="FigureWithCaption"/>
        <w:keepNext w:val="true"/>
        <w:suppressLineNumbers/>
        <w:bidi w:val="0"/>
        <w:jc w:val="start"/>
        <w:rPr/>
      </w:pPr>
      <w:r>
        <w:rPr/>
        <w:drawing>
          <wp:inline distT="0" distB="0" distL="0" distR="0">
            <wp:extent cx="13004800" cy="13004800"/>
            <wp:effectExtent l="0" t="0" r="0" b="0"/>
            <wp:docPr id="2" name="img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130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  <w:bidi w:val="0"/>
        <w:jc w:val="start"/>
        <w:rPr/>
      </w:pPr>
      <w:r>
        <w:rPr/>
        <w:t>Policy Alternatives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2" w:name="slide-2-learning-objectives"/>
      <w:r>
        <w:rPr/>
        <w:t>Slide 2: Learning Objectives</w:t>
      </w:r>
      <w:bookmarkEnd w:id="2"/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b/>
          <w:bCs/>
        </w:rPr>
      </w:pPr>
      <w:r>
        <w:rPr>
          <w:b/>
          <w:bCs/>
        </w:rPr>
        <w:t>Describe evaluative criteria for judging the value of policy proposals or alternatives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b/>
          <w:bCs/>
        </w:rPr>
      </w:pPr>
      <w:r>
        <w:rPr>
          <w:b/>
          <w:bCs/>
        </w:rPr>
        <w:t>Explain how to apply the methods of policy analysis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b/>
          <w:bCs/>
        </w:rPr>
      </w:pPr>
      <w:r>
        <w:rPr>
          <w:b/>
          <w:bCs/>
        </w:rPr>
        <w:t>Identify three key economic approaches to policy analysis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b/>
          <w:bCs/>
        </w:rPr>
      </w:pPr>
      <w:r>
        <w:rPr>
          <w:b/>
          <w:bCs/>
        </w:rPr>
        <w:t>Distinguish between several kinds of decision-making and impact analysis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b/>
          <w:bCs/>
        </w:rPr>
      </w:pPr>
      <w:r>
        <w:rPr>
          <w:b/>
          <w:bCs/>
        </w:rPr>
        <w:t>Compare the ethical approach of policy analysis against other methods</w:t>
      </w:r>
    </w:p>
    <w:p>
      <w:pPr>
        <w:pStyle w:val="Firstparagraph"/>
        <w:bidi w:val="0"/>
        <w:jc w:val="start"/>
        <w:rPr/>
      </w:pPr>
      <w:r>
        <w:rPr>
          <w:b/>
          <w:bCs/>
        </w:rPr>
        <w:t>Mentimeter Word Cloud</w:t>
      </w:r>
      <w:r>
        <w:rPr/>
        <w:t>: “</w:t>
      </w:r>
      <w:r>
        <w:rPr>
          <w:i/>
          <w:iCs/>
        </w:rPr>
        <w:t>When you think of COVID-19 policies, what comes to mind?</w:t>
      </w:r>
      <w:r>
        <w:rPr/>
        <w:t>”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3" w:name="slide-3-evaluative-criteria-for-judging-"/>
      <w:r>
        <w:rPr/>
        <w:t>Slide 3: Evaluative Criteria for Judging Policy Proposals</w:t>
      </w:r>
      <w:bookmarkEnd w:id="3"/>
    </w:p>
    <w:p>
      <w:pPr>
        <w:pStyle w:val="BodyText"/>
        <w:numPr>
          <w:ilvl w:val="0"/>
          <w:numId w:val="3"/>
        </w:numPr>
        <w:bidi w:val="0"/>
        <w:spacing w:before="0" w:after="0"/>
        <w:jc w:val="start"/>
        <w:rPr/>
      </w:pPr>
      <w:r>
        <w:rPr>
          <w:b/>
          <w:bCs/>
        </w:rPr>
        <w:t>Evaluative criteria</w:t>
      </w:r>
      <w:r>
        <w:rPr/>
        <w:t xml:space="preserve"> are the specific dimensions of policy objectives used to weigh policy options or judge the merits of existing policies or programs.</w:t>
      </w:r>
    </w:p>
    <w:p>
      <w:pPr>
        <w:pStyle w:val="BodyText"/>
        <w:numPr>
          <w:ilvl w:val="1"/>
          <w:numId w:val="38"/>
        </w:numPr>
        <w:bidi w:val="0"/>
        <w:spacing w:before="0" w:after="0"/>
        <w:jc w:val="start"/>
        <w:rPr/>
      </w:pPr>
      <w:r>
        <w:rPr/>
        <w:t xml:space="preserve">They act as </w:t>
      </w:r>
      <w:r>
        <w:rPr>
          <w:b/>
          <w:bCs/>
        </w:rPr>
        <w:t>justifications or rationales</w:t>
      </w:r>
      <w:r>
        <w:rPr/>
        <w:t xml:space="preserve"> for policy or government action.</w:t>
      </w:r>
    </w:p>
    <w:p>
      <w:pPr>
        <w:pStyle w:val="BodyText"/>
        <w:numPr>
          <w:ilvl w:val="1"/>
          <w:numId w:val="39"/>
        </w:numPr>
        <w:bidi w:val="0"/>
        <w:spacing w:before="0" w:after="0"/>
        <w:jc w:val="start"/>
        <w:rPr/>
      </w:pPr>
      <w:r>
        <w:rPr/>
        <w:t xml:space="preserve">The use of explicit criteria establishes </w:t>
      </w:r>
      <w:r>
        <w:rPr>
          <w:b/>
          <w:bCs/>
        </w:rPr>
        <w:t>clear standards</w:t>
      </w:r>
      <w:r>
        <w:rPr/>
        <w:t xml:space="preserve"> that keep analysis objective and focused.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4" w:name="slide-4-evaluative-criteria-for-judging-"/>
      <w:r>
        <w:rPr/>
        <w:t>Slide 4: Evaluative Criteria for Judging Policy Proposals</w:t>
      </w:r>
      <w:bookmarkEnd w:id="4"/>
    </w:p>
    <w:p>
      <w:pPr>
        <w:pStyle w:val="BodyText"/>
        <w:numPr>
          <w:ilvl w:val="0"/>
          <w:numId w:val="5"/>
        </w:numPr>
        <w:bidi w:val="0"/>
        <w:spacing w:before="0" w:after="0"/>
        <w:jc w:val="start"/>
        <w:rPr/>
      </w:pPr>
      <w:r>
        <w:rPr/>
        <w:t>Policy debates often involve multiple, competing criteria:</w:t>
      </w:r>
    </w:p>
    <w:p>
      <w:pPr>
        <w:pStyle w:val="BodyText"/>
        <w:numPr>
          <w:ilvl w:val="1"/>
          <w:numId w:val="40"/>
        </w:numPr>
        <w:bidi w:val="0"/>
        <w:spacing w:before="0" w:after="0"/>
        <w:jc w:val="start"/>
        <w:rPr/>
      </w:pPr>
      <w:r>
        <w:rPr/>
        <w:t xml:space="preserve">Policymakers want policy actions to be </w:t>
      </w:r>
      <w:r>
        <w:rPr>
          <w:b/>
          <w:bCs/>
        </w:rPr>
        <w:t>effective</w:t>
      </w:r>
      <w:r>
        <w:rPr/>
        <w:t>, but also:</w:t>
      </w:r>
    </w:p>
    <w:p>
      <w:pPr>
        <w:pStyle w:val="BodyText"/>
        <w:numPr>
          <w:ilvl w:val="1"/>
          <w:numId w:val="41"/>
        </w:numPr>
        <w:bidi w:val="0"/>
        <w:spacing w:before="0" w:after="0"/>
        <w:jc w:val="start"/>
        <w:rPr/>
      </w:pPr>
      <w:r>
        <w:rPr>
          <w:b/>
          <w:bCs/>
        </w:rPr>
        <w:t>Minimize costs</w:t>
      </w:r>
      <w:r>
        <w:rPr/>
        <w:t>.</w:t>
      </w:r>
    </w:p>
    <w:p>
      <w:pPr>
        <w:pStyle w:val="BodyText"/>
        <w:numPr>
          <w:ilvl w:val="1"/>
          <w:numId w:val="42"/>
        </w:numPr>
        <w:bidi w:val="0"/>
        <w:spacing w:before="0" w:after="0"/>
        <w:jc w:val="start"/>
        <w:rPr/>
      </w:pPr>
      <w:r>
        <w:rPr>
          <w:b/>
          <w:bCs/>
        </w:rPr>
        <w:t>Promote equity</w:t>
      </w:r>
      <w:r>
        <w:rPr/>
        <w:t>.</w:t>
      </w:r>
    </w:p>
    <w:p>
      <w:pPr>
        <w:pStyle w:val="BodyText"/>
        <w:numPr>
          <w:ilvl w:val="1"/>
          <w:numId w:val="43"/>
        </w:numPr>
        <w:bidi w:val="0"/>
        <w:spacing w:before="0" w:after="0"/>
        <w:jc w:val="start"/>
        <w:rPr/>
      </w:pPr>
      <w:r>
        <w:rPr>
          <w:b/>
          <w:bCs/>
        </w:rPr>
        <w:t>Maintain individual rights</w:t>
      </w:r>
      <w:r>
        <w:rPr/>
        <w:t>.</w:t>
      </w:r>
    </w:p>
    <w:p>
      <w:pPr>
        <w:pStyle w:val="BodyText"/>
        <w:numPr>
          <w:ilvl w:val="1"/>
          <w:numId w:val="44"/>
        </w:numPr>
        <w:bidi w:val="0"/>
        <w:spacing w:before="0" w:after="0"/>
        <w:jc w:val="start"/>
        <w:rPr/>
      </w:pPr>
      <w:r>
        <w:rPr/>
        <w:t xml:space="preserve">Analysts must determine which criteria are most important and </w:t>
      </w:r>
      <w:r>
        <w:rPr>
          <w:b/>
          <w:bCs/>
        </w:rPr>
        <w:t>rank policy alternatives</w:t>
      </w:r>
      <w:r>
        <w:rPr/>
        <w:t xml:space="preserve"> accordingly.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5" w:name="slide-5-evaluative-criteria---effectiven"/>
      <w:r>
        <w:rPr/>
        <w:t>Slide 5: Evaluative Criteria - Effectiveness</w:t>
      </w:r>
      <w:bookmarkEnd w:id="5"/>
    </w:p>
    <w:p>
      <w:pPr>
        <w:pStyle w:val="BodyText"/>
        <w:numPr>
          <w:ilvl w:val="0"/>
          <w:numId w:val="9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Effectiveness</w:t>
      </w:r>
    </w:p>
    <w:p>
      <w:pPr>
        <w:pStyle w:val="BodyText"/>
        <w:numPr>
          <w:ilvl w:val="1"/>
          <w:numId w:val="45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>: Likelihood of achieving policy goals.</w:t>
      </w:r>
    </w:p>
    <w:p>
      <w:pPr>
        <w:pStyle w:val="BodyText"/>
        <w:numPr>
          <w:ilvl w:val="1"/>
          <w:numId w:val="46"/>
        </w:numPr>
        <w:bidi w:val="0"/>
        <w:spacing w:before="0" w:after="0"/>
        <w:jc w:val="start"/>
        <w:rPr/>
      </w:pPr>
      <w:r>
        <w:rPr>
          <w:b/>
          <w:bCs/>
        </w:rPr>
        <w:t>Limitations</w:t>
      </w:r>
      <w:r>
        <w:rPr/>
        <w:t xml:space="preserve">: Involves </w:t>
      </w:r>
      <w:r>
        <w:rPr>
          <w:b/>
          <w:bCs/>
        </w:rPr>
        <w:t>uncertain projection</w:t>
      </w:r>
      <w:r>
        <w:rPr/>
        <w:t xml:space="preserve"> of future events.</w:t>
      </w:r>
    </w:p>
    <w:p>
      <w:pPr>
        <w:pStyle w:val="BodyText"/>
        <w:numPr>
          <w:ilvl w:val="1"/>
          <w:numId w:val="47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Evaluating how effective lockdowns were in controlling COVID-19 spread.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6" w:name="slide-6-evaluative-criteria---efficiency"/>
      <w:r>
        <w:rPr/>
        <w:t>Slide 6: Evaluative Criteria - Efficiency</w:t>
      </w:r>
      <w:bookmarkEnd w:id="6"/>
    </w:p>
    <w:p>
      <w:pPr>
        <w:pStyle w:val="BodyText"/>
        <w:numPr>
          <w:ilvl w:val="0"/>
          <w:numId w:val="11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Efficiency</w:t>
      </w:r>
    </w:p>
    <w:p>
      <w:pPr>
        <w:pStyle w:val="BodyText"/>
        <w:numPr>
          <w:ilvl w:val="1"/>
          <w:numId w:val="48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Achieving goals relative to </w:t>
      </w:r>
      <w:r>
        <w:rPr>
          <w:b/>
          <w:bCs/>
        </w:rPr>
        <w:t>costs</w:t>
      </w:r>
      <w:r>
        <w:rPr/>
        <w:t>.</w:t>
      </w:r>
    </w:p>
    <w:p>
      <w:pPr>
        <w:pStyle w:val="BodyText"/>
        <w:numPr>
          <w:ilvl w:val="1"/>
          <w:numId w:val="49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Difficult to measure all costs/benefits; </w:t>
      </w:r>
      <w:r>
        <w:rPr>
          <w:b/>
          <w:bCs/>
        </w:rPr>
        <w:t>political decisions</w:t>
      </w:r>
      <w:r>
        <w:rPr/>
        <w:t xml:space="preserve"> play a role.</w:t>
      </w:r>
    </w:p>
    <w:p>
      <w:pPr>
        <w:pStyle w:val="BodyText"/>
        <w:numPr>
          <w:ilvl w:val="1"/>
          <w:numId w:val="50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Analyzing the efficiency of vaccine distribution programs during the pandemic.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7" w:name="slide-7-evaluative-criteria---equity"/>
      <w:r>
        <w:rPr/>
        <w:t>Slide 7: Evaluative Criteria - Equity</w:t>
      </w:r>
      <w:bookmarkEnd w:id="7"/>
    </w:p>
    <w:p>
      <w:pPr>
        <w:pStyle w:val="BodyText"/>
        <w:numPr>
          <w:ilvl w:val="0"/>
          <w:numId w:val="13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Equity</w:t>
      </w:r>
    </w:p>
    <w:p>
      <w:pPr>
        <w:pStyle w:val="BodyText"/>
        <w:numPr>
          <w:ilvl w:val="1"/>
          <w:numId w:val="51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</w:t>
      </w:r>
      <w:r>
        <w:rPr>
          <w:b/>
          <w:bCs/>
        </w:rPr>
        <w:t>Fairness</w:t>
      </w:r>
      <w:r>
        <w:rPr/>
        <w:t xml:space="preserve"> in distributing costs and benefits.</w:t>
      </w:r>
    </w:p>
    <w:p>
      <w:pPr>
        <w:pStyle w:val="BodyText"/>
        <w:numPr>
          <w:ilvl w:val="1"/>
          <w:numId w:val="52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Difficult to measure; disagreements over </w:t>
      </w:r>
      <w:r>
        <w:rPr>
          <w:b/>
          <w:bCs/>
        </w:rPr>
        <w:t>fair process</w:t>
      </w:r>
      <w:r>
        <w:rPr/>
        <w:t xml:space="preserve"> vs. </w:t>
      </w:r>
      <w:r>
        <w:rPr>
          <w:b/>
          <w:bCs/>
        </w:rPr>
        <w:t>equal outcomes</w:t>
      </w:r>
      <w:r>
        <w:rPr/>
        <w:t>.</w:t>
      </w:r>
    </w:p>
    <w:p>
      <w:pPr>
        <w:pStyle w:val="BodyText"/>
        <w:numPr>
          <w:ilvl w:val="1"/>
          <w:numId w:val="53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Assessing vaccine distribution for vulnerable communities.</w:t>
      </w:r>
    </w:p>
    <w:p>
      <w:pPr>
        <w:pStyle w:val="Firstparagraph"/>
        <w:bidi w:val="0"/>
        <w:jc w:val="start"/>
        <w:rPr/>
      </w:pPr>
      <w:r>
        <w:rPr>
          <w:b/>
          <w:bCs/>
        </w:rPr>
        <w:t>Mentimeter Q&amp;A</w:t>
      </w:r>
      <w:r>
        <w:rPr/>
        <w:t>: “</w:t>
      </w:r>
      <w:r>
        <w:rPr>
          <w:i/>
          <w:iCs/>
        </w:rPr>
        <w:t>Was vaccine distribution equitable during the pandemic? Why or why not?</w:t>
      </w:r>
      <w:r>
        <w:rPr/>
        <w:t>”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8" w:name="slide-8-evaluative-criteria---libertyfre"/>
      <w:r>
        <w:rPr/>
        <w:t>Slide 8: Evaluative Criteria - Liberty/Freedom</w:t>
      </w:r>
      <w:bookmarkEnd w:id="8"/>
    </w:p>
    <w:p>
      <w:pPr>
        <w:pStyle w:val="BodyText"/>
        <w:numPr>
          <w:ilvl w:val="0"/>
          <w:numId w:val="15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Liberty/Freedom</w:t>
      </w:r>
    </w:p>
    <w:p>
      <w:pPr>
        <w:pStyle w:val="BodyText"/>
        <w:numPr>
          <w:ilvl w:val="1"/>
          <w:numId w:val="54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Extent of impact on </w:t>
      </w:r>
      <w:r>
        <w:rPr>
          <w:b/>
          <w:bCs/>
        </w:rPr>
        <w:t>privacy</w:t>
      </w:r>
      <w:r>
        <w:rPr/>
        <w:t xml:space="preserve"> and individual rights.</w:t>
      </w:r>
    </w:p>
    <w:p>
      <w:pPr>
        <w:pStyle w:val="BodyText"/>
        <w:numPr>
          <w:ilvl w:val="1"/>
          <w:numId w:val="55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Clouded by </w:t>
      </w:r>
      <w:r>
        <w:rPr>
          <w:b/>
          <w:bCs/>
        </w:rPr>
        <w:t>ideological beliefs</w:t>
      </w:r>
      <w:r>
        <w:rPr/>
        <w:t>.</w:t>
      </w:r>
    </w:p>
    <w:p>
      <w:pPr>
        <w:pStyle w:val="BodyText"/>
        <w:numPr>
          <w:ilvl w:val="1"/>
          <w:numId w:val="56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Mask mandates and lockdowns during COVID-19.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9" w:name="slide-9-evaluative-criteria---political-"/>
      <w:r>
        <w:rPr/>
        <w:t>Slide 9: Evaluative Criteria - Political Feasibility</w:t>
      </w:r>
      <w:bookmarkEnd w:id="9"/>
    </w:p>
    <w:p>
      <w:pPr>
        <w:pStyle w:val="BodyText"/>
        <w:numPr>
          <w:ilvl w:val="0"/>
          <w:numId w:val="17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Political Feasibility</w:t>
      </w:r>
    </w:p>
    <w:p>
      <w:pPr>
        <w:pStyle w:val="BodyText"/>
        <w:numPr>
          <w:ilvl w:val="1"/>
          <w:numId w:val="57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Likelihood of policy </w:t>
      </w:r>
      <w:r>
        <w:rPr>
          <w:b/>
          <w:bCs/>
        </w:rPr>
        <w:t>support</w:t>
      </w:r>
      <w:r>
        <w:rPr/>
        <w:t xml:space="preserve"> from elected officials.</w:t>
      </w:r>
    </w:p>
    <w:p>
      <w:pPr>
        <w:pStyle w:val="BodyText"/>
        <w:numPr>
          <w:ilvl w:val="1"/>
          <w:numId w:val="58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Depends on </w:t>
      </w:r>
      <w:r>
        <w:rPr>
          <w:b/>
          <w:bCs/>
        </w:rPr>
        <w:t>economic and political conditions</w:t>
      </w:r>
      <w:r>
        <w:rPr/>
        <w:t>.</w:t>
      </w:r>
    </w:p>
    <w:p>
      <w:pPr>
        <w:pStyle w:val="BodyText"/>
        <w:numPr>
          <w:ilvl w:val="1"/>
          <w:numId w:val="59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Varied support for vaccination mandates across regions.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0" w:name="slide-10-evaluative-criteria---social-ac"/>
      <w:r>
        <w:rPr/>
        <w:t>Slide 10: Evaluative Criteria - Social Acceptability</w:t>
      </w:r>
      <w:bookmarkEnd w:id="10"/>
    </w:p>
    <w:p>
      <w:pPr>
        <w:pStyle w:val="BodyText"/>
        <w:numPr>
          <w:ilvl w:val="0"/>
          <w:numId w:val="19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Social Acceptability</w:t>
      </w:r>
    </w:p>
    <w:p>
      <w:pPr>
        <w:pStyle w:val="BodyText"/>
        <w:numPr>
          <w:ilvl w:val="1"/>
          <w:numId w:val="60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Extent of </w:t>
      </w:r>
      <w:r>
        <w:rPr>
          <w:b/>
          <w:bCs/>
        </w:rPr>
        <w:t>public acceptance</w:t>
      </w:r>
      <w:r>
        <w:rPr/>
        <w:t>.</w:t>
      </w:r>
    </w:p>
    <w:p>
      <w:pPr>
        <w:pStyle w:val="BodyText"/>
        <w:numPr>
          <w:ilvl w:val="1"/>
          <w:numId w:val="61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Hard to gauge even with data; depends on </w:t>
      </w:r>
      <w:r>
        <w:rPr>
          <w:b/>
          <w:bCs/>
        </w:rPr>
        <w:t>issue saliency</w:t>
      </w:r>
      <w:r>
        <w:rPr/>
        <w:t>.</w:t>
      </w:r>
    </w:p>
    <w:p>
      <w:pPr>
        <w:pStyle w:val="BodyText"/>
        <w:numPr>
          <w:ilvl w:val="1"/>
          <w:numId w:val="62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Public reactions to mask mandates during the pandemic.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1" w:name="slide-11-evaluative-criteria---administr"/>
      <w:r>
        <w:rPr/>
        <w:t>Slide 11: Evaluative Criteria - Administrative Feasibility</w:t>
      </w:r>
      <w:bookmarkEnd w:id="11"/>
    </w:p>
    <w:p>
      <w:pPr>
        <w:pStyle w:val="BodyText"/>
        <w:numPr>
          <w:ilvl w:val="0"/>
          <w:numId w:val="21"/>
        </w:numPr>
        <w:bidi w:val="0"/>
        <w:spacing w:before="0" w:after="0"/>
        <w:jc w:val="start"/>
        <w:rPr/>
      </w:pPr>
      <w:r>
        <w:rPr>
          <w:b/>
          <w:bCs/>
        </w:rPr>
        <w:t>Criterion</w:t>
      </w:r>
      <w:r>
        <w:rPr/>
        <w:t xml:space="preserve">: </w:t>
      </w:r>
      <w:r>
        <w:rPr>
          <w:b/>
          <w:bCs/>
        </w:rPr>
        <w:t>Administrative Feasibility</w:t>
      </w:r>
    </w:p>
    <w:p>
      <w:pPr>
        <w:pStyle w:val="BodyText"/>
        <w:numPr>
          <w:ilvl w:val="1"/>
          <w:numId w:val="63"/>
        </w:numPr>
        <w:bidi w:val="0"/>
        <w:spacing w:before="0" w:after="0"/>
        <w:jc w:val="start"/>
        <w:rPr/>
      </w:pPr>
      <w:r>
        <w:rPr>
          <w:b/>
          <w:bCs/>
        </w:rPr>
        <w:t>Definition</w:t>
      </w:r>
      <w:r>
        <w:rPr/>
        <w:t xml:space="preserve">: Likelihood of effective </w:t>
      </w:r>
      <w:r>
        <w:rPr>
          <w:b/>
          <w:bCs/>
        </w:rPr>
        <w:t>implementation</w:t>
      </w:r>
      <w:r>
        <w:rPr/>
        <w:t xml:space="preserve"> by agencies.</w:t>
      </w:r>
    </w:p>
    <w:p>
      <w:pPr>
        <w:pStyle w:val="BodyText"/>
        <w:numPr>
          <w:ilvl w:val="1"/>
          <w:numId w:val="64"/>
        </w:numPr>
        <w:bidi w:val="0"/>
        <w:spacing w:before="0" w:after="0"/>
        <w:jc w:val="start"/>
        <w:rPr/>
      </w:pPr>
      <w:r>
        <w:rPr>
          <w:b/>
          <w:bCs/>
        </w:rPr>
        <w:t>Limits</w:t>
      </w:r>
      <w:r>
        <w:rPr/>
        <w:t xml:space="preserve">: Requires projecting </w:t>
      </w:r>
      <w:r>
        <w:rPr>
          <w:b/>
          <w:bCs/>
        </w:rPr>
        <w:t>resources</w:t>
      </w:r>
      <w:r>
        <w:rPr/>
        <w:t xml:space="preserve"> and agency capabilities.</w:t>
      </w:r>
    </w:p>
    <w:p>
      <w:pPr>
        <w:pStyle w:val="BodyText"/>
        <w:numPr>
          <w:ilvl w:val="1"/>
          <w:numId w:val="65"/>
        </w:numPr>
        <w:bidi w:val="0"/>
        <w:spacing w:before="0" w:after="0"/>
        <w:jc w:val="start"/>
        <w:rPr/>
      </w:pPr>
      <w:r>
        <w:rPr>
          <w:b/>
          <w:bCs/>
        </w:rPr>
        <w:t>Example</w:t>
      </w:r>
      <w:r>
        <w:rPr/>
        <w:t>: Logistical feasibility of mass vaccination campaigns.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2" w:name="slide-12-policy-analysis-methods"/>
      <w:r>
        <w:rPr/>
        <w:t>Slide 12: Policy Analysis Methods</w:t>
      </w:r>
      <w:bookmarkEnd w:id="12"/>
    </w:p>
    <w:p>
      <w:pPr>
        <w:pStyle w:val="BodyText"/>
        <w:numPr>
          <w:ilvl w:val="0"/>
          <w:numId w:val="23"/>
        </w:numPr>
        <w:bidi w:val="0"/>
        <w:spacing w:before="0" w:after="0"/>
        <w:jc w:val="start"/>
        <w:rPr/>
      </w:pPr>
      <w:r>
        <w:rPr>
          <w:b/>
          <w:bCs/>
        </w:rPr>
        <w:t>Policy Analysis Methods</w:t>
      </w:r>
      <w:r>
        <w:rPr/>
        <w:t xml:space="preserve"> often draw from </w:t>
      </w:r>
      <w:r>
        <w:rPr>
          <w:b/>
          <w:bCs/>
        </w:rPr>
        <w:t>economics</w:t>
      </w:r>
      <w:r>
        <w:rPr/>
        <w:t>:</w:t>
      </w:r>
    </w:p>
    <w:p>
      <w:pPr>
        <w:pStyle w:val="BodyText"/>
        <w:numPr>
          <w:ilvl w:val="1"/>
          <w:numId w:val="66"/>
        </w:numPr>
        <w:bidi w:val="0"/>
        <w:spacing w:before="0" w:after="0"/>
        <w:jc w:val="start"/>
        <w:rPr/>
      </w:pPr>
      <w:r>
        <w:rPr>
          <w:b/>
          <w:bCs/>
        </w:rPr>
        <w:t>Cost–Benefit Analysis</w:t>
      </w:r>
      <w:r>
        <w:rPr/>
        <w:t xml:space="preserve"> (CBA)</w:t>
      </w:r>
    </w:p>
    <w:p>
      <w:pPr>
        <w:pStyle w:val="BodyText"/>
        <w:numPr>
          <w:ilvl w:val="1"/>
          <w:numId w:val="67"/>
        </w:numPr>
        <w:bidi w:val="0"/>
        <w:spacing w:before="0" w:after="0"/>
        <w:jc w:val="start"/>
        <w:rPr/>
      </w:pPr>
      <w:r>
        <w:rPr>
          <w:b/>
          <w:bCs/>
        </w:rPr>
        <w:t>Cost-Effectiveness Analysis</w:t>
      </w:r>
      <w:r>
        <w:rPr/>
        <w:t xml:space="preserve"> (CEA)</w:t>
      </w:r>
    </w:p>
    <w:p>
      <w:pPr>
        <w:pStyle w:val="BodyText"/>
        <w:numPr>
          <w:ilvl w:val="0"/>
          <w:numId w:val="23"/>
        </w:numPr>
        <w:bidi w:val="0"/>
        <w:spacing w:before="0" w:after="0"/>
        <w:jc w:val="start"/>
        <w:rPr/>
      </w:pPr>
      <w:r>
        <w:rPr/>
        <w:t xml:space="preserve">Emphasize </w:t>
      </w:r>
      <w:r>
        <w:rPr>
          <w:b/>
          <w:bCs/>
        </w:rPr>
        <w:t>efficiency</w:t>
      </w:r>
      <w:r>
        <w:rPr/>
        <w:t>, but useful for nontechnical analyses as well.</w:t>
      </w:r>
    </w:p>
    <w:p>
      <w:pPr>
        <w:pStyle w:val="BodyText"/>
        <w:numPr>
          <w:ilvl w:val="0"/>
          <w:numId w:val="23"/>
        </w:numPr>
        <w:bidi w:val="0"/>
        <w:spacing w:before="0" w:after="0"/>
        <w:jc w:val="start"/>
        <w:rPr/>
      </w:pPr>
      <w:r>
        <w:rPr/>
        <w:t xml:space="preserve">Example: </w:t>
      </w:r>
      <w:r>
        <w:rPr>
          <w:b/>
          <w:bCs/>
        </w:rPr>
        <w:t>CBA</w:t>
      </w:r>
      <w:r>
        <w:rPr/>
        <w:t xml:space="preserve"> of lockdowns—costs vs. reduction in cases.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3" w:name="slide-13-policy-evaluation-beyond-econom"/>
      <w:r>
        <w:rPr/>
        <w:t>Slide 13: Policy Evaluation Beyond Economics</w:t>
      </w:r>
      <w:bookmarkEnd w:id="13"/>
    </w:p>
    <w:p>
      <w:pPr>
        <w:pStyle w:val="BodyText"/>
        <w:numPr>
          <w:ilvl w:val="0"/>
          <w:numId w:val="25"/>
        </w:numPr>
        <w:bidi w:val="0"/>
        <w:spacing w:before="0" w:after="0"/>
        <w:jc w:val="start"/>
        <w:rPr/>
      </w:pPr>
      <w:r>
        <w:rPr/>
        <w:t>Policy analysis involves:</w:t>
      </w:r>
    </w:p>
    <w:p>
      <w:pPr>
        <w:pStyle w:val="BodyText"/>
        <w:numPr>
          <w:ilvl w:val="1"/>
          <w:numId w:val="68"/>
        </w:numPr>
        <w:bidi w:val="0"/>
        <w:spacing w:before="0" w:after="0"/>
        <w:jc w:val="start"/>
        <w:rPr/>
      </w:pPr>
      <w:r>
        <w:rPr>
          <w:b/>
          <w:bCs/>
        </w:rPr>
        <w:t>Effectiveness</w:t>
      </w:r>
      <w:r>
        <w:rPr/>
        <w:t xml:space="preserve">, </w:t>
      </w:r>
      <w:r>
        <w:rPr>
          <w:b/>
          <w:bCs/>
        </w:rPr>
        <w:t>Equity</w:t>
      </w:r>
      <w:r>
        <w:rPr/>
        <w:t xml:space="preserve">, </w:t>
      </w:r>
      <w:r>
        <w:rPr>
          <w:b/>
          <w:bCs/>
        </w:rPr>
        <w:t>Liberty/Freedom</w:t>
      </w:r>
      <w:r>
        <w:rPr/>
        <w:t xml:space="preserve">, </w:t>
      </w:r>
      <w:r>
        <w:rPr>
          <w:b/>
          <w:bCs/>
        </w:rPr>
        <w:t>Political Feasibility</w:t>
      </w:r>
      <w:r>
        <w:rPr/>
        <w:t>.</w:t>
      </w:r>
    </w:p>
    <w:p>
      <w:pPr>
        <w:pStyle w:val="BodyText"/>
        <w:numPr>
          <w:ilvl w:val="0"/>
          <w:numId w:val="25"/>
        </w:numPr>
        <w:bidi w:val="0"/>
        <w:spacing w:before="0" w:after="0"/>
        <w:jc w:val="start"/>
        <w:rPr/>
      </w:pPr>
      <w:r>
        <w:rPr/>
        <w:t>COVID-19 policy debates illustrated the difficulty of balancing these criteria.</w:t>
      </w:r>
    </w:p>
    <w:p>
      <w:pPr>
        <w:pStyle w:val="BodyText"/>
        <w:numPr>
          <w:ilvl w:val="0"/>
          <w:numId w:val="25"/>
        </w:numPr>
        <w:bidi w:val="0"/>
        <w:spacing w:before="0" w:after="0"/>
        <w:jc w:val="start"/>
        <w:rPr/>
      </w:pPr>
      <w:r>
        <w:rPr/>
        <w:t xml:space="preserve">Ultimately, </w:t>
      </w:r>
      <w:r>
        <w:rPr>
          <w:b/>
          <w:bCs/>
        </w:rPr>
        <w:t>decision-making</w:t>
      </w:r>
      <w:r>
        <w:rPr/>
        <w:t xml:space="preserve"> lies with </w:t>
      </w:r>
      <w:r>
        <w:rPr>
          <w:b/>
          <w:bCs/>
        </w:rPr>
        <w:t>policymakers</w:t>
      </w:r>
      <w:r>
        <w:rPr/>
        <w:t xml:space="preserve"> and the </w:t>
      </w:r>
      <w:r>
        <w:rPr>
          <w:b/>
          <w:bCs/>
        </w:rPr>
        <w:t>public</w:t>
      </w:r>
      <w:r>
        <w:rPr/>
        <w:t>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4" w:name="slide-14-economic-approaches-to-policy-a"/>
      <w:r>
        <w:rPr/>
        <w:t>Slide 14: Economic Approaches to Policy Analysis</w:t>
      </w:r>
      <w:bookmarkEnd w:id="14"/>
    </w:p>
    <w:p>
      <w:pPr>
        <w:pStyle w:val="BodyText"/>
        <w:numPr>
          <w:ilvl w:val="0"/>
          <w:numId w:val="27"/>
        </w:numPr>
        <w:bidi w:val="0"/>
        <w:spacing w:before="0" w:after="0"/>
        <w:jc w:val="start"/>
        <w:rPr/>
      </w:pPr>
      <w:r>
        <w:rPr>
          <w:b/>
          <w:bCs/>
        </w:rPr>
        <w:t>Public policies</w:t>
      </w:r>
      <w:r>
        <w:rPr/>
        <w:t xml:space="preserve"> require resources; economic analysis helps understand real costs.</w:t>
      </w:r>
    </w:p>
    <w:p>
      <w:pPr>
        <w:pStyle w:val="BodyText"/>
        <w:numPr>
          <w:ilvl w:val="1"/>
          <w:numId w:val="69"/>
        </w:numPr>
        <w:bidi w:val="0"/>
        <w:spacing w:before="0" w:after="0"/>
        <w:jc w:val="start"/>
        <w:rPr/>
      </w:pPr>
      <w:r>
        <w:rPr/>
        <w:t xml:space="preserve">Helps weigh </w:t>
      </w:r>
      <w:r>
        <w:rPr>
          <w:b/>
          <w:bCs/>
        </w:rPr>
        <w:t>trade-offs</w:t>
      </w:r>
      <w:r>
        <w:rPr/>
        <w:t xml:space="preserve"> between alternatives.</w:t>
      </w:r>
    </w:p>
    <w:p>
      <w:pPr>
        <w:pStyle w:val="BodyText"/>
        <w:numPr>
          <w:ilvl w:val="0"/>
          <w:numId w:val="27"/>
        </w:numPr>
        <w:bidi w:val="0"/>
        <w:spacing w:before="0" w:after="0"/>
        <w:jc w:val="start"/>
        <w:rPr/>
      </w:pPr>
      <w:r>
        <w:rPr/>
        <w:t xml:space="preserve">Criticism: Overemphasis on </w:t>
      </w:r>
      <w:r>
        <w:rPr>
          <w:b/>
          <w:bCs/>
        </w:rPr>
        <w:t>dollar values</w:t>
      </w:r>
      <w:r>
        <w:rPr/>
        <w:t xml:space="preserve"> may </w:t>
      </w:r>
      <w:r>
        <w:rPr>
          <w:b/>
          <w:bCs/>
        </w:rPr>
        <w:t>neglect societal needs</w:t>
      </w:r>
      <w:r>
        <w:rPr/>
        <w:t>.</w:t>
      </w:r>
    </w:p>
    <w:p>
      <w:pPr>
        <w:pStyle w:val="BodyText"/>
        <w:numPr>
          <w:ilvl w:val="0"/>
          <w:numId w:val="27"/>
        </w:numPr>
        <w:bidi w:val="0"/>
        <w:spacing w:before="0" w:after="0"/>
        <w:jc w:val="start"/>
        <w:rPr/>
      </w:pPr>
      <w:r>
        <w:rPr/>
        <w:t>Example: COVID-19 relief packages—balancing economic costs with public health benefits.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5" w:name="slide-15-understanding-cost-benefit-anal"/>
      <w:r>
        <w:rPr/>
        <w:t>Slide 15: Understanding Cost-Benefit Analysis (CBA)</w:t>
      </w:r>
      <w:bookmarkEnd w:id="15"/>
    </w:p>
    <w:p>
      <w:pPr>
        <w:pStyle w:val="BodyText"/>
        <w:numPr>
          <w:ilvl w:val="0"/>
          <w:numId w:val="29"/>
        </w:numPr>
        <w:bidi w:val="0"/>
        <w:spacing w:before="0" w:after="0"/>
        <w:jc w:val="start"/>
        <w:rPr/>
      </w:pPr>
      <w:r>
        <w:rPr>
          <w:b/>
          <w:bCs/>
        </w:rPr>
        <w:t>Steps</w:t>
      </w:r>
      <w:r>
        <w:rPr/>
        <w:t xml:space="preserve"> in CBA:</w:t>
      </w:r>
    </w:p>
    <w:p>
      <w:pPr>
        <w:pStyle w:val="BodyText"/>
        <w:numPr>
          <w:ilvl w:val="1"/>
          <w:numId w:val="70"/>
        </w:numPr>
        <w:bidi w:val="0"/>
        <w:spacing w:before="0" w:after="0"/>
        <w:jc w:val="start"/>
        <w:rPr/>
      </w:pPr>
      <w:r>
        <w:rPr>
          <w:b/>
          <w:bCs/>
        </w:rPr>
        <w:t>Identify</w:t>
      </w:r>
      <w:r>
        <w:rPr/>
        <w:t xml:space="preserve"> short/long-term costs and benefits.</w:t>
      </w:r>
    </w:p>
    <w:p>
      <w:pPr>
        <w:pStyle w:val="BodyText"/>
        <w:numPr>
          <w:ilvl w:val="1"/>
          <w:numId w:val="71"/>
        </w:numPr>
        <w:bidi w:val="0"/>
        <w:spacing w:before="0" w:after="0"/>
        <w:jc w:val="start"/>
        <w:rPr/>
      </w:pPr>
      <w:r>
        <w:rPr>
          <w:b/>
          <w:bCs/>
        </w:rPr>
        <w:t>Monetize</w:t>
      </w:r>
      <w:r>
        <w:rPr/>
        <w:t xml:space="preserve"> tangible values.</w:t>
      </w:r>
    </w:p>
    <w:p>
      <w:pPr>
        <w:pStyle w:val="BodyText"/>
        <w:numPr>
          <w:ilvl w:val="1"/>
          <w:numId w:val="72"/>
        </w:numPr>
        <w:bidi w:val="0"/>
        <w:spacing w:before="0" w:after="0"/>
        <w:jc w:val="start"/>
        <w:rPr/>
      </w:pPr>
      <w:r>
        <w:rPr/>
        <w:t xml:space="preserve">Apply a </w:t>
      </w:r>
      <w:r>
        <w:rPr>
          <w:b/>
          <w:bCs/>
        </w:rPr>
        <w:t>discount rate</w:t>
      </w:r>
      <w:r>
        <w:rPr/>
        <w:t xml:space="preserve"> for future values.</w:t>
      </w:r>
    </w:p>
    <w:p>
      <w:pPr>
        <w:pStyle w:val="BodyText"/>
        <w:numPr>
          <w:ilvl w:val="1"/>
          <w:numId w:val="73"/>
        </w:numPr>
        <w:bidi w:val="0"/>
        <w:spacing w:before="0" w:after="0"/>
        <w:jc w:val="start"/>
        <w:rPr/>
      </w:pPr>
      <w:r>
        <w:rPr/>
        <w:t xml:space="preserve">Consider </w:t>
      </w:r>
      <w:r>
        <w:rPr>
          <w:b/>
          <w:bCs/>
        </w:rPr>
        <w:t>qualitative</w:t>
      </w:r>
      <w:r>
        <w:rPr/>
        <w:t xml:space="preserve"> factors.</w:t>
      </w:r>
    </w:p>
    <w:p>
      <w:pPr>
        <w:pStyle w:val="BodyText"/>
        <w:numPr>
          <w:ilvl w:val="1"/>
          <w:numId w:val="74"/>
        </w:numPr>
        <w:bidi w:val="0"/>
        <w:spacing w:before="0" w:after="0"/>
        <w:jc w:val="start"/>
        <w:rPr/>
      </w:pPr>
      <w:r>
        <w:rPr>
          <w:b/>
          <w:bCs/>
        </w:rPr>
        <w:t>Aggregate</w:t>
      </w:r>
      <w:r>
        <w:rPr/>
        <w:t xml:space="preserve"> results.</w:t>
      </w:r>
    </w:p>
    <w:p>
      <w:pPr>
        <w:pStyle w:val="BodyText"/>
        <w:numPr>
          <w:ilvl w:val="0"/>
          <w:numId w:val="29"/>
        </w:numPr>
        <w:bidi w:val="0"/>
        <w:spacing w:before="0" w:after="0"/>
        <w:jc w:val="start"/>
        <w:rPr/>
      </w:pPr>
      <w:r>
        <w:rPr/>
        <w:t>Example: Evaluating benefits and costs of mass testing campaigns.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6" w:name="slide-16-cost-effectiveness-analysis-cea"/>
      <w:r>
        <w:rPr/>
        <w:t>Slide 16: Cost-Effectiveness Analysis (CEA)</w:t>
      </w:r>
      <w:bookmarkEnd w:id="16"/>
    </w:p>
    <w:p>
      <w:pPr>
        <w:pStyle w:val="BodyText"/>
        <w:numPr>
          <w:ilvl w:val="0"/>
          <w:numId w:val="31"/>
        </w:numPr>
        <w:bidi w:val="0"/>
        <w:spacing w:before="0" w:after="0"/>
        <w:jc w:val="start"/>
        <w:rPr/>
      </w:pPr>
      <w:r>
        <w:rPr/>
        <w:t xml:space="preserve">Used when </w:t>
      </w:r>
      <w:r>
        <w:rPr>
          <w:b/>
          <w:bCs/>
        </w:rPr>
        <w:t>benefits</w:t>
      </w:r>
      <w:r>
        <w:rPr/>
        <w:t xml:space="preserve"> aren’t easily monetized.</w:t>
      </w:r>
    </w:p>
    <w:p>
      <w:pPr>
        <w:pStyle w:val="BodyText"/>
        <w:numPr>
          <w:ilvl w:val="0"/>
          <w:numId w:val="31"/>
        </w:numPr>
        <w:bidi w:val="0"/>
        <w:spacing w:before="0" w:after="0"/>
        <w:jc w:val="start"/>
        <w:rPr/>
      </w:pPr>
      <w:r>
        <w:rPr/>
        <w:t xml:space="preserve">Compares </w:t>
      </w:r>
      <w:r>
        <w:rPr>
          <w:b/>
          <w:bCs/>
        </w:rPr>
        <w:t>relative value</w:t>
      </w:r>
      <w:r>
        <w:rPr/>
        <w:t xml:space="preserve"> of different options.</w:t>
      </w:r>
    </w:p>
    <w:p>
      <w:pPr>
        <w:pStyle w:val="BodyText"/>
        <w:numPr>
          <w:ilvl w:val="0"/>
          <w:numId w:val="31"/>
        </w:numPr>
        <w:bidi w:val="0"/>
        <w:spacing w:before="0" w:after="0"/>
        <w:jc w:val="start"/>
        <w:rPr/>
      </w:pPr>
      <w:r>
        <w:rPr/>
        <w:t>Example: Comparing investments in vaccines vs. contact tracing during COVID-19.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7" w:name="slide-17-introduction-to-risk-assessment"/>
      <w:r>
        <w:rPr/>
        <w:t>Slide 17: Introduction to Risk Assessment</w:t>
      </w:r>
      <w:bookmarkEnd w:id="17"/>
    </w:p>
    <w:p>
      <w:pPr>
        <w:pStyle w:val="BodyText"/>
        <w:numPr>
          <w:ilvl w:val="0"/>
          <w:numId w:val="32"/>
        </w:numPr>
        <w:bidi w:val="0"/>
        <w:spacing w:before="0" w:after="0"/>
        <w:jc w:val="start"/>
        <w:rPr/>
      </w:pPr>
      <w:r>
        <w:rPr>
          <w:b/>
          <w:bCs/>
        </w:rPr>
        <w:t>Risk Assessment</w:t>
      </w:r>
      <w:r>
        <w:rPr/>
        <w:t xml:space="preserve"> estimates risks (e.g., pandemics).</w:t>
      </w:r>
    </w:p>
    <w:p>
      <w:pPr>
        <w:pStyle w:val="BodyText"/>
        <w:numPr>
          <w:ilvl w:val="1"/>
          <w:numId w:val="75"/>
        </w:numPr>
        <w:bidi w:val="0"/>
        <w:spacing w:before="0" w:after="0"/>
        <w:jc w:val="start"/>
        <w:rPr/>
      </w:pPr>
      <w:r>
        <w:rPr>
          <w:b/>
          <w:bCs/>
        </w:rPr>
        <w:t>Risk (R)</w:t>
      </w:r>
      <w:r>
        <w:rPr/>
        <w:t xml:space="preserve"> = </w:t>
      </w:r>
      <w:r>
        <w:rPr>
          <w:b/>
          <w:bCs/>
        </w:rPr>
        <w:t>Probability (p)</w:t>
      </w:r>
      <w:r>
        <w:rPr/>
        <w:t xml:space="preserve"> × </w:t>
      </w:r>
      <w:r>
        <w:rPr>
          <w:b/>
          <w:bCs/>
        </w:rPr>
        <w:t>Consequences (C)</w:t>
      </w:r>
    </w:p>
    <w:p>
      <w:pPr>
        <w:pStyle w:val="BodyText"/>
        <w:numPr>
          <w:ilvl w:val="1"/>
          <w:numId w:val="76"/>
        </w:numPr>
        <w:bidi w:val="0"/>
        <w:spacing w:before="0" w:after="0"/>
        <w:jc w:val="start"/>
        <w:rPr/>
      </w:pPr>
      <w:r>
        <w:rPr/>
        <w:t>Used to understand public risk during COVID-19.</w:t>
      </w:r>
    </w:p>
    <w:p>
      <w:pPr>
        <w:pStyle w:val="BodyText"/>
        <w:numPr>
          <w:ilvl w:val="0"/>
          <w:numId w:val="32"/>
        </w:numPr>
        <w:bidi w:val="0"/>
        <w:spacing w:before="0" w:after="0"/>
        <w:jc w:val="start"/>
        <w:rPr/>
      </w:pPr>
      <w:r>
        <w:rPr>
          <w:b/>
          <w:bCs/>
        </w:rPr>
        <w:t>Public Perception</w:t>
      </w:r>
      <w:r>
        <w:rPr/>
        <w:t xml:space="preserve"> vs. </w:t>
      </w:r>
      <w:r>
        <w:rPr>
          <w:b/>
          <w:bCs/>
        </w:rPr>
        <w:t>Expert Evaluation</w:t>
      </w:r>
      <w:r>
        <w:rPr/>
        <w:t>: Perception often drove risk-related decisions.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8" w:name="slide-18-political-and-institutional-app"/>
      <w:r>
        <w:rPr/>
        <w:t>Slide 18: Political and Institutional Approaches</w:t>
      </w:r>
      <w:bookmarkEnd w:id="18"/>
    </w:p>
    <w:p>
      <w:pPr>
        <w:pStyle w:val="BodyText"/>
        <w:numPr>
          <w:ilvl w:val="0"/>
          <w:numId w:val="34"/>
        </w:numPr>
        <w:bidi w:val="0"/>
        <w:spacing w:before="0" w:after="0"/>
        <w:jc w:val="start"/>
        <w:rPr/>
      </w:pPr>
      <w:r>
        <w:rPr>
          <w:b/>
          <w:bCs/>
        </w:rPr>
        <w:t>Political Feasibility Analysis</w:t>
      </w:r>
      <w:r>
        <w:rPr/>
        <w:t>:</w:t>
      </w:r>
    </w:p>
    <w:p>
      <w:pPr>
        <w:pStyle w:val="BodyText"/>
        <w:numPr>
          <w:ilvl w:val="1"/>
          <w:numId w:val="77"/>
        </w:numPr>
        <w:bidi w:val="0"/>
        <w:spacing w:before="0" w:after="0"/>
        <w:jc w:val="start"/>
        <w:rPr/>
      </w:pPr>
      <w:r>
        <w:rPr/>
        <w:t xml:space="preserve">Gauges </w:t>
      </w:r>
      <w:r>
        <w:rPr>
          <w:b/>
          <w:bCs/>
        </w:rPr>
        <w:t>support</w:t>
      </w:r>
      <w:r>
        <w:rPr/>
        <w:t xml:space="preserve"> from officials and stakeholders.</w:t>
      </w:r>
    </w:p>
    <w:p>
      <w:pPr>
        <w:pStyle w:val="BodyText"/>
        <w:numPr>
          <w:ilvl w:val="1"/>
          <w:numId w:val="78"/>
        </w:numPr>
        <w:bidi w:val="0"/>
        <w:spacing w:before="0" w:after="0"/>
        <w:jc w:val="start"/>
        <w:rPr/>
      </w:pPr>
      <w:r>
        <w:rPr/>
        <w:t>Example: Varied adoption of COVID-19 restrictions based on political context.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bookmarkStart w:id="19" w:name="slide-19-conclusion"/>
      <w:r>
        <w:rPr/>
        <w:t>Slide 19: Conclusion</w:t>
      </w:r>
      <w:bookmarkEnd w:id="19"/>
    </w:p>
    <w:p>
      <w:pPr>
        <w:pStyle w:val="BodyText"/>
        <w:numPr>
          <w:ilvl w:val="0"/>
          <w:numId w:val="36"/>
        </w:numPr>
        <w:bidi w:val="0"/>
        <w:spacing w:before="0" w:after="0"/>
        <w:jc w:val="start"/>
        <w:rPr/>
      </w:pPr>
      <w:r>
        <w:rPr>
          <w:b/>
          <w:bCs/>
        </w:rPr>
        <w:t>Key Takeaways</w:t>
      </w:r>
      <w:r>
        <w:rPr/>
        <w:t>:</w:t>
      </w:r>
    </w:p>
    <w:p>
      <w:pPr>
        <w:pStyle w:val="BodyText"/>
        <w:numPr>
          <w:ilvl w:val="1"/>
          <w:numId w:val="79"/>
        </w:numPr>
        <w:bidi w:val="0"/>
        <w:spacing w:before="0" w:after="0"/>
        <w:jc w:val="start"/>
        <w:rPr/>
      </w:pPr>
      <w:r>
        <w:rPr/>
        <w:t>Evaluative criteria are critical for policy analysis.</w:t>
      </w:r>
    </w:p>
    <w:p>
      <w:pPr>
        <w:pStyle w:val="BodyText"/>
        <w:numPr>
          <w:ilvl w:val="1"/>
          <w:numId w:val="80"/>
        </w:numPr>
        <w:bidi w:val="0"/>
        <w:spacing w:before="0" w:after="0"/>
        <w:jc w:val="start"/>
        <w:rPr/>
      </w:pPr>
      <w:r>
        <w:rPr/>
        <w:t xml:space="preserve">Economic methods like </w:t>
      </w:r>
      <w:r>
        <w:rPr>
          <w:b/>
          <w:bCs/>
        </w:rPr>
        <w:t>CBA</w:t>
      </w:r>
      <w:r>
        <w:rPr/>
        <w:t xml:space="preserve"> and </w:t>
      </w:r>
      <w:r>
        <w:rPr>
          <w:b/>
          <w:bCs/>
        </w:rPr>
        <w:t>CEA</w:t>
      </w:r>
      <w:r>
        <w:rPr/>
        <w:t xml:space="preserve"> are useful but have limitations.</w:t>
      </w:r>
    </w:p>
    <w:p>
      <w:pPr>
        <w:pStyle w:val="BodyText"/>
        <w:numPr>
          <w:ilvl w:val="1"/>
          <w:numId w:val="81"/>
        </w:numPr>
        <w:bidi w:val="0"/>
        <w:spacing w:before="0" w:after="0"/>
        <w:jc w:val="start"/>
        <w:rPr/>
      </w:pPr>
      <w:r>
        <w:rPr/>
        <w:t xml:space="preserve">COVID-19 illustrated the need to balance </w:t>
      </w:r>
      <w:r>
        <w:rPr>
          <w:b/>
          <w:bCs/>
        </w:rPr>
        <w:t>effectiveness</w:t>
      </w:r>
      <w:r>
        <w:rPr/>
        <w:t xml:space="preserve">, </w:t>
      </w:r>
      <w:r>
        <w:rPr>
          <w:b/>
          <w:bCs/>
        </w:rPr>
        <w:t>equity</w:t>
      </w:r>
      <w:r>
        <w:rPr/>
        <w:t xml:space="preserve">, and </w:t>
      </w:r>
      <w:r>
        <w:rPr>
          <w:b/>
          <w:bCs/>
        </w:rPr>
        <w:t>freedom</w:t>
      </w:r>
      <w:r>
        <w:rPr/>
        <w:t>.</w:t>
      </w:r>
    </w:p>
    <w:p>
      <w:pPr>
        <w:pStyle w:val="BodyText"/>
        <w:numPr>
          <w:ilvl w:val="1"/>
          <w:numId w:val="82"/>
        </w:numPr>
        <w:bidi w:val="0"/>
        <w:spacing w:before="0" w:after="0"/>
        <w:jc w:val="start"/>
        <w:rPr/>
      </w:pPr>
      <w:r>
        <w:rPr>
          <w:b/>
          <w:bCs/>
        </w:rPr>
        <w:t>Political feasibility</w:t>
      </w:r>
      <w:r>
        <w:rPr/>
        <w:t xml:space="preserve"> and </w:t>
      </w:r>
      <w:r>
        <w:rPr>
          <w:b/>
          <w:bCs/>
        </w:rPr>
        <w:t>public involvement</w:t>
      </w:r>
      <w:r>
        <w:rPr/>
        <w:t xml:space="preserve"> are essential for successful implementation.</w:t>
      </w:r>
    </w:p>
    <w:p>
      <w:pPr>
        <w:pStyle w:val="Firstparagraph"/>
        <w:bidi w:val="0"/>
        <w:jc w:val="start"/>
        <w:rPr/>
      </w:pPr>
      <w:r>
        <w:rPr>
          <w:b/>
          <w:bCs/>
        </w:rPr>
        <w:t>Mentimeter Multiple Choice</w:t>
      </w:r>
      <w:r>
        <w:rPr/>
        <w:t>: “</w:t>
      </w:r>
      <w:r>
        <w:rPr>
          <w:i/>
          <w:iCs/>
        </w:rPr>
        <w:t>If you were a policymaker during COVID-19, which criterion would you prioritize?</w:t>
      </w:r>
      <w:r>
        <w:rPr/>
        <w:t>”</w:t>
      </w:r>
      <w:r>
        <w:rPr>
          <w:i/>
          <w:iCs/>
        </w:rPr>
        <w:t xml:space="preserve"> (Effectiveness, Equity, Liberty/Freedom)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start"/>
        <w:rPr/>
      </w:pPr>
      <w:r>
        <w:rPr/>
      </w:r>
    </w:p>
    <w:p>
      <w:pPr>
        <w:pStyle w:val="Heading1"/>
        <w:tabs>
          <w:tab w:val="clear" w:pos="709"/>
          <w:tab w:val="left" w:pos="0" w:leader="none"/>
        </w:tabs>
        <w:bidi w:val="0"/>
        <w:spacing w:before="240" w:after="120"/>
        <w:ind w:hanging="0" w:start="0"/>
        <w:jc w:val="start"/>
        <w:rPr/>
      </w:pPr>
      <w:bookmarkStart w:id="20" w:name="slide-20-questions"/>
      <w:r>
        <w:rPr/>
        <w:t>Slide 20: Questions?</w:t>
      </w:r>
      <w:bookmarkEnd w:id="20"/>
    </w:p>
    <w:sectPr>
      <w:footerReference w:type="default" r:id="rId4"/>
      <w:type w:val="nextPage"/>
      <w:pgSz w:w="12240" w:h="15840"/>
      <w:pgMar w:left="1440" w:right="1440" w:gutter="0" w:header="0" w:top="1440" w:footer="1440" w:bottom="2016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ourier New">
    <w:charset w:val="01" w:characterSet="utf-8"/>
    <w:family w:val="modern"/>
    <w:pitch w:val="fixed"/>
  </w:font>
  <w:font w:name="StarSymbol">
    <w:altName w:val="Arial Unicode MS"/>
    <w:charset w:val="01" w:characterSet="utf-8"/>
    <w:family w:val="auto"/>
    <w:pitch w:val="default"/>
  </w:font>
  <w:font w:name="Arial">
    <w:charset w:val="01" w:characterSet="utf-8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  <w:r>
      <w:rPr/>
      <w:t xml:space="preserve"> 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8">
    <w:lvl w:ilvl="0">
      <w:start w:val="2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0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abstractNum w:abstractNumId="3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18"/>
        <w:szCs w:val="18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18"/>
        <w:szCs w:val="18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18"/>
        <w:szCs w:val="18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18"/>
        <w:szCs w:val="18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18"/>
        <w:szCs w:val="18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18"/>
        <w:szCs w:val="18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18"/>
        <w:szCs w:val="18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18"/>
        <w:szCs w:val="18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39">
    <w:abstractNumId w:val="3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40">
    <w:abstractNumId w:val="5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41">
    <w:abstractNumId w:val="5"/>
    <w:lvlOverride w:ilvl="0">
      <w:startOverride w:val="1"/>
    </w:lvlOverride>
    <w:lvlOverride w:ilvl="1">
      <w:startOverride w:val="1"/>
    </w:lvlOverride>
  </w:num>
  <w:num w:numId="42">
    <w:abstractNumId w:val="5"/>
  </w:num>
  <w:num w:numId="43">
    <w:abstractNumId w:val="5"/>
  </w:num>
  <w:num w:numId="44">
    <w:abstractNumId w:val="5"/>
    <w:lvlOverride w:ilvl="0">
      <w:lvl w:ilvl="0">
        <w:start w:val="2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2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  <w:startOverride w:val="1"/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45">
    <w:abstractNumId w:val="9"/>
  </w:num>
  <w:num w:numId="46">
    <w:abstractNumId w:val="9"/>
  </w:num>
  <w:num w:numId="47">
    <w:abstractNumId w:val="9"/>
  </w:num>
  <w:num w:numId="48">
    <w:abstractNumId w:val="11"/>
  </w:num>
  <w:num w:numId="49">
    <w:abstractNumId w:val="11"/>
  </w:num>
  <w:num w:numId="50">
    <w:abstractNumId w:val="11"/>
  </w:num>
  <w:num w:numId="51">
    <w:abstractNumId w:val="13"/>
  </w:num>
  <w:num w:numId="52">
    <w:abstractNumId w:val="13"/>
  </w:num>
  <w:num w:numId="53">
    <w:abstractNumId w:val="13"/>
  </w:num>
  <w:num w:numId="54">
    <w:abstractNumId w:val="15"/>
  </w:num>
  <w:num w:numId="55">
    <w:abstractNumId w:val="15"/>
  </w:num>
  <w:num w:numId="56">
    <w:abstractNumId w:val="15"/>
  </w:num>
  <w:num w:numId="57">
    <w:abstractNumId w:val="17"/>
  </w:num>
  <w:num w:numId="58">
    <w:abstractNumId w:val="17"/>
  </w:num>
  <w:num w:numId="59">
    <w:abstractNumId w:val="17"/>
  </w:num>
  <w:num w:numId="60">
    <w:abstractNumId w:val="19"/>
  </w:num>
  <w:num w:numId="61">
    <w:abstractNumId w:val="19"/>
  </w:num>
  <w:num w:numId="62">
    <w:abstractNumId w:val="19"/>
  </w:num>
  <w:num w:numId="63">
    <w:abstractNumId w:val="21"/>
  </w:num>
  <w:num w:numId="64">
    <w:abstractNumId w:val="21"/>
  </w:num>
  <w:num w:numId="65">
    <w:abstractNumId w:val="21"/>
  </w:num>
  <w:num w:numId="66">
    <w:abstractNumId w:val="23"/>
  </w:num>
  <w:num w:numId="67">
    <w:abstractNumId w:val="23"/>
  </w:num>
  <w:num w:numId="68">
    <w:abstractNumId w:val="25"/>
  </w:num>
  <w:num w:numId="69">
    <w:abstractNumId w:val="27"/>
  </w:num>
  <w:num w:numId="70">
    <w:abstractNumId w:val="29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71">
    <w:abstractNumId w:val="29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72">
    <w:abstractNumId w:val="29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73">
    <w:abstractNumId w:val="29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74">
    <w:abstractNumId w:val="29"/>
    <w:lvlOverride w:ilvl="0">
      <w:lvl w:ilvl="0">
        <w:start w:val="1"/>
        <w:numFmt w:val="decimal"/>
        <w:lvlText w:val="%1."/>
        <w:lvlJc w:val="start"/>
        <w:pPr>
          <w:tabs>
            <w:tab w:val="num" w:pos="720"/>
          </w:tabs>
          <w:ind w:start="72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start"/>
        <w:pPr>
          <w:tabs>
            <w:tab w:val="num" w:pos="1080"/>
          </w:tabs>
          <w:ind w:start="1080" w:hanging="360"/>
        </w:pPr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start"/>
        <w:pPr>
          <w:tabs>
            <w:tab w:val="num" w:pos="1440"/>
          </w:tabs>
          <w:ind w:start="144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start"/>
        <w:pPr>
          <w:tabs>
            <w:tab w:val="num" w:pos="1800"/>
          </w:tabs>
          <w:ind w:start="180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start"/>
        <w:pPr>
          <w:tabs>
            <w:tab w:val="num" w:pos="2160"/>
          </w:tabs>
          <w:ind w:start="216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start"/>
        <w:pPr>
          <w:tabs>
            <w:tab w:val="num" w:pos="2520"/>
          </w:tabs>
          <w:ind w:start="252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start"/>
        <w:pPr>
          <w:tabs>
            <w:tab w:val="num" w:pos="2880"/>
          </w:tabs>
          <w:ind w:start="288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start"/>
        <w:pPr>
          <w:tabs>
            <w:tab w:val="num" w:pos="3240"/>
          </w:tabs>
          <w:ind w:start="324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start"/>
        <w:pPr>
          <w:tabs>
            <w:tab w:val="num" w:pos="3600"/>
          </w:tabs>
          <w:ind w:start="3600" w:hanging="360"/>
        </w:pPr>
      </w:lvl>
    </w:lvlOverride>
  </w:num>
  <w:num w:numId="75">
    <w:abstractNumId w:val="32"/>
  </w:num>
  <w:num w:numId="76">
    <w:abstractNumId w:val="32"/>
  </w:num>
  <w:num w:numId="77">
    <w:abstractNumId w:val="34"/>
  </w:num>
  <w:num w:numId="78">
    <w:abstractNumId w:val="34"/>
  </w:num>
  <w:num w:numId="79">
    <w:abstractNumId w:val="36"/>
  </w:num>
  <w:num w:numId="80">
    <w:abstractNumId w:val="36"/>
  </w:num>
  <w:num w:numId="81">
    <w:abstractNumId w:val="36"/>
  </w:num>
  <w:num w:numId="82">
    <w:abstractNumId w:val="3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Lucida Sans Unicode" w:cs="Tahoma"/>
        <w:kern w:val="2"/>
        <w:sz w:val="24"/>
        <w:szCs w:val="24"/>
        <w:lang w:val="en-US" w:eastAsia="zxx" w:bidi="zxx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Times New Roman" w:hAnsi="Times New Roman" w:eastAsia="Lucida Sans Unicode" w:cs="Tahoma"/>
      <w:color w:val="auto"/>
      <w:kern w:val="2"/>
      <w:sz w:val="24"/>
      <w:szCs w:val="24"/>
      <w:lang w:val="en-US" w:eastAsia="zxx" w:bidi="zxx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outlineLvl w:val="5"/>
    </w:pPr>
    <w:rPr>
      <w:b/>
      <w:bCs/>
      <w:sz w:val="21"/>
      <w:szCs w:val="21"/>
    </w:rPr>
  </w:style>
  <w:style w:type="character" w:styleId="SourceText">
    <w:name w:val="Source_Text"/>
    <w:qFormat/>
    <w:rPr>
      <w:rFonts w:ascii="Courier New" w:hAnsi="Courier New" w:eastAsia="Courier New" w:cs="Courier New"/>
      <w:sz w:val="20"/>
      <w:szCs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StarSymbol" w:hAnsi="StarSymbol" w:eastAsia="StarSymbol" w:cs="StarSymbol"/>
      <w:sz w:val="18"/>
      <w:szCs w:val="18"/>
    </w:rPr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trikeout">
    <w:name w:val="Strikeout"/>
    <w:qFormat/>
    <w:rPr>
      <w:strike/>
    </w:rPr>
  </w:style>
  <w:style w:type="character" w:styleId="Superscript">
    <w:name w:val="Superscript"/>
    <w:qFormat/>
    <w:rPr>
      <w:vertAlign w:val="superscript"/>
    </w:rPr>
  </w:style>
  <w:style w:type="character" w:styleId="Subscript">
    <w:name w:val="Subscript"/>
    <w:qFormat/>
    <w:rPr>
      <w:vertAlign w:val="subscript"/>
    </w:rPr>
  </w:style>
  <w:style w:type="character" w:styleId="Quotation">
    <w:name w:val="Quotation"/>
    <w:qFormat/>
    <w:rPr>
      <w:i/>
      <w:iCs/>
    </w:rPr>
  </w:style>
  <w:style w:type="character" w:styleId="Teletype">
    <w:name w:val="Teletype"/>
    <w:qFormat/>
    <w:rPr>
      <w:rFonts w:ascii="Courier New" w:hAnsi="Courier New" w:eastAsia="Courier New" w:cs="Courier New"/>
    </w:rPr>
  </w:style>
  <w:style w:type="character" w:styleId="Hyper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FootnoteReference">
    <w:name w:val="Footnote Reference"/>
    <w:rPr>
      <w:vertAlign w:val="superscript"/>
    </w:rPr>
  </w:style>
  <w:style w:type="character" w:styleId="Definition">
    <w:name w:val="Definition"/>
    <w:qFormat/>
    <w:rPr/>
  </w:style>
  <w:style w:type="paragraph" w:styleId="Author">
    <w:name w:val="Author"/>
    <w:basedOn w:val="Normal"/>
    <w:qFormat/>
    <w:pPr>
      <w:jc w:val="center"/>
    </w:pPr>
    <w:rPr/>
  </w:style>
  <w:style w:type="paragraph" w:styleId="Date">
    <w:name w:val="Date"/>
    <w:basedOn w:val="Normal"/>
    <w:qFormat/>
    <w:pPr>
      <w:jc w:val="center"/>
    </w:pPr>
    <w:rPr/>
  </w:style>
  <w:style w:type="paragraph" w:styleId="Abstract">
    <w:name w:val="Abstract"/>
    <w:basedOn w:val="Normal"/>
    <w:qFormat/>
    <w:pPr>
      <w:spacing w:before="144" w:after="144"/>
      <w:ind w:hanging="0" w:start="567" w:end="567"/>
    </w:pPr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BodyText">
    <w:name w:val="Body Text"/>
    <w:basedOn w:val="Normal"/>
    <w:pPr>
      <w:spacing w:before="86" w:after="86"/>
    </w:pPr>
    <w:rPr/>
  </w:style>
  <w:style w:type="paragraph" w:styleId="List">
    <w:name w:val="List"/>
    <w:basedOn w:val="BodyText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Table">
    <w:name w:val="Table"/>
    <w:basedOn w:val="Caption"/>
    <w:qFormat/>
    <w:pPr/>
    <w:rPr/>
  </w:style>
  <w:style w:type="paragraph" w:styleId="FigureCaption">
    <w:name w:val="FigureCaption"/>
    <w:basedOn w:val="Caption"/>
    <w:qFormat/>
    <w:pPr/>
    <w:rPr/>
  </w:style>
  <w:style w:type="paragraph" w:styleId="Figure">
    <w:name w:val="Figure"/>
    <w:basedOn w:val="Normal"/>
    <w:qFormat/>
    <w:pPr>
      <w:suppressLineNumbers/>
    </w:pPr>
    <w:rPr/>
  </w:style>
  <w:style w:type="paragraph" w:styleId="FigureWithCaption">
    <w:name w:val="FigureWithCaption"/>
    <w:basedOn w:val="Figure"/>
    <w:qFormat/>
    <w:pPr>
      <w:keepNext w:val="true"/>
      <w:suppressLineNumbers/>
    </w:pPr>
    <w:rPr/>
  </w:style>
  <w:style w:type="paragraph" w:styleId="Index">
    <w:name w:val="Index"/>
    <w:basedOn w:val="Normal"/>
    <w:qFormat/>
    <w:pPr>
      <w:suppressLineNumbers/>
    </w:pPr>
    <w:rPr>
      <w:rFonts w:cs="Tahoma"/>
    </w:rPr>
  </w:style>
  <w:style w:type="paragraph" w:styleId="BlockQuotation">
    <w:name w:val="Block Quotation"/>
    <w:basedOn w:val="Normal"/>
    <w:qFormat/>
    <w:pPr>
      <w:spacing w:before="144" w:after="144"/>
      <w:ind w:hanging="0" w:start="567" w:end="567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Courier New" w:hAnsi="Courier New" w:eastAsia="Courier New" w:cs="Courier New"/>
      <w:sz w:val="20"/>
      <w:szCs w:val="20"/>
    </w:rPr>
  </w:style>
  <w:style w:type="paragraph" w:styleId="DefinitionTerm">
    <w:name w:val="Definition Term"/>
    <w:basedOn w:val="Normal"/>
    <w:next w:val="DefinitionDefinition"/>
    <w:qFormat/>
    <w:pPr>
      <w:spacing w:before="86" w:after="86"/>
    </w:pPr>
    <w:rPr/>
  </w:style>
  <w:style w:type="paragraph" w:styleId="DefinitionDefinition">
    <w:name w:val="Definition Definition"/>
    <w:basedOn w:val="Normal"/>
    <w:next w:val="BodyText"/>
    <w:qFormat/>
    <w:pPr>
      <w:ind w:hanging="0" w:start="720" w:end="0"/>
    </w:pPr>
    <w:rPr/>
  </w:style>
  <w:style w:type="paragraph" w:styleId="TableContents">
    <w:name w:val="Table Contents"/>
    <w:basedOn w:val="Normal"/>
    <w:qFormat/>
    <w:pPr>
      <w:suppressLineNumbers/>
      <w:ind w:hanging="0" w:start="43" w:end="43"/>
    </w:pPr>
    <w:rPr/>
  </w:style>
  <w:style w:type="paragraph" w:styleId="TableHeading">
    <w:name w:val="Table Heading"/>
    <w:basedOn w:val="TableContents"/>
    <w:qFormat/>
    <w:pPr>
      <w:suppressLineNumbers/>
      <w:ind w:hanging="0" w:start="43" w:end="43"/>
      <w:jc w:val="start"/>
    </w:pPr>
    <w:rPr>
      <w:b/>
      <w:bCs/>
    </w:rPr>
  </w:style>
  <w:style w:type="paragraph" w:styleId="FootnoteText">
    <w:name w:val="Footnote Text"/>
    <w:basedOn w:val="Normal"/>
    <w:pPr>
      <w:suppressLineNumbers/>
      <w:ind w:hanging="283" w:start="283" w:end="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lear" w:pos="709"/>
        <w:tab w:val="center" w:pos="4680" w:leader="none"/>
        <w:tab w:val="right" w:pos="9360" w:leader="none"/>
      </w:tabs>
    </w:pPr>
    <w:rPr/>
  </w:style>
  <w:style w:type="paragraph" w:styleId="DefinitionTermTight">
    <w:name w:val="Definition Term Tight"/>
    <w:basedOn w:val="Normal"/>
    <w:next w:val="DefinitionDefinitionTight"/>
    <w:qFormat/>
    <w:pPr>
      <w:spacing w:before="115" w:after="115"/>
    </w:pPr>
    <w:rPr/>
  </w:style>
  <w:style w:type="paragraph" w:styleId="DefinitionDefinitionTight">
    <w:name w:val="Definition Definition Tight"/>
    <w:basedOn w:val="Normal"/>
    <w:qFormat/>
    <w:pPr>
      <w:spacing w:before="0" w:after="0"/>
      <w:ind w:hanging="0" w:start="720" w:end="0"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irstparagraph">
    <w:name w:val="First paragraph"/>
    <w:basedOn w:val="BodyText"/>
    <w:next w:val="BodyText"/>
    <w:qFormat/>
    <w:pPr/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umbering1">
    <w:name w:val="Numbering 1"/>
    <w:qFormat/>
  </w:style>
  <w:style w:type="numbering" w:styleId="Numbering2">
    <w:name w:val="Numbering 2"/>
    <w:qFormat/>
  </w:style>
  <w:style w:type="numbering" w:styleId="Numbering3">
    <w:name w:val="Numbering 3"/>
    <w:qFormat/>
  </w:style>
  <w:style w:type="numbering" w:styleId="Numbering4">
    <w:name w:val="Numbering 4"/>
    <w:qFormat/>
  </w:style>
  <w:style w:type="numbering" w:styleId="Numbering5">
    <w:name w:val="Numbering 5"/>
    <w:qFormat/>
  </w:style>
  <w:style w:type="numbering" w:styleId="Bullet">
    <w:name w:val="Bullet •"/>
    <w:qFormat/>
  </w:style>
  <w:style w:type="numbering" w:styleId="Bullet1">
    <w:name w:val="Bullet –"/>
    <w:qFormat/>
  </w:style>
  <w:style w:type="numbering" w:styleId="Bullet2">
    <w:name w:val="Bullet ☑"/>
    <w:qFormat/>
  </w:style>
  <w:style w:type="numbering" w:styleId="Bullet3">
    <w:name w:val="Bullet ➢"/>
    <w:qFormat/>
  </w:style>
  <w:style w:type="numbering" w:styleId="Bullet4">
    <w:name w:val="Bullet ✗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LibreOffice/24.2.5.2$Linux_X86_64 LibreOffice_project/420$Build-2</Application>
  <AppVersion>15.0000</AppVersion>
  <Pages>6</Pages>
  <Words>815</Words>
  <Characters>5027</Characters>
  <CharactersWithSpaces>5656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2024-10-03T03:16:19Z</dcterms:created>
  <dc:creator>David P. Adams, Ph.D.</dc:creator>
  <dc:description/>
  <cp:keywords/>
  <dc:language>en-US</dc:language>
  <cp:lastModifiedBy>David P. Adams, Ph.D.</cp:lastModifiedBy>
  <dcterms:modified xsi:type="dcterms:W3CDTF">2024-10-03T03:16:19Z</dcterms:modified>
  <cp:revision>0</cp:revision>
  <dc:subject/>
  <dc:title>Assessing Policy Alternatives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highlight">
    <vt:lpwstr>tango</vt:lpwstr>
  </property>
  <property fmtid="{D5CDD505-2E9C-101B-9397-08002B2CF9AE}" pid="4" name="lecture">
    <vt:lpwstr>Lecture 1</vt:lpwstr>
  </property>
  <property fmtid="{D5CDD505-2E9C-101B-9397-08002B2CF9AE}" pid="5" name="margin">
    <vt:lpwstr>1.5in</vt:lpwstr>
  </property>
  <property fmtid="{D5CDD505-2E9C-101B-9397-08002B2CF9AE}" pid="6" name="semester">
    <vt:lpwstr>Fall 2024</vt:lpwstr>
  </property>
  <property fmtid="{D5CDD505-2E9C-101B-9397-08002B2CF9AE}" pid="7" name="subtitle">
    <vt:lpwstr>POSC 315 - Introduction to Public Policy | Week 6</vt:lpwstr>
  </property>
  <property fmtid="{D5CDD505-2E9C-101B-9397-08002B2CF9AE}" pid="8" name="theme">
    <vt:lpwstr>metropolis</vt:lpwstr>
  </property>
  <property fmtid="{D5CDD505-2E9C-101B-9397-08002B2CF9AE}" pid="9" name="week">
    <vt:lpwstr>Week 6</vt:lpwstr>
  </property>
</Properties>
</file>