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adjustRightInd w:val="0"/>
        <w:snapToGrid w:val="0"/>
        <w:jc w:val="center"/>
        <w:outlineLvl w:val="0"/>
        <w:rPr>
          <w:rFonts w:hint="eastAsia" w:ascii="新宋体" w:hAnsi="新宋体" w:eastAsia="新宋体" w:cs="新宋体"/>
          <w:b/>
          <w:color w:val="auto"/>
          <w:sz w:val="44"/>
          <w:szCs w:val="44"/>
        </w:rPr>
      </w:pPr>
      <w:bookmarkStart w:id="1" w:name="_GoBack"/>
      <w:bookmarkStart w:id="0" w:name="_Toc442190274"/>
      <w:r>
        <w:rPr>
          <w:rFonts w:hint="eastAsia" w:ascii="新宋体" w:hAnsi="新宋体" w:eastAsia="新宋体" w:cs="新宋体"/>
          <w:b/>
          <w:color w:val="auto"/>
          <w:sz w:val="44"/>
          <w:szCs w:val="44"/>
        </w:rPr>
        <w:t>202</w:t>
      </w:r>
      <w:r>
        <w:rPr>
          <w:rFonts w:hint="eastAsia" w:ascii="新宋体" w:hAnsi="新宋体" w:eastAsia="新宋体" w:cs="新宋体"/>
          <w:b/>
          <w:color w:val="auto"/>
          <w:sz w:val="44"/>
          <w:szCs w:val="44"/>
          <w:lang w:val="en-US" w:eastAsia="zh-CN"/>
        </w:rPr>
        <w:t>5</w:t>
      </w:r>
      <w:r>
        <w:rPr>
          <w:rFonts w:hint="eastAsia" w:ascii="新宋体" w:hAnsi="新宋体" w:eastAsia="新宋体" w:cs="新宋体"/>
          <w:b/>
          <w:color w:val="auto"/>
          <w:sz w:val="44"/>
          <w:szCs w:val="44"/>
        </w:rPr>
        <w:t>版“沪惠保”-新市民版产品说明书</w:t>
      </w:r>
      <w:bookmarkEnd w:id="0"/>
    </w:p>
    <w:p>
      <w:pPr>
        <w:pStyle w:val="25"/>
        <w:adjustRightInd w:val="0"/>
        <w:snapToGrid w:val="0"/>
        <w:jc w:val="center"/>
        <w:outlineLvl w:val="0"/>
        <w:rPr>
          <w:rFonts w:hint="eastAsia" w:ascii="新宋体" w:hAnsi="新宋体" w:eastAsia="新宋体" w:cs="新宋体"/>
          <w:b/>
          <w:color w:val="auto"/>
          <w:sz w:val="40"/>
        </w:rPr>
      </w:pPr>
    </w:p>
    <w:p>
      <w:pPr>
        <w:pStyle w:val="25"/>
        <w:adjustRightInd w:val="0"/>
        <w:snapToGrid w:val="0"/>
        <w:jc w:val="center"/>
        <w:outlineLvl w:val="0"/>
        <w:rPr>
          <w:rFonts w:hint="eastAsia" w:ascii="新宋体" w:hAnsi="新宋体" w:eastAsia="新宋体" w:cs="新宋体"/>
          <w:color w:val="auto"/>
          <w:kern w:val="2"/>
          <w:sz w:val="28"/>
          <w:szCs w:val="28"/>
        </w:rPr>
      </w:pPr>
    </w:p>
    <w:p>
      <w:pPr>
        <w:adjustRightInd w:val="0"/>
        <w:snapToGrid w:val="0"/>
        <w:spacing w:line="360" w:lineRule="auto"/>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“沪惠保”</w:t>
      </w:r>
      <w:r>
        <w:rPr>
          <w:rFonts w:hint="eastAsia" w:ascii="新宋体" w:hAnsi="新宋体" w:eastAsia="新宋体" w:cs="新宋体"/>
          <w:b/>
          <w:color w:val="auto"/>
          <w:sz w:val="44"/>
          <w:szCs w:val="44"/>
        </w:rPr>
        <w:t>—</w:t>
      </w:r>
      <w:r>
        <w:rPr>
          <w:rFonts w:hint="eastAsia" w:ascii="新宋体" w:hAnsi="新宋体" w:eastAsia="新宋体" w:cs="新宋体"/>
          <w:color w:val="auto"/>
          <w:sz w:val="28"/>
          <w:szCs w:val="28"/>
        </w:rPr>
        <w:t>新市民版是根据上海医疗和生活水平，专为上海市城市建设中做出突出贡献的上海部分大型企业中工作且参加</w:t>
      </w:r>
      <w:r>
        <w:rPr>
          <w:rFonts w:hint="eastAsia" w:ascii="新宋体" w:hAnsi="新宋体" w:eastAsia="新宋体" w:cs="新宋体"/>
          <w:color w:val="auto"/>
          <w:sz w:val="28"/>
          <w:szCs w:val="28"/>
          <w:shd w:val="pct10" w:color="auto" w:fill="FFFFFF"/>
        </w:rPr>
        <w:t>当地基本医疗保险（释义1）</w:t>
      </w:r>
      <w:r>
        <w:rPr>
          <w:rFonts w:hint="eastAsia" w:ascii="新宋体" w:hAnsi="新宋体" w:eastAsia="新宋体" w:cs="新宋体"/>
          <w:color w:val="auto"/>
          <w:sz w:val="28"/>
          <w:szCs w:val="28"/>
        </w:rPr>
        <w:t>的务工人员定制的保险产品，由共保体各保险公司主动对接试点企业（如物流配送、外卖快递等行业），获取参保人员白名单，以自愿参保的原则，将其纳入沪惠保。</w:t>
      </w:r>
    </w:p>
    <w:p>
      <w:pPr>
        <w:adjustRightInd w:val="0"/>
        <w:snapToGrid w:val="0"/>
        <w:spacing w:line="360" w:lineRule="auto"/>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一、产品概要</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1、投保范围</w:t>
      </w:r>
      <w:r>
        <w:rPr>
          <w:rFonts w:hint="eastAsia" w:ascii="新宋体" w:hAnsi="新宋体" w:eastAsia="新宋体" w:cs="新宋体"/>
          <w:color w:val="auto"/>
          <w:sz w:val="28"/>
          <w:szCs w:val="28"/>
        </w:rPr>
        <w:t>：在</w:t>
      </w:r>
      <w:r>
        <w:rPr>
          <w:rFonts w:hint="eastAsia" w:ascii="新宋体" w:hAnsi="新宋体" w:eastAsia="新宋体" w:cs="新宋体"/>
          <w:color w:val="auto"/>
          <w:sz w:val="28"/>
          <w:szCs w:val="28"/>
          <w:shd w:val="pct10" w:color="auto" w:fill="FFFFFF"/>
        </w:rPr>
        <w:t>上海部分大型企业（释义2）</w:t>
      </w:r>
      <w:r>
        <w:rPr>
          <w:rFonts w:hint="eastAsia" w:ascii="新宋体" w:hAnsi="新宋体" w:eastAsia="新宋体" w:cs="新宋体"/>
          <w:color w:val="auto"/>
          <w:sz w:val="28"/>
          <w:szCs w:val="28"/>
        </w:rPr>
        <w:t>工作并参加当地基本医疗保险的务工人员（以下简称“新市民”）</w:t>
      </w:r>
    </w:p>
    <w:p>
      <w:pPr>
        <w:adjustRightInd w:val="0"/>
        <w:snapToGrid w:val="0"/>
        <w:spacing w:line="360" w:lineRule="auto"/>
        <w:ind w:firstLine="562" w:firstLineChars="200"/>
        <w:jc w:val="left"/>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2、投保年龄</w:t>
      </w:r>
      <w:r>
        <w:rPr>
          <w:rFonts w:hint="eastAsia" w:ascii="新宋体" w:hAnsi="新宋体" w:eastAsia="新宋体" w:cs="新宋体"/>
          <w:color w:val="auto"/>
          <w:sz w:val="28"/>
          <w:szCs w:val="28"/>
        </w:rPr>
        <w:t>：不受限制</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3、健康状况</w:t>
      </w:r>
      <w:r>
        <w:rPr>
          <w:rFonts w:hint="eastAsia" w:ascii="新宋体" w:hAnsi="新宋体" w:eastAsia="新宋体" w:cs="新宋体"/>
          <w:color w:val="auto"/>
          <w:sz w:val="28"/>
          <w:szCs w:val="28"/>
        </w:rPr>
        <w:t>：免体检，既往症可承保可赔付</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4、等待期</w:t>
      </w:r>
      <w:r>
        <w:rPr>
          <w:rFonts w:hint="eastAsia" w:ascii="新宋体" w:hAnsi="新宋体" w:eastAsia="新宋体" w:cs="新宋体"/>
          <w:color w:val="auto"/>
          <w:sz w:val="28"/>
          <w:szCs w:val="28"/>
        </w:rPr>
        <w:t>：无等待期</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5、保险期间</w:t>
      </w:r>
      <w:r>
        <w:rPr>
          <w:rFonts w:hint="eastAsia" w:ascii="新宋体" w:hAnsi="新宋体" w:eastAsia="新宋体" w:cs="新宋体"/>
          <w:color w:val="auto"/>
          <w:sz w:val="28"/>
          <w:szCs w:val="28"/>
        </w:rPr>
        <w:t>：一年</w:t>
      </w:r>
    </w:p>
    <w:p>
      <w:pPr>
        <w:adjustRightInd w:val="0"/>
        <w:snapToGrid w:val="0"/>
        <w:spacing w:line="360" w:lineRule="auto"/>
        <w:ind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6、交费方式</w:t>
      </w:r>
      <w:r>
        <w:rPr>
          <w:rFonts w:hint="eastAsia" w:ascii="新宋体" w:hAnsi="新宋体" w:eastAsia="新宋体" w:cs="新宋体"/>
          <w:color w:val="auto"/>
          <w:sz w:val="28"/>
          <w:szCs w:val="28"/>
        </w:rPr>
        <w:t>：趸交</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7、保险费</w:t>
      </w:r>
      <w:r>
        <w:rPr>
          <w:rFonts w:hint="eastAsia" w:ascii="新宋体" w:hAnsi="新宋体" w:eastAsia="新宋体" w:cs="新宋体"/>
          <w:color w:val="auto"/>
          <w:sz w:val="28"/>
          <w:szCs w:val="28"/>
        </w:rPr>
        <w:t>：129元/人/年</w:t>
      </w:r>
    </w:p>
    <w:p>
      <w:pPr>
        <w:tabs>
          <w:tab w:val="left" w:pos="5525"/>
        </w:tabs>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8、保障概要</w:t>
      </w:r>
      <w:r>
        <w:rPr>
          <w:rFonts w:hint="eastAsia" w:ascii="新宋体" w:hAnsi="新宋体" w:eastAsia="新宋体" w:cs="新宋体"/>
          <w:color w:val="auto"/>
          <w:sz w:val="28"/>
          <w:szCs w:val="28"/>
        </w:rPr>
        <w:tab/>
      </w:r>
    </w:p>
    <w:tbl>
      <w:tblPr>
        <w:tblStyle w:val="9"/>
        <w:tblW w:w="4998" w:type="pct"/>
        <w:tblInd w:w="0" w:type="dxa"/>
        <w:tblLayout w:type="autofit"/>
        <w:tblCellMar>
          <w:top w:w="0" w:type="dxa"/>
          <w:left w:w="108" w:type="dxa"/>
          <w:bottom w:w="0" w:type="dxa"/>
          <w:right w:w="108" w:type="dxa"/>
        </w:tblCellMar>
      </w:tblPr>
      <w:tblGrid>
        <w:gridCol w:w="1660"/>
        <w:gridCol w:w="1668"/>
        <w:gridCol w:w="1652"/>
        <w:gridCol w:w="1660"/>
        <w:gridCol w:w="1661"/>
        <w:gridCol w:w="1657"/>
      </w:tblGrid>
      <w:tr>
        <w:tblPrEx>
          <w:tblCellMar>
            <w:top w:w="0" w:type="dxa"/>
            <w:left w:w="108" w:type="dxa"/>
            <w:bottom w:w="0" w:type="dxa"/>
            <w:right w:w="108" w:type="dxa"/>
          </w:tblCellMar>
        </w:tblPrEx>
        <w:trPr>
          <w:trHeight w:val="1161" w:hRule="atLeast"/>
        </w:trPr>
        <w:tc>
          <w:tcPr>
            <w:tcW w:w="833"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 w:val="21"/>
                <w:szCs w:val="21"/>
              </w:rPr>
            </w:pPr>
            <w:r>
              <w:rPr>
                <w:rFonts w:hint="eastAsia" w:ascii="新宋体" w:hAnsi="新宋体" w:eastAsia="新宋体" w:cs="新宋体"/>
                <w:b/>
                <w:bCs/>
                <w:color w:val="auto"/>
                <w:kern w:val="0"/>
                <w:sz w:val="21"/>
                <w:szCs w:val="21"/>
              </w:rPr>
              <w:t>保障责任</w:t>
            </w:r>
          </w:p>
        </w:tc>
        <w:tc>
          <w:tcPr>
            <w:tcW w:w="837"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特定住院自费医疗费用保险金</w:t>
            </w:r>
          </w:p>
        </w:tc>
        <w:tc>
          <w:tcPr>
            <w:tcW w:w="829"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国内特定高额药品费用保险金</w:t>
            </w:r>
          </w:p>
        </w:tc>
        <w:tc>
          <w:tcPr>
            <w:tcW w:w="833" w:type="pct"/>
            <w:tcBorders>
              <w:top w:val="single" w:color="auto" w:sz="8" w:space="0"/>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质子、重离子医疗保险金</w:t>
            </w:r>
          </w:p>
        </w:tc>
        <w:tc>
          <w:tcPr>
            <w:tcW w:w="833" w:type="pct"/>
            <w:tcBorders>
              <w:top w:val="single" w:color="auto" w:sz="8" w:space="0"/>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海外特殊药品费用保险金</w:t>
            </w:r>
          </w:p>
        </w:tc>
        <w:tc>
          <w:tcPr>
            <w:tcW w:w="831" w:type="pct"/>
            <w:tcBorders>
              <w:top w:val="single" w:color="auto" w:sz="8" w:space="0"/>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highlight w:val="yellow"/>
              </w:rPr>
            </w:pPr>
            <w:r>
              <w:rPr>
                <w:rFonts w:hint="eastAsia" w:ascii="新宋体" w:hAnsi="新宋体" w:eastAsia="新宋体" w:cs="新宋体"/>
                <w:color w:val="auto"/>
                <w:kern w:val="0"/>
                <w:sz w:val="21"/>
                <w:szCs w:val="21"/>
              </w:rPr>
              <w:t>CAR-T治疗药品费用保险金</w:t>
            </w:r>
          </w:p>
        </w:tc>
      </w:tr>
      <w:tr>
        <w:tblPrEx>
          <w:tblCellMar>
            <w:top w:w="0" w:type="dxa"/>
            <w:left w:w="108" w:type="dxa"/>
            <w:bottom w:w="0" w:type="dxa"/>
            <w:right w:w="108" w:type="dxa"/>
          </w:tblCellMar>
        </w:tblPrEx>
        <w:trPr>
          <w:trHeight w:val="966" w:hRule="atLeast"/>
        </w:trPr>
        <w:tc>
          <w:tcPr>
            <w:tcW w:w="833"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 w:val="21"/>
                <w:szCs w:val="21"/>
              </w:rPr>
            </w:pPr>
            <w:r>
              <w:rPr>
                <w:rFonts w:hint="eastAsia" w:ascii="新宋体" w:hAnsi="新宋体" w:eastAsia="新宋体" w:cs="新宋体"/>
                <w:b/>
                <w:bCs/>
                <w:color w:val="auto"/>
                <w:kern w:val="0"/>
                <w:sz w:val="21"/>
                <w:szCs w:val="21"/>
              </w:rPr>
              <w:t>免赔额</w:t>
            </w:r>
          </w:p>
        </w:tc>
        <w:tc>
          <w:tcPr>
            <w:tcW w:w="837"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基础免赔额1：1.2万元/年</w:t>
            </w:r>
          </w:p>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连续两年投保且无理赔享优待免赔额2：1.1万元/年</w:t>
            </w:r>
          </w:p>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连续三年投保且无理赔享优待免赔额3：1万元/年（详见年度免赔额定义的约定）</w:t>
            </w:r>
          </w:p>
        </w:tc>
        <w:tc>
          <w:tcPr>
            <w:tcW w:w="829"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0</w:t>
            </w:r>
          </w:p>
        </w:tc>
        <w:tc>
          <w:tcPr>
            <w:tcW w:w="833" w:type="pct"/>
            <w:tcBorders>
              <w:top w:val="nil"/>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0</w:t>
            </w:r>
          </w:p>
        </w:tc>
        <w:tc>
          <w:tcPr>
            <w:tcW w:w="833"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0</w:t>
            </w:r>
          </w:p>
        </w:tc>
        <w:tc>
          <w:tcPr>
            <w:tcW w:w="831" w:type="pct"/>
            <w:tcBorders>
              <w:top w:val="nil"/>
              <w:left w:val="nil"/>
              <w:bottom w:val="nil"/>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0</w:t>
            </w:r>
          </w:p>
        </w:tc>
      </w:tr>
      <w:tr>
        <w:tblPrEx>
          <w:tblCellMar>
            <w:top w:w="0" w:type="dxa"/>
            <w:left w:w="108" w:type="dxa"/>
            <w:bottom w:w="0" w:type="dxa"/>
            <w:right w:w="108" w:type="dxa"/>
          </w:tblCellMar>
        </w:tblPrEx>
        <w:trPr>
          <w:trHeight w:val="690" w:hRule="atLeast"/>
        </w:trPr>
        <w:tc>
          <w:tcPr>
            <w:tcW w:w="833" w:type="pct"/>
            <w:vMerge w:val="restart"/>
            <w:tcBorders>
              <w:top w:val="nil"/>
              <w:left w:val="single" w:color="auto" w:sz="8" w:space="0"/>
              <w:bottom w:val="single" w:color="000000" w:sz="8" w:space="0"/>
              <w:right w:val="nil"/>
            </w:tcBorders>
            <w:shd w:val="clear" w:color="auto" w:fill="auto"/>
            <w:vAlign w:val="center"/>
          </w:tcPr>
          <w:p>
            <w:pPr>
              <w:widowControl/>
              <w:jc w:val="center"/>
              <w:rPr>
                <w:rFonts w:hint="eastAsia" w:ascii="新宋体" w:hAnsi="新宋体" w:eastAsia="新宋体" w:cs="新宋体"/>
                <w:b/>
                <w:bCs/>
                <w:color w:val="auto"/>
                <w:kern w:val="0"/>
                <w:sz w:val="21"/>
                <w:szCs w:val="21"/>
              </w:rPr>
            </w:pPr>
            <w:r>
              <w:rPr>
                <w:rFonts w:hint="eastAsia" w:ascii="新宋体" w:hAnsi="新宋体" w:eastAsia="新宋体" w:cs="新宋体"/>
                <w:b/>
                <w:bCs/>
                <w:color w:val="auto"/>
                <w:kern w:val="0"/>
                <w:sz w:val="21"/>
                <w:szCs w:val="21"/>
              </w:rPr>
              <w:t>赔付比例</w:t>
            </w:r>
          </w:p>
        </w:tc>
        <w:tc>
          <w:tcPr>
            <w:tcW w:w="837" w:type="pct"/>
            <w:tcBorders>
              <w:top w:val="single" w:color="auto" w:sz="8" w:space="0"/>
              <w:left w:val="single" w:color="auto" w:sz="8" w:space="0"/>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非既往症人群70%</w:t>
            </w:r>
          </w:p>
        </w:tc>
        <w:tc>
          <w:tcPr>
            <w:tcW w:w="829"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非既往症人群70%</w:t>
            </w:r>
          </w:p>
        </w:tc>
        <w:tc>
          <w:tcPr>
            <w:tcW w:w="833" w:type="pct"/>
            <w:tcBorders>
              <w:top w:val="single" w:color="auto" w:sz="8" w:space="0"/>
              <w:left w:val="nil"/>
              <w:bottom w:val="nil"/>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非既往症人群70%</w:t>
            </w:r>
          </w:p>
        </w:tc>
        <w:tc>
          <w:tcPr>
            <w:tcW w:w="833"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非既往症人群70%</w:t>
            </w:r>
          </w:p>
        </w:tc>
        <w:tc>
          <w:tcPr>
            <w:tcW w:w="831" w:type="pct"/>
            <w:tcBorders>
              <w:top w:val="single" w:color="auto" w:sz="8" w:space="0"/>
              <w:left w:val="nil"/>
              <w:bottom w:val="nil"/>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非既往症人群100%</w:t>
            </w:r>
          </w:p>
        </w:tc>
      </w:tr>
      <w:tr>
        <w:tblPrEx>
          <w:tblCellMar>
            <w:top w:w="0" w:type="dxa"/>
            <w:left w:w="108" w:type="dxa"/>
            <w:bottom w:w="0" w:type="dxa"/>
            <w:right w:w="108" w:type="dxa"/>
          </w:tblCellMar>
        </w:tblPrEx>
        <w:trPr>
          <w:trHeight w:val="705" w:hRule="atLeast"/>
        </w:trPr>
        <w:tc>
          <w:tcPr>
            <w:tcW w:w="833" w:type="pct"/>
            <w:vMerge w:val="continue"/>
            <w:tcBorders>
              <w:top w:val="nil"/>
              <w:left w:val="single" w:color="auto" w:sz="8" w:space="0"/>
              <w:bottom w:val="single" w:color="000000" w:sz="8" w:space="0"/>
              <w:right w:val="nil"/>
            </w:tcBorders>
            <w:vAlign w:val="center"/>
          </w:tcPr>
          <w:p>
            <w:pPr>
              <w:widowControl/>
              <w:jc w:val="left"/>
              <w:rPr>
                <w:rFonts w:hint="eastAsia" w:ascii="新宋体" w:hAnsi="新宋体" w:eastAsia="新宋体" w:cs="新宋体"/>
                <w:b/>
                <w:bCs/>
                <w:color w:val="auto"/>
                <w:kern w:val="0"/>
                <w:sz w:val="21"/>
                <w:szCs w:val="21"/>
              </w:rPr>
            </w:pPr>
          </w:p>
        </w:tc>
        <w:tc>
          <w:tcPr>
            <w:tcW w:w="837"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既往症人群50%</w:t>
            </w:r>
          </w:p>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*未经当地医保结算，非既往症人群20%，既往症人群10%</w:t>
            </w:r>
          </w:p>
        </w:tc>
        <w:tc>
          <w:tcPr>
            <w:tcW w:w="829"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既往症人群30%</w:t>
            </w:r>
          </w:p>
        </w:tc>
        <w:tc>
          <w:tcPr>
            <w:tcW w:w="833"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既往症人群30%</w:t>
            </w:r>
          </w:p>
        </w:tc>
        <w:tc>
          <w:tcPr>
            <w:tcW w:w="83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既往症人群30%</w:t>
            </w:r>
          </w:p>
        </w:tc>
        <w:tc>
          <w:tcPr>
            <w:tcW w:w="831"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既往症人群100%</w:t>
            </w:r>
          </w:p>
        </w:tc>
      </w:tr>
      <w:tr>
        <w:tblPrEx>
          <w:tblCellMar>
            <w:top w:w="0" w:type="dxa"/>
            <w:left w:w="108" w:type="dxa"/>
            <w:bottom w:w="0" w:type="dxa"/>
            <w:right w:w="108" w:type="dxa"/>
          </w:tblCellMar>
        </w:tblPrEx>
        <w:trPr>
          <w:trHeight w:val="2815" w:hRule="atLeast"/>
        </w:trPr>
        <w:tc>
          <w:tcPr>
            <w:tcW w:w="833" w:type="pct"/>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新宋体" w:hAnsi="新宋体" w:eastAsia="新宋体" w:cs="新宋体"/>
                <w:b/>
                <w:bCs/>
                <w:color w:val="auto"/>
                <w:kern w:val="0"/>
                <w:sz w:val="21"/>
                <w:szCs w:val="21"/>
              </w:rPr>
            </w:pPr>
            <w:r>
              <w:rPr>
                <w:rFonts w:hint="eastAsia" w:ascii="新宋体" w:hAnsi="新宋体" w:eastAsia="新宋体" w:cs="新宋体"/>
                <w:b/>
                <w:bCs/>
                <w:color w:val="auto"/>
                <w:kern w:val="0"/>
                <w:sz w:val="21"/>
                <w:szCs w:val="21"/>
              </w:rPr>
              <w:t>保险金额</w:t>
            </w:r>
          </w:p>
        </w:tc>
        <w:tc>
          <w:tcPr>
            <w:tcW w:w="837"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100万（其中单品药品费年度限额30万，单次住院手术材料费年度限额20万元，PET-CT每年仅限一次）</w:t>
            </w:r>
          </w:p>
        </w:tc>
        <w:tc>
          <w:tcPr>
            <w:tcW w:w="829"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100万</w:t>
            </w:r>
          </w:p>
        </w:tc>
        <w:tc>
          <w:tcPr>
            <w:tcW w:w="833"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30万</w:t>
            </w:r>
          </w:p>
        </w:tc>
        <w:tc>
          <w:tcPr>
            <w:tcW w:w="83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30万</w:t>
            </w:r>
          </w:p>
        </w:tc>
        <w:tc>
          <w:tcPr>
            <w:tcW w:w="831"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50万</w:t>
            </w:r>
          </w:p>
        </w:tc>
      </w:tr>
      <w:tr>
        <w:tblPrEx>
          <w:tblCellMar>
            <w:top w:w="0" w:type="dxa"/>
            <w:left w:w="108" w:type="dxa"/>
            <w:bottom w:w="0" w:type="dxa"/>
            <w:right w:w="108" w:type="dxa"/>
          </w:tblCellMar>
        </w:tblPrEx>
        <w:trPr>
          <w:trHeight w:val="4952" w:hRule="atLeast"/>
        </w:trPr>
        <w:tc>
          <w:tcPr>
            <w:tcW w:w="833" w:type="pct"/>
            <w:tcBorders>
              <w:top w:val="nil"/>
              <w:left w:val="single" w:color="auto" w:sz="8" w:space="0"/>
              <w:bottom w:val="single" w:color="auto" w:sz="8" w:space="0"/>
              <w:right w:val="single" w:color="auto" w:sz="8" w:space="0"/>
            </w:tcBorders>
            <w:shd w:val="clear" w:color="auto" w:fill="auto"/>
            <w:vAlign w:val="center"/>
          </w:tcPr>
          <w:p>
            <w:pPr>
              <w:widowControl/>
              <w:rPr>
                <w:rFonts w:hint="eastAsia" w:ascii="新宋体" w:hAnsi="新宋体" w:eastAsia="新宋体" w:cs="新宋体"/>
                <w:b/>
                <w:bCs/>
                <w:color w:val="auto"/>
                <w:kern w:val="0"/>
                <w:sz w:val="21"/>
                <w:szCs w:val="21"/>
              </w:rPr>
            </w:pPr>
            <w:r>
              <w:rPr>
                <w:rFonts w:hint="eastAsia" w:ascii="新宋体" w:hAnsi="新宋体" w:eastAsia="新宋体" w:cs="新宋体"/>
                <w:b/>
                <w:bCs/>
                <w:color w:val="auto"/>
                <w:kern w:val="0"/>
                <w:sz w:val="21"/>
                <w:szCs w:val="21"/>
              </w:rPr>
              <w:t>医院范围</w:t>
            </w:r>
          </w:p>
        </w:tc>
        <w:tc>
          <w:tcPr>
            <w:tcW w:w="837"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上海市二级及以上医保定点医院普通住院部</w:t>
            </w:r>
          </w:p>
        </w:tc>
        <w:tc>
          <w:tcPr>
            <w:tcW w:w="829"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上海市二级及以上医院门诊或上海市具备销售药品资质的药店（建议通过提供药品直付和送药上门服务的特约药店购买特定高额药品）</w:t>
            </w:r>
          </w:p>
        </w:tc>
        <w:tc>
          <w:tcPr>
            <w:tcW w:w="833" w:type="pct"/>
            <w:tcBorders>
              <w:top w:val="nil"/>
              <w:left w:val="nil"/>
              <w:bottom w:val="single" w:color="auto" w:sz="8" w:space="0"/>
              <w:right w:val="single" w:color="auto" w:sz="8" w:space="0"/>
            </w:tcBorders>
            <w:shd w:val="clear" w:color="auto" w:fill="auto"/>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上海市具备质子、重离子治疗资质的医疗机构</w:t>
            </w:r>
          </w:p>
        </w:tc>
        <w:tc>
          <w:tcPr>
            <w:tcW w:w="833"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0"/>
                <w:sz w:val="21"/>
                <w:szCs w:val="21"/>
              </w:rPr>
            </w:pPr>
            <w:r>
              <w:rPr>
                <w:rFonts w:hint="eastAsia" w:ascii="新宋体" w:hAnsi="新宋体" w:eastAsia="新宋体" w:cs="新宋体"/>
                <w:color w:val="auto"/>
                <w:kern w:val="0"/>
                <w:sz w:val="21"/>
                <w:szCs w:val="21"/>
              </w:rPr>
              <w:t>在海南博鳌乐城国际医疗旅游先行区内按规定可使用相应特许药械的医疗机构（</w:t>
            </w:r>
            <w:r>
              <w:rPr>
                <w:rFonts w:hint="eastAsia" w:ascii="新宋体" w:hAnsi="新宋体" w:eastAsia="新宋体" w:cs="新宋体"/>
                <w:color w:val="auto"/>
                <w:sz w:val="21"/>
                <w:szCs w:val="21"/>
              </w:rPr>
              <w:t>海南博鳌超级医院、博鳌国际医院、博鳌恒大国际医院、上海交通大学医学院附属瑞金医院海南医院（海南博鳌研究型医院）</w:t>
            </w:r>
            <w:r>
              <w:rPr>
                <w:rFonts w:hint="eastAsia" w:ascii="新宋体" w:hAnsi="新宋体" w:eastAsia="新宋体" w:cs="新宋体"/>
                <w:color w:val="auto"/>
                <w:kern w:val="0"/>
                <w:sz w:val="21"/>
                <w:szCs w:val="21"/>
              </w:rPr>
              <w:t>）</w:t>
            </w:r>
          </w:p>
        </w:tc>
        <w:tc>
          <w:tcPr>
            <w:tcW w:w="831" w:type="pct"/>
            <w:tcBorders>
              <w:top w:val="nil"/>
              <w:left w:val="nil"/>
              <w:bottom w:val="single" w:color="auto" w:sz="8" w:space="0"/>
              <w:right w:val="single" w:color="auto" w:sz="8" w:space="0"/>
            </w:tcBorders>
            <w:vAlign w:val="center"/>
          </w:tcPr>
          <w:p>
            <w:pPr>
              <w:widowControl/>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sz w:val="21"/>
                <w:szCs w:val="21"/>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color w:val="auto"/>
                <w:sz w:val="21"/>
                <w:szCs w:val="21"/>
                <w:lang w:val="en-US" w:eastAsia="zh-CN"/>
              </w:rPr>
              <w:t>/驯鹿生物伊基奥仑赛注射液</w:t>
            </w:r>
            <w:r>
              <w:rPr>
                <w:rFonts w:hint="eastAsia" w:ascii="新宋体" w:hAnsi="新宋体" w:eastAsia="新宋体" w:cs="新宋体"/>
                <w:color w:val="auto"/>
                <w:sz w:val="21"/>
                <w:szCs w:val="21"/>
              </w:rPr>
              <w:t>使用培训和认证的上海市医疗机构</w:t>
            </w:r>
            <w:r>
              <w:rPr>
                <w:rFonts w:hint="eastAsia" w:ascii="新宋体" w:hAnsi="新宋体" w:eastAsia="新宋体" w:cs="新宋体"/>
                <w:color w:val="auto"/>
                <w:sz w:val="21"/>
                <w:szCs w:val="21"/>
                <w:lang w:eastAsia="zh-CN"/>
              </w:rPr>
              <w:t>，</w:t>
            </w:r>
            <w:r>
              <w:rPr>
                <w:rFonts w:hint="eastAsia" w:ascii="新宋体" w:hAnsi="新宋体" w:eastAsia="新宋体" w:cs="新宋体"/>
                <w:color w:val="auto"/>
                <w:sz w:val="21"/>
                <w:szCs w:val="21"/>
              </w:rPr>
              <w:t>详见CAR-T治疗指定医院目录</w:t>
            </w:r>
          </w:p>
        </w:tc>
      </w:tr>
    </w:tbl>
    <w:p>
      <w:pPr>
        <w:tabs>
          <w:tab w:val="left" w:pos="5525"/>
        </w:tabs>
        <w:adjustRightInd w:val="0"/>
        <w:snapToGrid w:val="0"/>
        <w:spacing w:line="360" w:lineRule="auto"/>
        <w:ind w:left="3" w:firstLine="560" w:firstLineChars="200"/>
        <w:rPr>
          <w:rFonts w:hint="eastAsia" w:ascii="新宋体" w:hAnsi="新宋体" w:eastAsia="新宋体" w:cs="新宋体"/>
          <w:b/>
          <w:color w:val="auto"/>
          <w:sz w:val="28"/>
          <w:szCs w:val="28"/>
        </w:rPr>
      </w:pPr>
      <w:r>
        <w:rPr>
          <w:rFonts w:hint="eastAsia" w:ascii="新宋体" w:hAnsi="新宋体" w:eastAsia="新宋体" w:cs="新宋体"/>
          <w:color w:val="auto"/>
          <w:sz w:val="28"/>
          <w:szCs w:val="28"/>
        </w:rPr>
        <w:t>9、</w:t>
      </w:r>
      <w:r>
        <w:rPr>
          <w:rFonts w:hint="eastAsia" w:ascii="新宋体" w:hAnsi="新宋体" w:eastAsia="新宋体" w:cs="新宋体"/>
          <w:b/>
          <w:color w:val="auto"/>
          <w:sz w:val="28"/>
          <w:szCs w:val="28"/>
        </w:rPr>
        <w:t>年度免赔额定义：</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基础免赔额1：</w:t>
      </w:r>
      <w:r>
        <w:rPr>
          <w:rFonts w:hint="eastAsia" w:ascii="新宋体" w:hAnsi="新宋体" w:eastAsia="新宋体" w:cs="新宋体"/>
          <w:bCs/>
          <w:color w:val="auto"/>
          <w:sz w:val="28"/>
          <w:szCs w:val="28"/>
        </w:rPr>
        <w:t>参保202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w:t>
      </w:r>
      <w:r>
        <w:rPr>
          <w:rFonts w:hint="eastAsia" w:ascii="新宋体" w:hAnsi="新宋体" w:eastAsia="新宋体" w:cs="新宋体"/>
          <w:bCs/>
          <w:color w:val="auto"/>
          <w:sz w:val="28"/>
          <w:szCs w:val="28"/>
        </w:rPr>
        <w:t>沪惠保的人群年度基础免赔额为12000元/年。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连续两年投保且无理赔享优待免赔额2：</w:t>
      </w:r>
      <w:r>
        <w:rPr>
          <w:rFonts w:hint="eastAsia" w:ascii="新宋体" w:hAnsi="新宋体" w:eastAsia="新宋体" w:cs="新宋体"/>
          <w:bCs/>
          <w:color w:val="auto"/>
          <w:sz w:val="28"/>
          <w:szCs w:val="28"/>
        </w:rPr>
        <w:t>连续参保</w:t>
      </w:r>
      <w:r>
        <w:rPr>
          <w:rFonts w:hint="eastAsia" w:ascii="新宋体" w:hAnsi="新宋体" w:eastAsia="新宋体" w:cs="新宋体"/>
          <w:bCs/>
          <w:color w:val="auto"/>
          <w:sz w:val="28"/>
          <w:szCs w:val="28"/>
        </w:rPr>
        <w:t>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版沪</w:t>
      </w:r>
      <w:r>
        <w:rPr>
          <w:rFonts w:hint="eastAsia" w:ascii="新宋体" w:hAnsi="新宋体" w:eastAsia="新宋体" w:cs="新宋体"/>
          <w:bCs/>
          <w:color w:val="auto"/>
          <w:sz w:val="28"/>
          <w:szCs w:val="28"/>
        </w:rPr>
        <w:t>惠保且保障期间</w:t>
      </w:r>
      <w:r>
        <w:rPr>
          <w:rFonts w:hint="eastAsia" w:ascii="新宋体" w:hAnsi="新宋体" w:eastAsia="新宋体" w:cs="新宋体"/>
          <w:bCs/>
          <w:color w:val="auto"/>
          <w:sz w:val="28"/>
          <w:szCs w:val="28"/>
        </w:rPr>
        <w:t>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w:t>
      </w:r>
      <w:r>
        <w:rPr>
          <w:rFonts w:hint="eastAsia" w:ascii="新宋体" w:hAnsi="新宋体" w:eastAsia="新宋体" w:cs="新宋体"/>
          <w:bCs/>
          <w:color w:val="auto"/>
          <w:sz w:val="28"/>
          <w:szCs w:val="28"/>
        </w:rPr>
        <w:t>日内未发生赔付（获赔金额=0元）的参保人群年度免赔额为11000元/年。</w:t>
      </w:r>
    </w:p>
    <w:p>
      <w:pPr>
        <w:tabs>
          <w:tab w:val="left" w:pos="5525"/>
        </w:tabs>
        <w:adjustRightInd w:val="0"/>
        <w:snapToGrid w:val="0"/>
        <w:spacing w:line="360" w:lineRule="auto"/>
        <w:ind w:left="3" w:firstLine="562" w:firstLineChars="200"/>
        <w:rPr>
          <w:rFonts w:hint="eastAsia" w:ascii="新宋体" w:hAnsi="新宋体" w:eastAsia="新宋体" w:cs="新宋体"/>
          <w:bCs/>
          <w:color w:val="auto"/>
          <w:sz w:val="28"/>
          <w:szCs w:val="28"/>
        </w:rPr>
      </w:pPr>
      <w:r>
        <w:rPr>
          <w:rFonts w:hint="eastAsia" w:ascii="新宋体" w:hAnsi="新宋体" w:eastAsia="新宋体" w:cs="新宋体"/>
          <w:b/>
          <w:color w:val="auto"/>
          <w:sz w:val="28"/>
          <w:szCs w:val="28"/>
        </w:rPr>
        <w:t>连续三年投保且无理赔享优待免赔额3：</w:t>
      </w:r>
      <w:r>
        <w:rPr>
          <w:rFonts w:hint="eastAsia" w:ascii="新宋体" w:hAnsi="新宋体" w:eastAsia="新宋体" w:cs="新宋体"/>
          <w:bCs/>
          <w:color w:val="auto"/>
          <w:sz w:val="28"/>
          <w:szCs w:val="28"/>
        </w:rPr>
        <w:t>连续参</w:t>
      </w:r>
      <w:r>
        <w:rPr>
          <w:rFonts w:hint="eastAsia" w:ascii="新宋体" w:hAnsi="新宋体" w:eastAsia="新宋体" w:cs="新宋体"/>
          <w:bCs/>
          <w:color w:val="auto"/>
          <w:sz w:val="28"/>
          <w:szCs w:val="28"/>
        </w:rPr>
        <w:t>保202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4</w:t>
      </w:r>
      <w:r>
        <w:rPr>
          <w:rFonts w:hint="eastAsia" w:ascii="新宋体" w:hAnsi="新宋体" w:eastAsia="新宋体" w:cs="新宋体"/>
          <w:bCs/>
          <w:color w:val="auto"/>
          <w:sz w:val="28"/>
          <w:szCs w:val="28"/>
        </w:rPr>
        <w:t>版、202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版</w:t>
      </w:r>
      <w:r>
        <w:rPr>
          <w:rFonts w:hint="eastAsia" w:ascii="新宋体" w:hAnsi="新宋体" w:eastAsia="新宋体" w:cs="新宋体"/>
          <w:bCs/>
          <w:color w:val="auto"/>
          <w:sz w:val="28"/>
          <w:szCs w:val="28"/>
        </w:rPr>
        <w:t>沪惠保且保障期</w:t>
      </w:r>
      <w:r>
        <w:rPr>
          <w:rFonts w:hint="eastAsia" w:ascii="新宋体" w:hAnsi="新宋体" w:eastAsia="新宋体" w:cs="新宋体"/>
          <w:bCs/>
          <w:color w:val="auto"/>
          <w:sz w:val="28"/>
          <w:szCs w:val="28"/>
        </w:rPr>
        <w:t>间202</w:t>
      </w:r>
      <w:r>
        <w:rPr>
          <w:rFonts w:hint="eastAsia" w:ascii="新宋体" w:hAnsi="新宋体" w:eastAsia="新宋体" w:cs="新宋体"/>
          <w:bCs/>
          <w:color w:val="auto"/>
          <w:sz w:val="28"/>
          <w:szCs w:val="28"/>
          <w:lang w:val="en-US" w:eastAsia="zh-CN"/>
        </w:rPr>
        <w:t>3</w:t>
      </w:r>
      <w:r>
        <w:rPr>
          <w:rFonts w:hint="eastAsia" w:ascii="新宋体" w:hAnsi="新宋体" w:eastAsia="新宋体" w:cs="新宋体"/>
          <w:bCs/>
          <w:color w:val="auto"/>
          <w:sz w:val="28"/>
          <w:szCs w:val="28"/>
        </w:rPr>
        <w:t>年7月1日-202</w:t>
      </w:r>
      <w:r>
        <w:rPr>
          <w:rFonts w:hint="eastAsia" w:ascii="新宋体" w:hAnsi="新宋体" w:eastAsia="新宋体" w:cs="新宋体"/>
          <w:bCs/>
          <w:color w:val="auto"/>
          <w:sz w:val="28"/>
          <w:szCs w:val="28"/>
          <w:lang w:val="en-US" w:eastAsia="zh-CN"/>
        </w:rPr>
        <w:t>5</w:t>
      </w:r>
      <w:r>
        <w:rPr>
          <w:rFonts w:hint="eastAsia" w:ascii="新宋体" w:hAnsi="新宋体" w:eastAsia="新宋体" w:cs="新宋体"/>
          <w:bCs/>
          <w:color w:val="auto"/>
          <w:sz w:val="28"/>
          <w:szCs w:val="28"/>
        </w:rPr>
        <w:t>年6月30</w:t>
      </w:r>
      <w:r>
        <w:rPr>
          <w:rFonts w:hint="eastAsia" w:ascii="新宋体" w:hAnsi="新宋体" w:eastAsia="新宋体" w:cs="新宋体"/>
          <w:bCs/>
          <w:color w:val="auto"/>
          <w:sz w:val="28"/>
          <w:szCs w:val="28"/>
        </w:rPr>
        <w:t>日内未发生赔付（获赔金额=0元）的参保人群年度免赔额为10000元/年。</w:t>
      </w:r>
    </w:p>
    <w:p>
      <w:pPr>
        <w:adjustRightInd w:val="0"/>
        <w:snapToGrid w:val="0"/>
        <w:spacing w:line="360" w:lineRule="auto"/>
        <w:ind w:left="3" w:firstLine="562" w:firstLineChars="200"/>
        <w:rPr>
          <w:rFonts w:hint="eastAsia" w:ascii="新宋体" w:hAnsi="新宋体" w:eastAsia="新宋体" w:cs="新宋体"/>
          <w:color w:val="auto"/>
          <w:sz w:val="28"/>
          <w:szCs w:val="28"/>
          <w:shd w:val="pct10" w:color="auto" w:fill="FFFFFF"/>
        </w:rPr>
      </w:pPr>
      <w:r>
        <w:rPr>
          <w:rFonts w:hint="eastAsia" w:ascii="新宋体" w:hAnsi="新宋体" w:eastAsia="新宋体" w:cs="新宋体"/>
          <w:b/>
          <w:color w:val="auto"/>
          <w:sz w:val="28"/>
          <w:szCs w:val="28"/>
        </w:rPr>
        <w:t>10、理赔</w:t>
      </w:r>
      <w:r>
        <w:rPr>
          <w:rFonts w:hint="eastAsia" w:ascii="新宋体" w:hAnsi="新宋体" w:eastAsia="新宋体" w:cs="新宋体"/>
          <w:color w:val="auto"/>
          <w:sz w:val="28"/>
          <w:szCs w:val="28"/>
        </w:rPr>
        <w:t>：参保人员在上海市二级及以上医保定点医院普通住院部住院治疗，须经当地基本医疗保险结算后方可申请特定住院自费医疗费用保险金理赔，如未经当地基本医疗保险结算，非既往症人群赔付比例20%，既往症人群赔付比例10%。</w:t>
      </w:r>
      <w:r>
        <w:rPr>
          <w:rFonts w:hint="eastAsia" w:ascii="新宋体" w:hAnsi="新宋体" w:eastAsia="新宋体" w:cs="新宋体"/>
          <w:color w:val="auto"/>
          <w:sz w:val="28"/>
          <w:szCs w:val="28"/>
          <w:shd w:val="pct10" w:color="auto" w:fill="FFFFFF"/>
        </w:rPr>
        <w:t>国内特定高额药品费用保险金/质子、重离子医疗保险金/海外特殊药品费用保险金/</w:t>
      </w:r>
      <w:r>
        <w:rPr>
          <w:rFonts w:hint="eastAsia" w:ascii="新宋体" w:hAnsi="新宋体" w:eastAsia="新宋体" w:cs="新宋体"/>
          <w:bCs/>
          <w:color w:val="auto"/>
          <w:sz w:val="28"/>
          <w:szCs w:val="28"/>
          <w:shd w:val="pct10" w:color="auto" w:fill="FFFFFF"/>
        </w:rPr>
        <w:t>CAR-T治疗药品费用保险金等</w:t>
      </w:r>
      <w:r>
        <w:rPr>
          <w:rFonts w:hint="eastAsia" w:ascii="新宋体" w:hAnsi="新宋体" w:eastAsia="新宋体" w:cs="新宋体"/>
          <w:color w:val="auto"/>
          <w:sz w:val="28"/>
          <w:szCs w:val="28"/>
          <w:shd w:val="pct10" w:color="auto" w:fill="FFFFFF"/>
        </w:rPr>
        <w:t>四项责任无需经当地基本医疗保险结算，但须在本产品说明书中上述四项责任指定的医疗机构就诊方可申请理赔。</w:t>
      </w:r>
    </w:p>
    <w:p>
      <w:pPr>
        <w:adjustRightInd w:val="0"/>
        <w:snapToGrid w:val="0"/>
        <w:spacing w:line="360" w:lineRule="auto"/>
        <w:ind w:firstLine="562" w:firstLineChars="200"/>
        <w:rPr>
          <w:rFonts w:hint="eastAsia" w:ascii="新宋体" w:hAnsi="新宋体" w:eastAsia="新宋体" w:cs="新宋体"/>
          <w:color w:val="auto"/>
          <w:sz w:val="28"/>
          <w:szCs w:val="28"/>
          <w:shd w:val="pct10" w:color="auto" w:fill="FFFFFF"/>
        </w:rPr>
      </w:pPr>
      <w:r>
        <w:rPr>
          <w:rFonts w:hint="eastAsia" w:ascii="新宋体" w:hAnsi="新宋体" w:eastAsia="新宋体" w:cs="新宋体"/>
          <w:b/>
          <w:color w:val="auto"/>
          <w:sz w:val="28"/>
          <w:szCs w:val="28"/>
        </w:rPr>
        <w:t>11、撤单退费：</w:t>
      </w:r>
      <w:r>
        <w:rPr>
          <w:rFonts w:hint="eastAsia" w:ascii="新宋体" w:hAnsi="新宋体" w:eastAsia="新宋体" w:cs="新宋体"/>
          <w:color w:val="auto"/>
          <w:sz w:val="28"/>
          <w:szCs w:val="28"/>
          <w:shd w:val="pct10" w:color="auto" w:fill="FFFFFF"/>
        </w:rPr>
        <w:t>参保人员在投保期内可以撤单退费，但如已经领取并使用了健康权益（药房购药折扣等），不接受撤单退费。</w:t>
      </w:r>
    </w:p>
    <w:p>
      <w:pPr>
        <w:adjustRightInd w:val="0"/>
        <w:snapToGrid w:val="0"/>
        <w:spacing w:line="360" w:lineRule="auto"/>
        <w:ind w:left="3" w:firstLine="562" w:firstLineChars="200"/>
        <w:rPr>
          <w:rFonts w:hint="eastAsia" w:ascii="新宋体" w:hAnsi="新宋体" w:eastAsia="新宋体" w:cs="新宋体"/>
          <w:color w:val="auto"/>
          <w:sz w:val="28"/>
          <w:szCs w:val="28"/>
        </w:rPr>
      </w:pPr>
      <w:r>
        <w:rPr>
          <w:rFonts w:hint="eastAsia" w:ascii="新宋体" w:hAnsi="新宋体" w:eastAsia="新宋体" w:cs="新宋体"/>
          <w:b/>
          <w:color w:val="auto"/>
          <w:sz w:val="28"/>
          <w:szCs w:val="28"/>
        </w:rPr>
        <w:t>12、退保</w:t>
      </w:r>
      <w:r>
        <w:rPr>
          <w:rFonts w:hint="eastAsia" w:ascii="新宋体" w:hAnsi="新宋体" w:eastAsia="新宋体" w:cs="新宋体"/>
          <w:color w:val="auto"/>
          <w:sz w:val="28"/>
          <w:szCs w:val="28"/>
        </w:rPr>
        <w:t>：7月1日保单生效前可以全额撤保，7月1日（含）保单生效后不接受退保。</w:t>
      </w:r>
    </w:p>
    <w:p>
      <w:pPr>
        <w:ind w:firstLine="843" w:firstLineChars="3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二、保险责任</w:t>
      </w:r>
    </w:p>
    <w:p>
      <w:pPr>
        <w:ind w:firstLine="562" w:firstLineChars="200"/>
        <w:rPr>
          <w:rFonts w:hint="eastAsia" w:ascii="新宋体" w:hAnsi="新宋体" w:eastAsia="新宋体" w:cs="新宋体"/>
          <w:b/>
          <w:bCs/>
          <w:color w:val="auto"/>
          <w:sz w:val="28"/>
          <w:szCs w:val="28"/>
          <w:lang w:val="zh-CN"/>
        </w:rPr>
      </w:pPr>
      <w:r>
        <w:rPr>
          <w:rFonts w:hint="eastAsia" w:ascii="新宋体" w:hAnsi="新宋体" w:eastAsia="新宋体" w:cs="新宋体"/>
          <w:b/>
          <w:bCs/>
          <w:color w:val="auto"/>
          <w:sz w:val="28"/>
          <w:szCs w:val="28"/>
          <w:lang w:val="zh-CN"/>
        </w:rPr>
        <w:t>（一）特定住院自费医疗费用保险金</w:t>
      </w:r>
    </w:p>
    <w:p>
      <w:pPr>
        <w:ind w:firstLine="560" w:firstLineChars="200"/>
        <w:rPr>
          <w:rFonts w:hint="eastAsia" w:ascii="新宋体" w:hAnsi="新宋体" w:eastAsia="新宋体" w:cs="新宋体"/>
          <w:b w:val="0"/>
          <w:bCs w:val="0"/>
          <w:color w:val="auto"/>
          <w:sz w:val="28"/>
          <w:szCs w:val="28"/>
        </w:rPr>
      </w:pPr>
      <w:r>
        <w:rPr>
          <w:rFonts w:hint="eastAsia" w:ascii="新宋体" w:hAnsi="新宋体" w:eastAsia="新宋体" w:cs="新宋体"/>
          <w:color w:val="auto"/>
          <w:sz w:val="28"/>
          <w:szCs w:val="28"/>
        </w:rPr>
        <w:t>在保险期间内，被保险人因疾病或意外伤害在上海市二级及以上医保定点医院普通住院部</w:t>
      </w:r>
      <w:r>
        <w:rPr>
          <w:rFonts w:hint="eastAsia" w:ascii="新宋体" w:hAnsi="新宋体" w:eastAsia="新宋体" w:cs="新宋体"/>
          <w:color w:val="auto"/>
          <w:sz w:val="28"/>
          <w:szCs w:val="28"/>
          <w:shd w:val="pct10" w:color="auto" w:fill="FFFFFF"/>
        </w:rPr>
        <w:t>住院（释义3）</w:t>
      </w:r>
      <w:r>
        <w:rPr>
          <w:rFonts w:hint="eastAsia" w:ascii="新宋体" w:hAnsi="新宋体" w:eastAsia="新宋体" w:cs="新宋体"/>
          <w:color w:val="auto"/>
          <w:sz w:val="28"/>
          <w:szCs w:val="28"/>
        </w:rPr>
        <w:t>治疗，发生的合理且必须的经</w:t>
      </w:r>
      <w:r>
        <w:rPr>
          <w:rFonts w:hint="eastAsia" w:ascii="新宋体" w:hAnsi="新宋体" w:eastAsia="新宋体" w:cs="新宋体"/>
          <w:bCs/>
          <w:color w:val="auto"/>
          <w:sz w:val="28"/>
          <w:szCs w:val="28"/>
        </w:rPr>
        <w:t>当地基本医疗保险结算</w:t>
      </w:r>
      <w:r>
        <w:rPr>
          <w:rFonts w:hint="eastAsia" w:ascii="新宋体" w:hAnsi="新宋体" w:eastAsia="新宋体" w:cs="新宋体"/>
          <w:color w:val="auto"/>
          <w:sz w:val="28"/>
          <w:szCs w:val="28"/>
        </w:rPr>
        <w:t>并扣除年度免赔额（基础免赔额1：12000元/年；健康持续参保优待免赔额2：11000元/年（详见产品概要第9条年度免赔额定义的约定））后的</w:t>
      </w:r>
      <w:r>
        <w:rPr>
          <w:rFonts w:hint="eastAsia" w:ascii="新宋体" w:hAnsi="新宋体" w:eastAsia="新宋体" w:cs="新宋体"/>
          <w:color w:val="auto"/>
          <w:sz w:val="28"/>
          <w:szCs w:val="28"/>
          <w:shd w:val="pct10" w:color="auto" w:fill="FFFFFF"/>
        </w:rPr>
        <w:t>特定住院自费医疗费用（释义4）</w:t>
      </w:r>
      <w:r>
        <w:rPr>
          <w:rFonts w:hint="eastAsia" w:ascii="新宋体" w:hAnsi="新宋体" w:eastAsia="新宋体" w:cs="新宋体"/>
          <w:color w:val="auto"/>
          <w:sz w:val="28"/>
          <w:szCs w:val="28"/>
        </w:rPr>
        <w:t>，非既往症人群按70%、</w:t>
      </w:r>
      <w:r>
        <w:rPr>
          <w:rFonts w:hint="eastAsia" w:ascii="新宋体" w:hAnsi="新宋体" w:eastAsia="新宋体" w:cs="新宋体"/>
          <w:color w:val="auto"/>
          <w:sz w:val="28"/>
          <w:szCs w:val="28"/>
          <w:shd w:val="pct10" w:color="auto" w:fill="FFFFFF"/>
        </w:rPr>
        <w:t>既往症人群（释义5）</w:t>
      </w:r>
      <w:r>
        <w:rPr>
          <w:rFonts w:hint="eastAsia" w:ascii="新宋体" w:hAnsi="新宋体" w:eastAsia="新宋体" w:cs="新宋体"/>
          <w:color w:val="auto"/>
          <w:sz w:val="28"/>
          <w:szCs w:val="28"/>
        </w:rPr>
        <w:t>按50%给付保险金。如未经当地基本医保医疗保险结算，在扣除年度免赔额（基础免赔额1：12000元/年；健康持续参保优待免赔额2：11000元/年（详见产品概要第9条年度免赔额定义的约定））后的</w:t>
      </w:r>
      <w:r>
        <w:rPr>
          <w:rFonts w:hint="eastAsia" w:ascii="新宋体" w:hAnsi="新宋体" w:eastAsia="新宋体" w:cs="新宋体"/>
          <w:color w:val="auto"/>
          <w:sz w:val="28"/>
          <w:szCs w:val="28"/>
          <w:shd w:val="pct10" w:color="auto" w:fill="FFFFFF"/>
        </w:rPr>
        <w:t>特定住院自费医疗费用（释义4）</w:t>
      </w:r>
      <w:r>
        <w:rPr>
          <w:rFonts w:hint="eastAsia" w:ascii="新宋体" w:hAnsi="新宋体" w:eastAsia="新宋体" w:cs="新宋体"/>
          <w:color w:val="auto"/>
          <w:sz w:val="28"/>
          <w:szCs w:val="28"/>
        </w:rPr>
        <w:t>，非既往症人群按20%、</w:t>
      </w:r>
      <w:r>
        <w:rPr>
          <w:rFonts w:hint="eastAsia" w:ascii="新宋体" w:hAnsi="新宋体" w:eastAsia="新宋体" w:cs="新宋体"/>
          <w:color w:val="auto"/>
          <w:sz w:val="28"/>
          <w:szCs w:val="28"/>
          <w:shd w:val="pct10" w:color="auto" w:fill="FFFFFF"/>
        </w:rPr>
        <w:t>既往症人群（释义5）</w:t>
      </w:r>
      <w:r>
        <w:rPr>
          <w:rFonts w:hint="eastAsia" w:ascii="新宋体" w:hAnsi="新宋体" w:eastAsia="新宋体" w:cs="新宋体"/>
          <w:color w:val="auto"/>
          <w:sz w:val="28"/>
          <w:szCs w:val="28"/>
        </w:rPr>
        <w:t>按10%给付保险金。</w:t>
      </w:r>
      <w:r>
        <w:rPr>
          <w:rFonts w:hint="eastAsia" w:ascii="新宋体" w:hAnsi="新宋体" w:eastAsia="新宋体" w:cs="新宋体"/>
          <w:color w:val="auto"/>
          <w:sz w:val="28"/>
          <w:szCs w:val="28"/>
          <w:shd w:val="pct10" w:color="auto" w:fill="FFFFFF"/>
        </w:rPr>
        <w:t>单品药品费（释义6）</w:t>
      </w:r>
      <w:r>
        <w:rPr>
          <w:rFonts w:hint="eastAsia" w:ascii="新宋体" w:hAnsi="新宋体" w:eastAsia="新宋体" w:cs="新宋体"/>
          <w:color w:val="auto"/>
          <w:sz w:val="28"/>
          <w:szCs w:val="28"/>
        </w:rPr>
        <w:t>年度赔付以30万元为限，单次住院手术材料费年度赔付以20万元为限，</w:t>
      </w:r>
      <w:r>
        <w:rPr>
          <w:rFonts w:hint="eastAsia" w:ascii="新宋体" w:hAnsi="新宋体" w:eastAsia="新宋体" w:cs="新宋体"/>
          <w:b w:val="0"/>
          <w:bCs w:val="0"/>
          <w:color w:val="auto"/>
          <w:sz w:val="28"/>
          <w:szCs w:val="28"/>
        </w:rPr>
        <w:t>PET-CT检查费计入年度赔付范围仅限一次。</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总额以100万元为限，</w:t>
      </w:r>
      <w:r>
        <w:rPr>
          <w:rFonts w:hint="eastAsia" w:ascii="新宋体" w:hAnsi="新宋体" w:eastAsia="新宋体" w:cs="新宋体"/>
          <w:color w:val="auto"/>
          <w:sz w:val="28"/>
          <w:szCs w:val="28"/>
          <w:lang w:val="zh-CN"/>
        </w:rPr>
        <w:t>一次或</w:t>
      </w:r>
      <w:r>
        <w:rPr>
          <w:rFonts w:hint="eastAsia" w:ascii="新宋体" w:hAnsi="新宋体" w:eastAsia="新宋体" w:cs="新宋体"/>
          <w:color w:val="auto"/>
          <w:sz w:val="28"/>
          <w:szCs w:val="28"/>
        </w:rPr>
        <w:t>累计赔付</w:t>
      </w:r>
      <w:r>
        <w:rPr>
          <w:rFonts w:hint="eastAsia" w:ascii="新宋体" w:hAnsi="新宋体" w:eastAsia="新宋体" w:cs="新宋体"/>
          <w:color w:val="auto"/>
          <w:sz w:val="28"/>
          <w:szCs w:val="28"/>
          <w:lang w:val="zh-CN"/>
        </w:rPr>
        <w:t>特定住院自费医疗费用保险金</w:t>
      </w:r>
      <w:r>
        <w:rPr>
          <w:rFonts w:hint="eastAsia" w:ascii="新宋体" w:hAnsi="新宋体" w:eastAsia="新宋体" w:cs="新宋体"/>
          <w:color w:val="auto"/>
          <w:sz w:val="28"/>
          <w:szCs w:val="28"/>
        </w:rPr>
        <w:t>金额达到100万元时，保险公司对该被保险人的该项保险责任终止。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被保险人在保险期间内入院且当保险期间届满时仍未出院，保险公司对其保险期间届满后所发生的住院自费医疗费用，仍按本合同上述规定支付范围和支付比例给付保险金，直至本次住院结束，但最长不超过30天。</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（二）国内特定高额药品费用保险金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在保险期间内，被保险人在上海市二级及以上医院挂号，由</w:t>
      </w:r>
      <w:r>
        <w:rPr>
          <w:rFonts w:hint="eastAsia" w:ascii="新宋体" w:hAnsi="新宋体" w:eastAsia="新宋体" w:cs="新宋体"/>
          <w:color w:val="auto"/>
          <w:sz w:val="28"/>
          <w:szCs w:val="28"/>
          <w:shd w:val="pct10" w:color="auto" w:fill="FFFFFF"/>
        </w:rPr>
        <w:t>指定专科医生（释义7）</w:t>
      </w:r>
      <w:r>
        <w:rPr>
          <w:rFonts w:hint="eastAsia" w:ascii="新宋体" w:hAnsi="新宋体" w:eastAsia="新宋体" w:cs="新宋体"/>
          <w:color w:val="auto"/>
          <w:sz w:val="28"/>
          <w:szCs w:val="28"/>
        </w:rPr>
        <w:t>诊断为</w:t>
      </w:r>
      <w:r>
        <w:rPr>
          <w:rFonts w:hint="eastAsia" w:ascii="新宋体" w:hAnsi="新宋体" w:eastAsia="新宋体" w:cs="新宋体"/>
          <w:color w:val="auto"/>
          <w:sz w:val="28"/>
          <w:szCs w:val="28"/>
          <w:shd w:val="pct10" w:color="auto" w:fill="FFFFFF"/>
          <w:lang w:val="zh-CN"/>
        </w:rPr>
        <w:t>特定疾病</w:t>
      </w:r>
      <w:r>
        <w:rPr>
          <w:rFonts w:hint="eastAsia" w:ascii="新宋体" w:hAnsi="新宋体" w:eastAsia="新宋体" w:cs="新宋体"/>
          <w:color w:val="auto"/>
          <w:sz w:val="28"/>
          <w:szCs w:val="28"/>
          <w:shd w:val="pct10" w:color="auto" w:fill="FFFFFF"/>
        </w:rPr>
        <w:t>（释义8）</w:t>
      </w:r>
      <w:r>
        <w:rPr>
          <w:rFonts w:hint="eastAsia" w:ascii="新宋体" w:hAnsi="新宋体" w:eastAsia="新宋体" w:cs="新宋体"/>
          <w:color w:val="auto"/>
          <w:sz w:val="28"/>
          <w:szCs w:val="28"/>
        </w:rPr>
        <w:t>并书写门诊病历和开具处方后，在上海市二级及以上医院门诊或上海市具备销售药品资质的药店购买和使用</w:t>
      </w:r>
      <w:r>
        <w:rPr>
          <w:rFonts w:hint="eastAsia" w:ascii="新宋体" w:hAnsi="新宋体" w:eastAsia="新宋体" w:cs="新宋体"/>
          <w:color w:val="auto"/>
          <w:sz w:val="28"/>
          <w:szCs w:val="28"/>
          <w:shd w:val="pct10" w:color="auto" w:fill="FFFFFF"/>
        </w:rPr>
        <w:t>《国内特定高额药品目录》（释义9）</w:t>
      </w:r>
      <w:r>
        <w:rPr>
          <w:rFonts w:hint="eastAsia" w:ascii="新宋体" w:hAnsi="新宋体" w:eastAsia="新宋体" w:cs="新宋体"/>
          <w:color w:val="auto"/>
          <w:sz w:val="28"/>
          <w:szCs w:val="28"/>
        </w:rPr>
        <w:t>中符合适应病种和适应症限制的药品，保险公司对其发生的药品费用，非既往症人群按70%、既往症人群按30%给付保险金。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保险公司对被保险人给付国内特定高额药品医疗保险金总额以100万元为限，一次或多次累计给付国内特定高额药品费用保险金金额达到100万元时，保险公司对该被保险人的该项责任终止。</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《国内特定高额药品目录》中药品涉及慈善援助的，应当按照慈善机构援助方案执行，由慈善机构援助的药品费用不纳入本产品支付范围。</w:t>
      </w:r>
    </w:p>
    <w:p>
      <w:pPr>
        <w:ind w:firstLine="560" w:firstLineChars="200"/>
        <w:rPr>
          <w:rFonts w:hint="eastAsia" w:ascii="新宋体" w:hAnsi="新宋体" w:eastAsia="新宋体" w:cs="新宋体"/>
          <w:color w:val="auto"/>
          <w:sz w:val="28"/>
          <w:szCs w:val="28"/>
          <w:lang w:eastAsia="zh-CN"/>
        </w:rPr>
      </w:pPr>
      <w:r>
        <w:rPr>
          <w:rFonts w:hint="eastAsia" w:ascii="新宋体" w:hAnsi="新宋体" w:eastAsia="新宋体" w:cs="新宋体"/>
          <w:color w:val="auto"/>
          <w:sz w:val="28"/>
          <w:szCs w:val="28"/>
          <w:lang w:eastAsia="zh-CN"/>
        </w:rPr>
        <w:t>《国内特定高额药品目录》范围内的药品，若该药品已被国家医疗保障行政部门正式发文纳入国家基本医疗保险、工伤保险和生育保险药品目录（以最新版有效目录为准），相关药品费用已获医保报销的，不再受理理赔申请；对于未能获得医保报销的，继续按保险合同约定受理理赔申请。</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w:t>
      </w:r>
      <w:r>
        <w:rPr>
          <w:rFonts w:hint="eastAsia" w:ascii="新宋体" w:hAnsi="新宋体" w:eastAsia="新宋体" w:cs="新宋体"/>
          <w:color w:val="auto"/>
          <w:sz w:val="28"/>
          <w:szCs w:val="28"/>
          <w:shd w:val="pct10" w:color="auto" w:fill="FFFFFF"/>
        </w:rPr>
        <w:t>特约药店（释义10）</w:t>
      </w:r>
      <w:r>
        <w:rPr>
          <w:rFonts w:hint="eastAsia" w:ascii="新宋体" w:hAnsi="新宋体" w:eastAsia="新宋体" w:cs="新宋体"/>
          <w:color w:val="auto"/>
          <w:sz w:val="28"/>
          <w:szCs w:val="28"/>
        </w:rPr>
        <w:t>购买国内特定高额药品，可享受药品直付和送药上门服务。</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（三）质子、重离子医疗保险金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在保险期间内，被保险人因恶性肿瘤在</w:t>
      </w:r>
      <w:r>
        <w:rPr>
          <w:rFonts w:hint="eastAsia" w:ascii="新宋体" w:hAnsi="新宋体" w:eastAsia="新宋体" w:cs="新宋体"/>
          <w:color w:val="auto"/>
          <w:sz w:val="28"/>
          <w:szCs w:val="28"/>
          <w:shd w:val="pct10" w:color="auto" w:fill="FFFFFF"/>
          <w:lang w:val="zh-CN"/>
        </w:rPr>
        <w:t>上海市具备质子、重离子治疗资质的医疗机构（释义11）</w:t>
      </w:r>
      <w:r>
        <w:rPr>
          <w:rFonts w:hint="eastAsia" w:ascii="新宋体" w:hAnsi="新宋体" w:eastAsia="新宋体" w:cs="新宋体"/>
          <w:color w:val="auto"/>
          <w:sz w:val="28"/>
          <w:szCs w:val="28"/>
          <w:lang w:val="zh-CN"/>
        </w:rPr>
        <w:t>内接受质子、重离子治疗的，保险公司对其所发生的合理且必要的定位及制定放疗计划费用（</w:t>
      </w:r>
      <w:r>
        <w:rPr>
          <w:rFonts w:hint="eastAsia" w:ascii="新宋体" w:hAnsi="新宋体" w:eastAsia="新宋体" w:cs="新宋体"/>
          <w:color w:val="auto"/>
          <w:sz w:val="28"/>
          <w:szCs w:val="28"/>
        </w:rPr>
        <w:t>如被保险人主动放弃入院治疗，其定位费及制定放疗计划费用自行承担，死亡除外</w:t>
      </w:r>
      <w:r>
        <w:rPr>
          <w:rFonts w:hint="eastAsia" w:ascii="新宋体" w:hAnsi="新宋体" w:eastAsia="新宋体" w:cs="新宋体"/>
          <w:color w:val="auto"/>
          <w:sz w:val="28"/>
          <w:szCs w:val="28"/>
          <w:lang w:val="zh-CN"/>
        </w:rPr>
        <w:t>），以及实施质子、重离子放射治疗费用（不包括床位费、化疗费等其他费用），</w:t>
      </w:r>
      <w:r>
        <w:rPr>
          <w:rFonts w:hint="eastAsia" w:ascii="新宋体" w:hAnsi="新宋体" w:eastAsia="新宋体" w:cs="新宋体"/>
          <w:color w:val="auto"/>
          <w:sz w:val="28"/>
          <w:szCs w:val="28"/>
        </w:rPr>
        <w:t>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保险公司对被保险人给付质子、重离子医疗保险金总额以30万元为限，一次或多次累计给付质子、重离子医疗保险金金额达到30万元时，保险公司对该被保险人该项责任终止。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（四）海外特殊药品费用保险金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在保险期间内，被保险人在海南博鳌乐城国际医疗旅游先行区内按规定可使用相应特许药械的医疗机构（海南博鳌超级医院、博鳌国际医院、博鳌恒大国际医院、上海交通大学医学院附属瑞金医院海南医院（海南博鳌研究型医院））挂号，由指定专科医生诊断为特定</w:t>
      </w:r>
      <w:r>
        <w:rPr>
          <w:rFonts w:hint="eastAsia" w:ascii="新宋体" w:hAnsi="新宋体" w:eastAsia="新宋体" w:cs="新宋体"/>
          <w:color w:val="auto"/>
          <w:sz w:val="28"/>
          <w:szCs w:val="28"/>
          <w:lang w:val="zh-CN"/>
        </w:rPr>
        <w:t>疾病</w:t>
      </w:r>
      <w:r>
        <w:rPr>
          <w:rFonts w:hint="eastAsia" w:ascii="新宋体" w:hAnsi="新宋体" w:eastAsia="新宋体" w:cs="新宋体"/>
          <w:color w:val="auto"/>
          <w:sz w:val="28"/>
          <w:szCs w:val="28"/>
        </w:rPr>
        <w:t>并书写门诊病历和开具处方后，在以上四家医院门诊或住院部购买和使用</w:t>
      </w:r>
      <w:r>
        <w:rPr>
          <w:rFonts w:hint="eastAsia" w:ascii="新宋体" w:hAnsi="新宋体" w:eastAsia="新宋体" w:cs="新宋体"/>
          <w:color w:val="auto"/>
          <w:sz w:val="28"/>
          <w:szCs w:val="28"/>
          <w:shd w:val="pct10" w:color="auto" w:fill="FFFFFF"/>
        </w:rPr>
        <w:t>《海外特殊药品目录》（释义11）</w:t>
      </w:r>
      <w:r>
        <w:rPr>
          <w:rFonts w:hint="eastAsia" w:ascii="新宋体" w:hAnsi="新宋体" w:eastAsia="新宋体" w:cs="新宋体"/>
          <w:color w:val="auto"/>
          <w:sz w:val="28"/>
          <w:szCs w:val="28"/>
        </w:rPr>
        <w:t>中符合适应病种和适应症限制的药品，保险公司对其发生的药品费用，非既往症人群按70%、既往症人群按30%给付保险金。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保险公司对被保险人给付海外特殊药品费用保险金总额以30万元为限，一次或多次累计给付海外特殊药品费用保险金金额达到30万元时，保险公司对该被保险人的该项责任终止。</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（五）CAR-T治疗药品费用保险金</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保险期间内，被保险人经指定专科医生的诊断和认定，符合CAR-T治疗条件，且在</w:t>
      </w:r>
      <w:r>
        <w:rPr>
          <w:rFonts w:hint="eastAsia" w:ascii="新宋体" w:hAnsi="新宋体" w:eastAsia="新宋体" w:cs="新宋体"/>
          <w:color w:val="auto"/>
          <w:sz w:val="28"/>
          <w:szCs w:val="28"/>
          <w:shd w:val="pct10" w:color="auto" w:fill="FFFFFF"/>
        </w:rPr>
        <w:t>CAR-T治疗指定医院（释义13）</w:t>
      </w:r>
      <w:r>
        <w:rPr>
          <w:rFonts w:hint="eastAsia" w:ascii="新宋体" w:hAnsi="新宋体" w:eastAsia="新宋体" w:cs="新宋体"/>
          <w:color w:val="auto"/>
          <w:sz w:val="28"/>
          <w:szCs w:val="28"/>
        </w:rPr>
        <w:t>进行CAR-T治疗，在CAR-T治疗指定医院购买和使用</w:t>
      </w:r>
      <w:r>
        <w:rPr>
          <w:rFonts w:hint="eastAsia" w:ascii="新宋体" w:hAnsi="新宋体" w:eastAsia="新宋体" w:cs="新宋体"/>
          <w:color w:val="auto"/>
          <w:sz w:val="28"/>
          <w:szCs w:val="28"/>
          <w:shd w:val="pct10" w:color="auto" w:fill="FFFFFF"/>
        </w:rPr>
        <w:t>《CAR-T治疗特定药品目录》（释义14）</w:t>
      </w:r>
      <w:r>
        <w:rPr>
          <w:rFonts w:hint="eastAsia" w:ascii="新宋体" w:hAnsi="新宋体" w:eastAsia="新宋体" w:cs="新宋体"/>
          <w:color w:val="auto"/>
          <w:sz w:val="28"/>
          <w:szCs w:val="28"/>
        </w:rPr>
        <w:t>中符合适应病种和适应症限制的药品，保险公司对其发生的药品费用，非既往症人群和既往症人群均按100%</w:t>
      </w:r>
      <w:r>
        <w:rPr>
          <w:rFonts w:hint="eastAsia" w:ascii="新宋体" w:hAnsi="新宋体" w:eastAsia="新宋体" w:cs="新宋体"/>
          <w:bCs/>
          <w:color w:val="auto"/>
          <w:sz w:val="28"/>
          <w:szCs w:val="28"/>
        </w:rPr>
        <w:t>给付保险金</w:t>
      </w:r>
      <w:r>
        <w:rPr>
          <w:rFonts w:hint="eastAsia" w:ascii="新宋体" w:hAnsi="新宋体" w:eastAsia="新宋体" w:cs="新宋体"/>
          <w:color w:val="auto"/>
          <w:sz w:val="28"/>
          <w:szCs w:val="28"/>
        </w:rPr>
        <w:t>。</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保险公司对被保险人给付CAR-T治疗药品费用保险金总额以50万元为限，一次或多次累计给付CAR-T治疗药品费用保险金金额达到50万元时，保险公司对该被保险人的该项责任终止。</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三、补偿原则</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保险公司在本合同保险责任范围内给付各项责任保险金，若被保险人已从任何其他途径获得对应费用补偿，保险公司按照上述保险责任标准计算的给付金额和被保险人获得补偿后的医疗或药品费用余额中的较小者给付保险金。</w:t>
      </w:r>
    </w:p>
    <w:p>
      <w:pPr>
        <w:ind w:firstLine="562" w:firstLineChars="200"/>
        <w:rPr>
          <w:rFonts w:hint="eastAsia" w:ascii="新宋体" w:hAnsi="新宋体" w:eastAsia="新宋体" w:cs="新宋体"/>
          <w:b/>
          <w:color w:val="auto"/>
          <w:sz w:val="28"/>
          <w:szCs w:val="28"/>
        </w:rPr>
      </w:pPr>
      <w:r>
        <w:rPr>
          <w:rFonts w:hint="eastAsia" w:ascii="新宋体" w:hAnsi="新宋体" w:eastAsia="新宋体" w:cs="新宋体"/>
          <w:b/>
          <w:color w:val="auto"/>
          <w:sz w:val="28"/>
          <w:szCs w:val="28"/>
        </w:rPr>
        <w:t>四、免除责任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下列情形，造成被保险人医疗费用支出的，本产品不承担给付保险金的责任：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1、不孕不育治疗、人工受精、怀孕、分娩（含难产）、流产、堕胎、节育（含绝育）、产前产后检查以及由以上原因引起的并发症。</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2、工伤（职业病）发生的医疗费用。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3、应当由第三人负担的医疗费用。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4、在境外（含港、澳、台）就医的医疗费用。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5、法律、法规、政策、文件规定不予支付的事项，保险人不承担给付保险金的责任。</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6、被保险人挂床住院或应当出院而拒不出院，从医院确定其离院之日起发生的一切医疗费用，保险公司不承担给付保险金的责任（“挂床住院”指办理正式住院手续的被保险人，在住院期间每日非24小时在床、在院，包括在住院期间连续若干日无任何治疗，只发生护理费、诊疗费、床位费的情况。</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7、未经科学或者医学认可的实验性或者研究性治疗及其产生的后果所产生的费用；未被治疗所在地权威部门批准的治疗，未获得治疗所在地政府许可或者批准的药品或药物；各类医疗鉴定，包括但不限于医疗事故鉴定、精神病鉴定、孕妇胎儿性别鉴定、验伤鉴定、亲子鉴定、遗传基因鉴定费用</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8、整形手术、美容或整容手术、变性手术及前述手术的并发症或因前述手术导致的医疗事故；被保险人预防、体育健身、休养或疗养、医疗咨询、保健性或非疾病治疗类项目发生的医疗费用；眼镜或隐形眼镜、视力矫正器、助力器、矫形器、助听器、义肢、义眼、轮椅、拐杖等功能性辅助材料或康复型器具</w:t>
      </w:r>
      <w:r>
        <w:rPr>
          <w:rFonts w:hint="eastAsia" w:ascii="新宋体" w:hAnsi="新宋体" w:eastAsia="新宋体" w:cs="新宋体"/>
          <w:color w:val="auto"/>
          <w:kern w:val="2"/>
          <w:sz w:val="28"/>
          <w:szCs w:val="28"/>
          <w:lang w:eastAsia="zh-CN"/>
        </w:rPr>
        <w:t>；</w:t>
      </w:r>
      <w:r>
        <w:rPr>
          <w:rFonts w:hint="eastAsia" w:ascii="新宋体" w:hAnsi="新宋体" w:eastAsia="新宋体" w:cs="新宋体"/>
          <w:color w:val="auto"/>
          <w:kern w:val="2"/>
          <w:sz w:val="28"/>
          <w:szCs w:val="28"/>
        </w:rPr>
        <w:t>因器官移植所需的器官摘取、保存、运输、配型、采购（包括但不限于向第三方机构支付的器官获取费、中介服务费、器官运输及储存费）等一切与器官来源直接相关的费用。</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9、国内特定高额自费药品费用和海外特殊药品费用责任免除情形</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（1）药品处方的开具与本产品《国内特定高额药品目录》或《海外特殊药品目录》的范围不符</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（2）未在本产品约定的医院或药店购买的药品</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（3）每次药品处方超过壹个月以上部分的药品费用</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（4）国内特定高额药品处方的开具与国家食品药品监督管理总局批准的该药品说明书中所列明的适应症用法用量不符；相关医学材料不能证明被保险人所患疾病符合使用特定药物的指征；</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（5）海外特殊药品处方的开具与该药品出口地区管理部门批准的该药品说明书中所列明的适应症用法用量不符；相关医学材料不能证明被保险人所患疾病符合使用特定药物的指征</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（6）所开具的药品处方非指定医院门诊挂号的指定专科医生开具</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lang w:eastAsia="zh-CN"/>
        </w:rPr>
      </w:pPr>
      <w:r>
        <w:rPr>
          <w:rFonts w:hint="eastAsia" w:ascii="新宋体" w:hAnsi="新宋体" w:eastAsia="新宋体" w:cs="新宋体"/>
          <w:color w:val="auto"/>
          <w:kern w:val="2"/>
          <w:sz w:val="28"/>
          <w:szCs w:val="28"/>
        </w:rPr>
        <w:t>（7）被保险人的疾病状况，经审核，确定对药品已经耐药，而产生的费用（耐药是指a.实体肿瘤病灶按照RECIST（实体瘤治疗疗效评价标准）出现疾病进展，即定义为耐药。b.非实体肿瘤（包含白血病、多发性骨髓瘤、骨髓纤维化、淋巴瘤等恶性肿瘤）在临床上常无明确的肿块或者肿块较小难以发现，经规范治疗后，按相关专业机构（包括：中国临床肿瘤学会（CSCO）、中华医学会血液学分会、中国抗癌协会血液肿瘤 专业委员会、国家卫健委、美国国家综合癌症网络（NCCN）等）的指南规范，对患者的骨髓形态学、流式细胞、特定基因检测等结果进行综合评价，得出疾病进展的结论，即定义为耐药</w:t>
      </w:r>
      <w:r>
        <w:rPr>
          <w:rFonts w:hint="eastAsia" w:ascii="新宋体" w:hAnsi="新宋体" w:eastAsia="新宋体" w:cs="新宋体"/>
          <w:color w:val="auto"/>
          <w:kern w:val="2"/>
          <w:sz w:val="28"/>
          <w:szCs w:val="28"/>
          <w:lang w:eastAsia="zh-CN"/>
        </w:rPr>
        <w:t>；</w:t>
      </w:r>
    </w:p>
    <w:p>
      <w:pPr>
        <w:pStyle w:val="22"/>
        <w:ind w:firstLine="560" w:firstLineChars="200"/>
        <w:rPr>
          <w:rFonts w:hint="eastAsia" w:ascii="新宋体" w:hAnsi="新宋体" w:eastAsia="新宋体" w:cs="新宋体"/>
          <w:color w:val="auto"/>
          <w:kern w:val="2"/>
          <w:sz w:val="28"/>
          <w:szCs w:val="28"/>
        </w:rPr>
      </w:pPr>
      <w:r>
        <w:rPr>
          <w:rFonts w:hint="eastAsia" w:ascii="新宋体" w:hAnsi="新宋体" w:eastAsia="新宋体" w:cs="新宋体"/>
          <w:color w:val="auto"/>
          <w:kern w:val="2"/>
          <w:sz w:val="28"/>
          <w:szCs w:val="28"/>
        </w:rPr>
        <w:t>（8）被保险人符合慈善援助用药申请，但因被保险人未提交相关申请或者提交的申请材料不全，导致援助项目申请未通过而发生的药品费用；被保险人通过援助审核，但因被保险人原因未领取援助药品，视为被保险人自愿放弃本合同项下适用的保险权益。</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五、释义</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1、当地基本医疗保险：</w:t>
      </w:r>
      <w:r>
        <w:rPr>
          <w:rFonts w:hint="eastAsia" w:ascii="新宋体" w:hAnsi="新宋体" w:eastAsia="新宋体" w:cs="新宋体"/>
          <w:bCs/>
          <w:color w:val="auto"/>
          <w:sz w:val="28"/>
          <w:szCs w:val="28"/>
        </w:rPr>
        <w:t>指非上海市的职工基本医疗保险和城乡居民基本医疗保险。</w:t>
      </w:r>
    </w:p>
    <w:p>
      <w:pPr>
        <w:ind w:firstLine="562" w:firstLineChars="200"/>
        <w:rPr>
          <w:rFonts w:hint="eastAsia" w:ascii="新宋体" w:hAnsi="新宋体" w:eastAsia="新宋体" w:cs="新宋体"/>
          <w:b/>
          <w:bCs/>
          <w:color w:val="auto"/>
          <w:sz w:val="28"/>
          <w:szCs w:val="28"/>
        </w:rPr>
      </w:pPr>
      <w:r>
        <w:rPr>
          <w:rFonts w:hint="eastAsia" w:ascii="新宋体" w:hAnsi="新宋体" w:eastAsia="新宋体" w:cs="新宋体"/>
          <w:b/>
          <w:bCs/>
          <w:color w:val="auto"/>
          <w:sz w:val="28"/>
          <w:szCs w:val="28"/>
        </w:rPr>
        <w:t>2、上海部分大型企业</w:t>
      </w:r>
      <w:r>
        <w:rPr>
          <w:rFonts w:hint="eastAsia" w:ascii="新宋体" w:hAnsi="新宋体" w:eastAsia="新宋体" w:cs="新宋体"/>
          <w:bCs/>
          <w:color w:val="auto"/>
          <w:sz w:val="28"/>
          <w:szCs w:val="28"/>
        </w:rPr>
        <w:t>：指用工人数在500人及以上的上海本地企业，例如</w:t>
      </w:r>
      <w:r>
        <w:rPr>
          <w:rFonts w:hint="eastAsia" w:ascii="新宋体" w:hAnsi="新宋体" w:eastAsia="新宋体" w:cs="新宋体"/>
          <w:color w:val="auto"/>
          <w:sz w:val="28"/>
          <w:szCs w:val="28"/>
        </w:rPr>
        <w:t>物流配送、外卖快递等行业。</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3、住院：</w:t>
      </w:r>
      <w:r>
        <w:rPr>
          <w:rFonts w:hint="eastAsia" w:ascii="新宋体" w:hAnsi="新宋体" w:eastAsia="新宋体" w:cs="新宋体"/>
          <w:color w:val="auto"/>
          <w:sz w:val="28"/>
          <w:szCs w:val="28"/>
        </w:rPr>
        <w:t>指被保险人入住医院正式病房进行治疗，并正式办理入出院手续，但不包括下列情况：</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(1)被保险人入住急诊观察室、家庭病床、联合病房；</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(2)被保险人入住康复病房（康复科）或接受康复治疗；</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(3)被保险人住院过程中1日内未接受与入院诊断相关的检查和治疗，或1日内住院不满24小时，但遵医嘱到外院接受临时诊疗的除外；</w:t>
      </w:r>
    </w:p>
    <w:p>
      <w:pPr>
        <w:ind w:firstLine="560" w:firstLineChars="200"/>
        <w:rPr>
          <w:rFonts w:hint="eastAsia" w:ascii="新宋体" w:hAnsi="新宋体" w:eastAsia="新宋体" w:cs="新宋体"/>
          <w:color w:val="auto"/>
          <w:sz w:val="28"/>
          <w:szCs w:val="28"/>
        </w:rPr>
      </w:pPr>
      <w:r>
        <w:rPr>
          <w:rFonts w:hint="eastAsia" w:ascii="新宋体" w:hAnsi="新宋体" w:eastAsia="新宋体" w:cs="新宋体"/>
          <w:color w:val="auto"/>
          <w:sz w:val="28"/>
          <w:szCs w:val="28"/>
        </w:rPr>
        <w:t>(4)其他不合理的住院，包括在住院期间连续若干日无任何治疗，只发生护理费、床位费等情况。</w:t>
      </w:r>
    </w:p>
    <w:p>
      <w:pPr>
        <w:ind w:firstLine="562" w:firstLineChars="200"/>
        <w:rPr>
          <w:rFonts w:hint="eastAsia" w:ascii="新宋体" w:hAnsi="新宋体" w:eastAsia="新宋体" w:cs="新宋体"/>
          <w:b/>
          <w:bCs/>
          <w:color w:val="auto"/>
          <w:sz w:val="28"/>
          <w:szCs w:val="28"/>
          <w:shd w:val="pct10" w:color="auto" w:fill="FFFFFF"/>
        </w:rPr>
      </w:pPr>
      <w:r>
        <w:rPr>
          <w:rFonts w:hint="eastAsia" w:ascii="新宋体" w:hAnsi="新宋体" w:eastAsia="新宋体" w:cs="新宋体"/>
          <w:b/>
          <w:bCs/>
          <w:color w:val="auto"/>
          <w:sz w:val="28"/>
          <w:szCs w:val="28"/>
        </w:rPr>
        <w:t>4、特定住院</w:t>
      </w:r>
      <w:r>
        <w:rPr>
          <w:rFonts w:hint="eastAsia" w:ascii="新宋体" w:hAnsi="新宋体" w:eastAsia="新宋体" w:cs="新宋体"/>
          <w:b/>
          <w:color w:val="auto"/>
          <w:sz w:val="28"/>
          <w:szCs w:val="28"/>
        </w:rPr>
        <w:t>自费医疗费用</w:t>
      </w:r>
      <w:r>
        <w:rPr>
          <w:rFonts w:hint="eastAsia" w:ascii="新宋体" w:hAnsi="新宋体" w:eastAsia="新宋体" w:cs="新宋体"/>
          <w:color w:val="auto"/>
          <w:sz w:val="28"/>
          <w:szCs w:val="28"/>
        </w:rPr>
        <w:t>：指住院期间发生的经当地基本医保结算的票据中自费医疗费用中的特定药品费、手术材料费、检查检验费和特定治疗费，</w:t>
      </w:r>
      <w:r>
        <w:rPr>
          <w:rFonts w:hint="eastAsia" w:ascii="新宋体" w:hAnsi="新宋体" w:eastAsia="新宋体" w:cs="新宋体"/>
          <w:color w:val="auto"/>
          <w:sz w:val="28"/>
          <w:szCs w:val="28"/>
          <w:shd w:val="pct10" w:color="auto" w:fill="FFFFFF"/>
        </w:rPr>
        <w:t>不包括基本医疗保险个人自负和分类自负部分的医疗费用。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bCs/>
          <w:color w:val="auto"/>
          <w:sz w:val="28"/>
          <w:szCs w:val="28"/>
          <w:lang w:val="zh-CN"/>
        </w:rPr>
        <w:t>特定药品费</w:t>
      </w:r>
      <w:r>
        <w:rPr>
          <w:rFonts w:hint="eastAsia" w:ascii="新宋体" w:hAnsi="新宋体" w:eastAsia="新宋体" w:cs="新宋体"/>
          <w:color w:val="auto"/>
          <w:sz w:val="28"/>
          <w:szCs w:val="28"/>
          <w:lang w:val="zh-CN"/>
        </w:rPr>
        <w:t>：指在住院治疗期间，由执业医师开具且具有国家药品监督管理部门核发的药品批准文号或者进口药品注册证书、医药产品注册证书的基本医疗保险基金支付目录范围外的药品费用，包括西药费、中成药和中草药费用，但不包括下列情况：（1）主要起营养滋补作用的中草药类；（2）可以入药的动物及动物脏器；（3）以美容、减肥为保健功能的药品。</w:t>
      </w:r>
    </w:p>
    <w:p>
      <w:pPr>
        <w:ind w:firstLine="562" w:firstLineChars="200"/>
        <w:rPr>
          <w:rFonts w:hint="eastAsia" w:ascii="新宋体" w:hAnsi="新宋体" w:eastAsia="新宋体" w:cs="新宋体"/>
          <w:color w:val="auto"/>
          <w:sz w:val="28"/>
          <w:szCs w:val="28"/>
        </w:rPr>
      </w:pPr>
      <w:r>
        <w:rPr>
          <w:rFonts w:hint="eastAsia" w:ascii="新宋体" w:hAnsi="新宋体" w:eastAsia="新宋体" w:cs="新宋体"/>
          <w:b/>
          <w:bCs/>
          <w:color w:val="auto"/>
          <w:sz w:val="28"/>
          <w:szCs w:val="28"/>
        </w:rPr>
        <w:t>特定治疗费：</w:t>
      </w:r>
      <w:r>
        <w:rPr>
          <w:rFonts w:hint="eastAsia" w:ascii="新宋体" w:hAnsi="新宋体" w:eastAsia="新宋体" w:cs="新宋体"/>
          <w:color w:val="auto"/>
          <w:sz w:val="28"/>
          <w:szCs w:val="28"/>
          <w:lang w:val="zh-CN"/>
        </w:rPr>
        <w:t>指在</w:t>
      </w:r>
      <w:r>
        <w:rPr>
          <w:rFonts w:hint="eastAsia" w:ascii="新宋体" w:hAnsi="新宋体" w:eastAsia="新宋体" w:cs="新宋体"/>
          <w:color w:val="auto"/>
          <w:sz w:val="28"/>
          <w:szCs w:val="28"/>
        </w:rPr>
        <w:t>住院期间进行治疗所发生的，且费用类别归属于“治疗费”下的项目所产生的费用。</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5、既往症人群</w:t>
      </w:r>
      <w:r>
        <w:rPr>
          <w:rFonts w:hint="eastAsia" w:ascii="新宋体" w:hAnsi="新宋体" w:eastAsia="新宋体" w:cs="新宋体"/>
          <w:color w:val="auto"/>
          <w:sz w:val="28"/>
          <w:szCs w:val="28"/>
          <w:lang w:val="zh-CN"/>
        </w:rPr>
        <w:t>：指投保前一年内因健康原因不能正常出勤，缺勤记录在20天及以上的“新市民”</w:t>
      </w:r>
      <w:r>
        <w:rPr>
          <w:rFonts w:hint="eastAsia" w:ascii="新宋体" w:hAnsi="新宋体" w:eastAsia="新宋体" w:cs="新宋体"/>
          <w:bCs/>
          <w:color w:val="auto"/>
          <w:sz w:val="28"/>
          <w:szCs w:val="28"/>
        </w:rPr>
        <w:t>。</w:t>
      </w:r>
    </w:p>
    <w:p>
      <w:pPr>
        <w:ind w:firstLine="562" w:firstLineChars="200"/>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6、单品药品费：</w:t>
      </w:r>
      <w:r>
        <w:rPr>
          <w:rFonts w:hint="eastAsia" w:ascii="新宋体" w:hAnsi="新宋体" w:eastAsia="新宋体" w:cs="新宋体"/>
          <w:color w:val="auto"/>
          <w:sz w:val="28"/>
          <w:szCs w:val="28"/>
          <w:lang w:val="zh-CN"/>
        </w:rPr>
        <w:t>指化学名一致的药品费用总额。</w:t>
      </w: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7</w:t>
      </w:r>
      <w:r>
        <w:rPr>
          <w:rFonts w:hint="eastAsia" w:ascii="新宋体" w:hAnsi="新宋体" w:eastAsia="新宋体" w:cs="新宋体"/>
          <w:color w:val="auto"/>
          <w:sz w:val="28"/>
          <w:szCs w:val="28"/>
          <w:lang w:val="zh-CN"/>
        </w:rPr>
        <w:t>、</w:t>
      </w:r>
      <w:r>
        <w:rPr>
          <w:rFonts w:hint="eastAsia" w:ascii="新宋体" w:hAnsi="新宋体" w:eastAsia="新宋体" w:cs="新宋体"/>
          <w:b/>
          <w:bCs/>
          <w:color w:val="auto"/>
          <w:sz w:val="28"/>
          <w:szCs w:val="28"/>
          <w:lang w:val="zh-CN"/>
        </w:rPr>
        <w:t>指定专科医生</w:t>
      </w:r>
      <w:r>
        <w:rPr>
          <w:rFonts w:hint="eastAsia" w:ascii="新宋体" w:hAnsi="新宋体" w:eastAsia="新宋体" w:cs="新宋体"/>
          <w:color w:val="auto"/>
          <w:sz w:val="28"/>
          <w:szCs w:val="28"/>
          <w:lang w:val="zh-CN"/>
        </w:rPr>
        <w:t>：指定专科医生应当同时满足以下四项资格条件：（1）具有有效的中华人民共和国《医师资格证书》；（2）具有有效的中华人民共和国《医师执业证书》，并按期到相关部门登记注册；（3）具有有效的中华人民共和国主治医师或主治医师以上职称的《医师职称证书》；（4）相关医生在确诊或向患者开具处方时，所服务医院为二级及以上医院，并服务于与处方适应症治疗相关的临床科室。</w:t>
      </w: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8、</w:t>
      </w:r>
      <w:r>
        <w:rPr>
          <w:rFonts w:hint="eastAsia" w:ascii="新宋体" w:hAnsi="新宋体" w:eastAsia="新宋体" w:cs="新宋体"/>
          <w:b/>
          <w:color w:val="auto"/>
          <w:sz w:val="28"/>
          <w:szCs w:val="28"/>
          <w:highlight w:val="none"/>
          <w:lang w:val="zh-CN"/>
        </w:rPr>
        <w:t>特定疾病</w:t>
      </w:r>
      <w:r>
        <w:rPr>
          <w:rFonts w:hint="eastAsia" w:ascii="新宋体" w:hAnsi="新宋体" w:eastAsia="新宋体" w:cs="新宋体"/>
          <w:b/>
          <w:color w:val="auto"/>
          <w:sz w:val="28"/>
          <w:szCs w:val="28"/>
          <w:lang w:val="zh-CN"/>
        </w:rPr>
        <w:t>：</w:t>
      </w:r>
      <w:r>
        <w:rPr>
          <w:rFonts w:hint="eastAsia" w:ascii="新宋体" w:hAnsi="新宋体" w:eastAsia="新宋体" w:cs="新宋体"/>
          <w:color w:val="auto"/>
          <w:sz w:val="28"/>
          <w:szCs w:val="28"/>
          <w:lang w:val="zh-CN"/>
        </w:rPr>
        <w:t>x连锁低磷血症、白血病、膀胱癌、鼻咽癌、胆道癌、胆管癌、短肠综合征、多发性骨髓瘤、恶性胸膜间皮瘤、法布雷病、肺癌、肝癌、宫颈癌、骨髓增生异常综合征、黑色素瘤、亨特综合征（黏多糖贮积症 II 型）、甲状腺癌、结直肠癌、淋巴瘤、卵巢癌、脑瘤、黏多糖贮积症IVA型、尿路上皮癌、前列腺癌、乳腺癌、上皮样肉瘤、神经母细胞瘤、肾上腺皮质恶性肿瘤、实体瘤、食管癌、输卵管癌、头颈癌、胃癌、胃肠道间质肿瘤、胰腺癌、子宫内膜癌。</w:t>
      </w:r>
    </w:p>
    <w:p>
      <w:pPr>
        <w:pStyle w:val="17"/>
        <w:spacing w:line="360" w:lineRule="auto"/>
        <w:ind w:firstLine="561"/>
        <w:rPr>
          <w:rFonts w:hint="eastAsia" w:ascii="新宋体" w:hAnsi="新宋体" w:eastAsia="新宋体" w:cs="新宋体"/>
          <w:b/>
          <w:bCs/>
          <w:color w:val="auto"/>
          <w:sz w:val="28"/>
          <w:szCs w:val="28"/>
          <w:highlight w:val="none"/>
        </w:rPr>
      </w:pPr>
      <w:r>
        <w:rPr>
          <w:rFonts w:hint="eastAsia" w:ascii="新宋体" w:hAnsi="新宋体" w:eastAsia="新宋体" w:cs="新宋体"/>
          <w:b/>
          <w:color w:val="auto"/>
          <w:sz w:val="28"/>
          <w:szCs w:val="28"/>
          <w:highlight w:val="none"/>
          <w:lang w:val="zh-CN"/>
        </w:rPr>
        <w:t>9、国内</w:t>
      </w:r>
      <w:r>
        <w:rPr>
          <w:rFonts w:hint="eastAsia" w:ascii="新宋体" w:hAnsi="新宋体" w:eastAsia="新宋体" w:cs="新宋体"/>
          <w:b/>
          <w:bCs/>
          <w:color w:val="auto"/>
          <w:sz w:val="28"/>
          <w:szCs w:val="28"/>
          <w:highlight w:val="none"/>
        </w:rPr>
        <w:t>特定高额药品目录</w:t>
      </w:r>
    </w:p>
    <w:tbl>
      <w:tblPr>
        <w:tblStyle w:val="9"/>
        <w:tblW w:w="10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950"/>
        <w:gridCol w:w="982"/>
        <w:gridCol w:w="937"/>
        <w:gridCol w:w="1425"/>
        <w:gridCol w:w="5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序号</w:t>
            </w:r>
          </w:p>
        </w:tc>
        <w:tc>
          <w:tcPr>
            <w:tcW w:w="950"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商品名</w:t>
            </w:r>
          </w:p>
        </w:tc>
        <w:tc>
          <w:tcPr>
            <w:tcW w:w="982"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通用名</w:t>
            </w:r>
          </w:p>
        </w:tc>
        <w:tc>
          <w:tcPr>
            <w:tcW w:w="9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厂商</w:t>
            </w:r>
          </w:p>
        </w:tc>
        <w:tc>
          <w:tcPr>
            <w:tcW w:w="1425"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适应病种</w:t>
            </w:r>
          </w:p>
        </w:tc>
        <w:tc>
          <w:tcPr>
            <w:tcW w:w="5093"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欧狄沃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纳武利尤单抗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肺癌、头颈癌、胃癌、恶性胸膜间皮瘤、食管癌、尿路上皮癌、结直肠癌、肝癌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1.本品联合含铂双药化疗适用于新辅助治疗可切除的（肿瘤直径≥4cm 或淋巴结阳性）非小细胞肺癌（NSCLC）成人患者。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2.本品单药适用于治疗表皮生长因子受体（EGFR）基因突变阴性和间变性淋巴瘤激酶（ALK）阴性、既往接受过含铂方案化疗后疾病进展或不可耐受的局部晚期或转移性非小细胞肺癌（NSCLC）成人患者。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3.本品单药适用于治疗接受含铂类方案治疗期间或之后出现疾病进展且肿瘤PD-L1表达阳性（定义为表达 PD-L1 的肿瘤细胞≥1%）的复发性或转移性头颈部鳞状细胞癌（SCCHN）患者。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4.本品联合含氟尿嘧啶和铂类药物化疗适用于一线治疗晚期或转移性胃癌、胃食管连接部癌或食管腺癌患者。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5.本品可用于治疗既往接受过两种或两种以上全身性治疗方案的晚期或复发性胃或胃食管连接部腺癌患者。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6.本品联合伊匹木单抗用于不可手术切除的、初治的非上皮样恶性胸膜间皮瘤成人患者。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7.本品可用于经新辅助放化疗（CRT）及完全手术切除后仍有病理学残留的食管癌或胃食管连接部癌患者的辅助治疗。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8.本品联合含氟嘧啶类和铂类化疗用于晚期或转移性食管鳞癌患者的一线治疗。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9.本品单药适用于接受根治性切除术后伴有高复发风险的尿路上皮癌患者的辅助治疗。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10.本品联合顺铂及吉西他滨用于不可切除或转移性尿路上皮癌成人患者的一线治疗。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11.本品联合伊匹木单抗适用于不可切除或转移性微卫星高度不稳定性（MSI-H）或错配修复缺陷（dMMR）结直肠癌（CRC）患者的一线治疗。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12.联合逸沃适用于不可切除或晚期肝细胞癌（HCC）成人患者的一线治疗。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可瑞达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帕博利珠单抗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默沙东</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黑色素瘤、食管癌、肺癌、头颈癌、结直肠癌、肝癌、乳腺癌、实体瘤、胆道癌、胃癌、宫颈癌、尿路上皮癌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1.适用于不可切除或转移性黑色素瘤的治疗。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2.单药用于由国家药品监督管理局批准的检测评估肿瘤表达PD-L1（综合阳性评分（CPS）≥ 10）的、既往一线全身治疗失败的、局部晚期或转移性食管鳞状细胞癌（ESCC）患者的治疗。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3.联合铂类和氟尿嘧啶类化疗药物用于局部晚期不可切除或转移性食管或胃食管结合部癌患者的一线治疗。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4.联合培美曲塞和铂类化疗适用于表皮生长因子受体（EGFR）基因突变阴性和间变性淋巴瘤激酶（ALK）阴性的转移性非鳞状非小细胞肺癌（NSCLC）的一线治疗。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5.由国家药品监督管理局批准的检测评估为 PD-L1 肿瘤比例分数（TPS） ≥ 1% 的表皮生长因子受体（EGFR）基因突变阴性和间变性淋巴瘤激酶（ALK）阴性的局部晚期或转移性非小细胞肺癌一线单药治疗。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6.联合卡铂和紫杉醇适用于转移性鳞状非小细胞肺癌（NSCLC）患者的一线治疗。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7.单药用于通过充分验证的检测评估肿瘤表达PD-L1（综合阳性评分（CPS）≥1）的转移性或不可切除的复发性头颈部鳞状细胞癌（HNSCC）患者的一线治疗。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8.单药用于KRAS、NRAS和BRAF基因均为野生型，不可切除或转移性微卫星高度不稳定型（MSI-H）或错配修复基因缺陷型（dMMR）结直肠癌（CRC）患者的一线治疗。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9.单药用于既往接受过索拉非尼或含奥沙利铂化疗的肝细胞癌（HCC）患者的治疗。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10.联合化疗新辅助治疗并在手术后继续帕博利珠单抗单药辅助治疗，用于经充分验证的检测评估肿瘤表达PD-L1（综合阳性评分（CPS）≥20）的早期高危三阴性乳腺癌(TNBC)患者的治疗。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11.单药用于不可切除或转移性微卫星高度不稳定型（MSI-H）或错配修复基因缺陷型（dMMR）成人晚期实体瘤患者：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既往接受过氟尿嘧啶类、奥沙利铂和伊立替康治疗后疾病进展的结直肠癌患者；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既往治疗后疾病进展且无满意替代治疗方案的其他实体瘤。</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12.联合吉西他滨和顺铂用于局部晚期或转移性胆道癌（ BTC ）患者的一线治疗。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13.联合含氟尿嘧啶类和铂类药物化疗用于局部晚期不可切除或转移性HER2-阴性胃或胃食管结合部腺癌患者的一线治疗。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14.联合曲妥珠单抗、含氟尿嘧啶类和铂类药物化疗，用于经充分验证的检测评估肿瘤表达PD-L1（综合阳性评分（CPS）≥1）的局部晚期不可切除或转移性HER2阳性胃或胃食管结合部腺癌患者的一线治疗。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15.联合含铂化疗新辅助治疗并在手术后继续帕博利珠单抗单药辅助治疗，用于可手术切除的Ⅱ、ⅢA和ⅢB期非小细胞肺癌患者。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16.联合放化疗（CRT）用于国际妇产科联盟（FIGO）2014 III-IVA期宫颈癌患者的治疗。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17.联合注射用维恩妥尤单抗用于局部晚期或转移性尿路上皮癌成人患者。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英飞凡</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度伐利尤单抗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肺癌、胆道癌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1.适用于在接受铂类药物为基础的化疗同步放疗后未出现疾病进展的不可切除、III期NSCLC患者的治疗。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2.联合依托泊苷和卡铂或顺铂，作为ES-SCLC成人患者的一线治疗。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3.联合吉西他滨和顺铂用于局部晚期或转移性胆道癌(BTC)成人患者的一线治疗。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可切除的非小细胞肺癌（NSCLC）：本品联合含铂化疗作为新辅助治疗，术后继续以本品作为单药辅助治疗，用于治疗可手术切除的Ⅱ、ⅢA和ⅢB期且无已知表皮生长因子受体（EGFR）突变或间变性淋巴瘤激酶（ALK）重排的成人非小细胞肺癌（NSCLC）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泰圣奇</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阿替利珠单抗注射液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1.本品与卡铂和依托泊苷联合用于广泛期小细胞肺癌（ES-SCLC）患者的一线治疗。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2.阿替利珠单抗单药用于检测评估为≥1%肿瘤细胞（TC）PD-L1 染色阳性、经手术切除、以铂类为基础化疗之后的 II-IIIA*期非小细胞肺癌患者的辅助治疗。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3.本品用于经国家药品监督管理局批准的检测方法评估为≥50%肿瘤细胞 PD-L1 染色阳性（TC≥50%）或肿瘤浸润 PD-L1 阳性免疫细胞（IC）覆盖≥10%的肿瘤面积（IC≥10%）的表皮生长因子受体（EGFR）基因突变阴性和间变性淋巴瘤激酶（ALK）阴性的转移性非小细胞肺癌（NSCLC）一线单药治疗。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4.本品联合培美曲塞和铂类化疗用于表皮生长因子受体（EGFR）基因突变阴性和间变性淋巴瘤激酶（ALK）阴性的转移性非鳞状非小细胞肺癌（NSCLC）患者的一线治疗。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5.本品联合贝伐珠单抗治疗既往未接受过全身系统性治疗的不可切除肝细胞癌患者。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倍利妥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贝林妥欧单抗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治疗成人和儿童复发或难治性CD19阳性的前体B细胞急性淋巴细胞白血病。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爱普盾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肿瘤电场治疗仪</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再鼎医药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脑瘤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与替莫唑胺联用治疗新诊断的胶质母细胞瘤患者，以及作为单药疗法用于治疗复发性胶质母细胞瘤患者。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海芮思</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艾度硫酸酯酶-β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北海康成</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亨特综合征（黏多糖贮积症 II 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治疗亨特综合征（黏多糖贮积症 II 型，MPS 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阿加糖酶β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法布雷病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1.被确诊为法布雷病（Fabry disease，α-半乳糖苷酶A缺乏）患者的长期酶替代疗法。</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2.成人、2 岁及以上的儿童和青少年。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唯铭赞</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依洛硫酸酯酶α</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拜玛林制药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黏多糖贮积症IVA型</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治疗黏多糖贮积症IVA型，MPS 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贝博萨</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奥加伊妥珠单抗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复发性或难治性前体B细胞急性淋巴细胞性白血病（ALL）成年患者。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凯泽百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达妥昔单抗β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百济神州</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神经母细胞瘤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治疗12月龄及以上的高危神经母细胞瘤患者，及伴或不伴有残留病灶的复发或难治性神经母细胞瘤患者。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唯择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阿贝西利</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本品联合内分泌治疗（他莫昔芬或芳香化酶抑制剂）用于激素受体（HR）阳性、人表皮生长因子受体2（HER2）阴性、淋巴结阳性，高复发风险的早期乳腺癌成人患者的辅助治疗。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汉斯状</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斯鲁利单抗注射液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复宏汉霖</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肺癌、食管癌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1.联合卡铂和白蛋白紫杉醇适用于不可手术切除的局部晚期或转移性鳞状非小细胞肺癌（NSCLC）的一线治疗。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2.联合卡铂和依托泊苷适用于广泛期小细胞肺癌（ES-SCLC）的一线治疗。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3.联合含氟尿嘧啶类和铂类药物用于 PD-L1 阳性的不可切除局部晚期/复发或转移性食管鳞状细胞癌（ESCC）的一线治疗。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4.联合培美曲塞和卡铂适用于表皮生长因子受体（EGFR）基因突变阴性和间变性淋巴瘤激酶（ALK）阴性的不可手术切除的局部晚期或转移性非鳞状非小细胞肺癌（NSCLC）的一线治疗。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安尼可</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派安普利单抗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正大天晴/康方</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淋巴瘤、肺癌、鼻咽癌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1.本品适用于至少经过二线系统化疗的复发或难治性经典型霍奇金淋巴瘤成人患者。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2.本品联合紫杉醇和卡铂适用于局部晚期或转移性鳞状非小细胞肺癌（NSCLC）的一线治疗。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3.适用于既往接受过二线及以上系统治疗失败的复发/转移性鼻咽癌成人患者。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4.联合化疗一线治疗复发或转移鼻咽癌（NPC）。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拓达维</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戈沙妥珠单抗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吉利德</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1.治疗既往接受过至少两种系统治疗、且其中至少一种为针对转移性疾病的治疗的不可切除的局部晚期或转移性三阴性乳腺癌（TNBC）成人患者。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2.本品用于治疗既往接受过内分泌治疗且在转移性疾病阶段接受过至少2种其他系统性治疗的不可切除局部晚期或转移性的激素受体（HR）阳性、人类表皮生长因子受体2（HER2）阴性（IHC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适加坦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富马酸吉瑞替尼片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治疗采用经充分验证的检测方法检测到携带 FMS 样酪氨酸激酶 3（FLT3）突变的复发性或难治性急性髓系白血病（AML）成人患者。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达伯坦</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佩米替尼片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Xcelience LLC</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胆管癌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既往至少接受过一种系统性治疗，且经检测确认存在有FGFR2融合或重排的晚期、转移性或不可手术切除的胆管癌成人患者的治疗。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开坦尼</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卡度尼利单抗注射液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康方生物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联合含氟尿嘧啶类和铂类药物化疗用于局部晚期不可切除或转移性胃或胃食管结合部腺癌患者的一线治疗。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19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麟平</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布罗索尤单抗注射液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协和麒麟</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x连锁低磷血症</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1.成⼈和1岁及以上⼉童患者的X连锁低磷⾎症（XLH）；</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2.成⼈⽆法根治性切除或定位的磷酸盐尿性间充质肿瘤相关的肿瘤性⻣软化症（TIO）中的FGF23相关性低磷⾎症。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艾瑞利</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阿得贝利单抗注射液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盛迪医药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与卡铂和依托泊苷联合用于广泛期小细胞肺癌患者的一线治疗。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睿妥</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塞普替尼胶囊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礼来</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1.治疗转染重排(RET)基因融合阳性的局部晚期或转移性非小细胞肺癌(NSCLC)成人患者；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2.需要系统性治疗的晚期或转移性RET突变型甲状腺髓样癌(MTC)成人和12岁及以上儿童患者；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3.需要系统性治疗且放射性碘难治（如果放射性碘适用）的晚期或转移性RET融合阳性甲状腺癌（TC）成人和12岁及以上儿童患者。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法舒克</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注射用拉布立海</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儿童白血病、淋巴瘤患者的尿酸水平控制，这些患者已经存在高尿酸血症或具有高肿瘤负荷，存在肿瘤化疗后引起肿瘤细胞溶解进而导致继发性的血浆尿酸水平升高的风险。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23</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恩维达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恩沃利单抗注射液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先声药业</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24</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逸沃</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伊匹木单抗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百时美施贵宝</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恶性胸膜间皮瘤、结直肠癌、肝癌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1.联合纳武利尤单抗用于不可手术切除的、初治的非上皮样恶性胸膜间皮瘤成人患者。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2.本品联合纳武利尤单抗适用于不可切除或转移性微卫星高度不稳定性（MSI-H）或错配修复缺陷（dMMR）结直肠癌（CRC）患者的一线治疗。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3.联合纳武利尤单抗适用于不可切除或晚期肝细胞癌（HCC）成人患者的一线治疗。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25</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优赫得</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德曲妥珠单抗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第一三共</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胃癌、肺癌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1.单药适用于治疗既往接受过两种或两种以上治疗方案的局部晚期或转移性HER2阳性成人胃或胃食管结合部腺癌患者。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2.单药适用于治疗存在HER2（ERBB2）激活突变且既往接受过至少一种系统治疗的不可切除的局部晚期或者转移性非小细胞肺癌（NSCLC）成人患者。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高罗华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格菲妥单抗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治疗既往接受过至少两线系统性治疗的复发或难治性弥漫大B细胞淋巴瘤（DLBCL）成人患者。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27</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普吉华</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普拉替尼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艾力斯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肺癌、甲状腺癌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1.本品用于转染重排（RET）基因融合阳性的局部晚期或转移性非小细胞肺癌（NSCLC）成人患者的治疗。</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需要系统性治疗的晚期或转移性RET突变型甲状腺髓样癌(MTC)成人和12岁及以上儿童患者的治疗，以及需要系统性治疗且放射性碘难治(如果放射性碘适用)的晚期或转移性RET融合阳性甲状腺癌成人和12岁及以上儿童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737" w:type="dxa"/>
            <w:shd w:val="clear" w:color="auto" w:fill="auto"/>
            <w:noWrap/>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Lysodren</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米托坦</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HRA Pharma</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肾上腺皮质恶性肿瘤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晚期（不可切除、转移性或复发性）肾上腺皮质癌（ACC）的对症治疗。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29</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爱谱沙</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西达本胺片</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微芯生物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联合芳香化酶抑制剂用于激素受体阳性、人表皮生长因子受体-2阴性、绝经后、经内分泌治疗复发或进展的局部晚期或转移性乳腺癌患者。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瑞唯抒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替度格鲁肽</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武田制药</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短肠综合征</w:t>
            </w:r>
          </w:p>
        </w:tc>
        <w:tc>
          <w:tcPr>
            <w:tcW w:w="5093" w:type="dxa"/>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治疗短肠综合征成人和 1 岁及以上儿童患者。仅在患者经过一段时间肠道适应后，病情稳定且依赖肠外营养支持的情况下进行本品治疗。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31</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拓益</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特瑞普利单抗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君实生物</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肝癌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联合贝伐珠单抗用于不可切除或转移性肝细胞癌患者的一线治疗。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32</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康可期</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阿可替尼</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top"/>
              <w:rPr>
                <w:rFonts w:hint="default"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白血病、淋巴瘤</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单药适用于成人慢性淋巴细胞白血病（CLL）/小淋巴细胞淋巴瘤（SLL）患者。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英可欣</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泊那替尼片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武田/大冢制药</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白血病</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1.对既往用药耐药或不耐受的慢性髓性白血病（CML）；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2.复发或难治性费城染色体阳性急性淋巴细胞白血病（Ph+ALL）；</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3.T315I阳性CML或Ph+ALL。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甲磺酸奥希替尼片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接受含铂放化疗期间或之后未出现疾病进展，及具有表皮生长因子受体（EGFR）外显子19缺失或外显子21（L858R）置换突变的局部晚期、不可切除（III期）非小细胞肺癌（NSCLC）成人患者的治疗。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罗圣全</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恩曲替尼胶囊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罗氏</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实体瘤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符合下列条件的成人和 1 月龄以上儿童实体瘤患者，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经充分验证的检测方法诊断为携带神经营养酪氨酸受体激酶（NTRK）融合基因且不包括已知获得性耐药突变，</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患有局部晚期、转移性疾病或手术切除可能导致严重并发症的患者，以及</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 无满意替代治疗或既往治疗失败的患者。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36</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赛可益</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艾沙妥昔单抗注射液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赛诺菲</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1.与硼替佐米、来那度胺和地塞米松联合用药治疗不适合自体干细胞移植（ASCT）的新诊断的多发性骨髓瘤成人患者。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2.与泊马度胺和地塞米松联合用药，治疗既往接受过至少一线治疗（包括来那度胺和蛋白酶体抑制剂）的多发性骨髓瘤成人患者。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泰立珂</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特立妥单抗注射液</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强生/杨森生物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多发性骨髓瘤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单药适用于既往至少接受过三线治疗（包括一种蛋白酶体抑制剂、一种免疫调节剂和一种抗 CD38 单克隆抗体）的复发或难治性多发性骨髓瘤成人患者。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38</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备思复</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注射用维恩妥尤单抗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安斯泰来</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尿路上皮癌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1.本品联合帕博利珠单抗用于局部晚期或转移性尿路上皮癌成人患者。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2.本品用于既往接受过含铂化疗和程序性死亡受体-1（PD-1）或程序性死亡配体-1（PD-L1）抑制剂治疗的局部晚期或转移性尿路上皮癌成人患者。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39</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泽路泰</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注射用替朗妥昔单抗</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ADC Therapeutics/瓴路药业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淋巴瘤</w:t>
            </w:r>
          </w:p>
        </w:tc>
        <w:tc>
          <w:tcPr>
            <w:tcW w:w="5093" w:type="dxa"/>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治疗二线或多线系统治疗后复发或难治性大B细胞淋巴瘤成年患者。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40</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佳泰莱</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注射用芦康沙妥珠单抗</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科伦药业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乳腺癌、</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1.用于既往至少接受过2种系统治疗（其中至少1种治疗针对晚期或转移性阶段）的不可切除的局部晚期或转移性三阴性乳腺癌成人患者。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2.本品用于经表皮生长因子受体（EGFR）酪氨酸激酶抑制剂（TKI）和含铂化疗治疗后进展的 EGFR 基因突变阳性的局部晚期或转移性非鳞状非小细胞肺癌（NSCLC）成人患者的治疗。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41</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泰泽纳</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甲苯磺酸他拉唑帕利胶囊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辉瑞</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前列腺癌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zh-CN"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联合恩扎卢胺用于 HRR 基因突变的转移性去势抵抗性前列腺癌 (mCRPC)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42</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爱优特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呋喹替尼胶囊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和记黄埔</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子宫内膜癌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联合信迪利单抗注射液用于既往系统性抗肿瘤治疗后失败且不适合进行根治性手术治疗或根治性放疗的晚期错配修复完整（pMMR）子宫内膜癌患者。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43</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安方宁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格索雷塞片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正大天晴</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44</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达伯特</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氟泽雷塞片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信达生物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至少接受过一种系统性治疗的鼠类肉瘤病毒癌基因（KRAS）G12C突变型的晚期非小细胞肺癌（NSCLC）成人患者。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45</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派舒宁</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塞纳帕利胶囊</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英派药业</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卵巢癌、输卵管癌、原发性腹膜癌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晚期上皮性卵巢癌、输卵管癌或原发性腹膜癌成人患者在一线含铂化疗达到完全缓解或部分缓解后的维持治疗。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46</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普佑恒</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普特利单抗注射液</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乐普生物</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实体瘤、黑色素瘤</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1.用于不可切除或转移性的高度微卫星不稳定型（MSI-H）或错配修复缺陷型（dMMR）的晚期实体瘤患者：①既往经过氟尿嘧啶类、奥沙利铂和伊立替康治疗后出现疾病进展的晚期结直肠癌患者；②既往至少一线治疗后出现疾病进展且无满意替代治疗方案的其他晚期实体瘤患者。</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2.适用于既往接受全身系统治疗失败的不可切除或转移性黑色素瘤患者。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47</w:t>
            </w:r>
          </w:p>
        </w:tc>
        <w:tc>
          <w:tcPr>
            <w:tcW w:w="9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沃瑞沙</w:t>
            </w:r>
          </w:p>
        </w:tc>
        <w:tc>
          <w:tcPr>
            <w:tcW w:w="982"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赛沃替尼片</w:t>
            </w:r>
          </w:p>
        </w:tc>
        <w:tc>
          <w:tcPr>
            <w:tcW w:w="937"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和黄医药/阿斯利康</w:t>
            </w:r>
          </w:p>
        </w:tc>
        <w:tc>
          <w:tcPr>
            <w:tcW w:w="142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治疗携带间质-上皮转化因子（MET）外显子 14 跳变的局部晚期或转移性非小细胞肺癌（NSCLC）成人患者。（初治）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48</w:t>
            </w:r>
          </w:p>
        </w:tc>
        <w:tc>
          <w:tcPr>
            <w:tcW w:w="950"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瑞必达</w:t>
            </w:r>
          </w:p>
        </w:tc>
        <w:tc>
          <w:tcPr>
            <w:tcW w:w="982"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甲磺酸瑞齐替尼胶囊</w:t>
            </w:r>
          </w:p>
        </w:tc>
        <w:tc>
          <w:tcPr>
            <w:tcW w:w="937"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上海倍而达药业有限公司</w:t>
            </w:r>
          </w:p>
        </w:tc>
        <w:tc>
          <w:tcPr>
            <w:tcW w:w="1425" w:type="dxa"/>
            <w:shd w:val="clear" w:color="auto" w:fill="auto"/>
            <w:vAlign w:val="center"/>
          </w:tcPr>
          <w:p>
            <w:pPr>
              <w:keepNext w:val="0"/>
              <w:keepLines w:val="0"/>
              <w:widowControl/>
              <w:suppressLineNumbers w:val="0"/>
              <w:jc w:val="center"/>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肺癌</w:t>
            </w:r>
          </w:p>
        </w:tc>
        <w:tc>
          <w:tcPr>
            <w:tcW w:w="5093" w:type="dxa"/>
            <w:shd w:val="clear" w:color="auto" w:fill="auto"/>
            <w:vAlign w:val="top"/>
          </w:tcPr>
          <w:p>
            <w:pPr>
              <w:keepNext w:val="0"/>
              <w:keepLines w:val="0"/>
              <w:widowControl/>
              <w:suppressLineNumbers w:val="0"/>
              <w:jc w:val="left"/>
              <w:textAlignment w:val="top"/>
              <w:rPr>
                <w:rFonts w:hint="eastAsia" w:ascii="新宋体" w:hAnsi="新宋体" w:eastAsia="新宋体" w:cs="新宋体"/>
                <w:color w:val="auto"/>
                <w:kern w:val="2"/>
                <w:sz w:val="21"/>
                <w:szCs w:val="21"/>
                <w:lang w:val="en-US" w:eastAsia="zh-CN" w:bidi="ar-SA"/>
              </w:rPr>
            </w:pPr>
            <w:r>
              <w:rPr>
                <w:rFonts w:hint="eastAsia" w:ascii="新宋体" w:hAnsi="新宋体" w:eastAsia="新宋体" w:cs="新宋体"/>
                <w:color w:val="auto"/>
                <w:kern w:val="2"/>
                <w:sz w:val="21"/>
                <w:szCs w:val="21"/>
                <w:lang w:val="en-US" w:eastAsia="zh-CN" w:bidi="ar-SA"/>
              </w:rPr>
              <w:t>限用于：</w:t>
            </w:r>
            <w:r>
              <w:rPr>
                <w:rFonts w:hint="eastAsia" w:ascii="新宋体" w:hAnsi="新宋体" w:eastAsia="新宋体" w:cs="新宋体"/>
                <w:color w:val="auto"/>
                <w:kern w:val="2"/>
                <w:sz w:val="21"/>
                <w:szCs w:val="21"/>
                <w:lang w:val="en-US" w:eastAsia="zh-CN" w:bidi="ar-SA"/>
              </w:rPr>
              <w:br w:type="textWrapping"/>
            </w:r>
            <w:r>
              <w:rPr>
                <w:rFonts w:hint="eastAsia" w:ascii="新宋体" w:hAnsi="新宋体" w:eastAsia="新宋体" w:cs="新宋体"/>
                <w:color w:val="auto"/>
                <w:kern w:val="2"/>
                <w:sz w:val="21"/>
                <w:szCs w:val="21"/>
                <w:lang w:val="en-US" w:eastAsia="zh-CN" w:bidi="ar-SA"/>
              </w:rPr>
              <w:t>具有表皮生长因子受体（EGFR）外显子19缺失或外显子21（L858R）置换突变的局部晚期或复发转移性非小细胞肺癌（NSCLC）成人患者的一线治疗。</w:t>
            </w:r>
          </w:p>
        </w:tc>
      </w:tr>
    </w:tbl>
    <w:p>
      <w:pPr>
        <w:ind w:firstLine="1054" w:firstLineChars="500"/>
        <w:jc w:val="left"/>
        <w:rPr>
          <w:rFonts w:hint="eastAsia" w:ascii="新宋体" w:hAnsi="新宋体" w:eastAsia="新宋体" w:cs="新宋体"/>
          <w:b/>
          <w:color w:val="auto"/>
          <w:szCs w:val="21"/>
        </w:rPr>
      </w:pPr>
      <w:r>
        <w:rPr>
          <w:rFonts w:hint="eastAsia" w:ascii="新宋体" w:hAnsi="新宋体" w:eastAsia="新宋体" w:cs="新宋体"/>
          <w:b/>
          <w:color w:val="auto"/>
          <w:szCs w:val="21"/>
        </w:rPr>
        <w:t>*保险公司将根据国家基本药品目录更新情况，适时调整国内特定高额药品清单</w:t>
      </w:r>
    </w:p>
    <w:p>
      <w:pPr>
        <w:pStyle w:val="17"/>
        <w:spacing w:line="360" w:lineRule="auto"/>
        <w:ind w:firstLine="561"/>
        <w:rPr>
          <w:rFonts w:hint="eastAsia" w:ascii="新宋体" w:hAnsi="新宋体" w:eastAsia="新宋体" w:cs="新宋体"/>
          <w:color w:val="auto"/>
          <w:sz w:val="28"/>
          <w:szCs w:val="28"/>
          <w:highlight w:val="none"/>
          <w:lang w:val="zh-CN"/>
        </w:rPr>
      </w:pPr>
      <w:r>
        <w:rPr>
          <w:rFonts w:hint="eastAsia" w:ascii="新宋体" w:hAnsi="新宋体" w:eastAsia="新宋体" w:cs="新宋体"/>
          <w:b/>
          <w:bCs/>
          <w:color w:val="auto"/>
          <w:sz w:val="28"/>
          <w:szCs w:val="28"/>
          <w:highlight w:val="none"/>
        </w:rPr>
        <w:t>10、</w:t>
      </w:r>
      <w:r>
        <w:rPr>
          <w:rFonts w:hint="eastAsia" w:ascii="新宋体" w:hAnsi="新宋体" w:eastAsia="新宋体" w:cs="新宋体"/>
          <w:b/>
          <w:bCs/>
          <w:color w:val="auto"/>
          <w:sz w:val="28"/>
          <w:szCs w:val="28"/>
          <w:highlight w:val="none"/>
          <w:lang w:val="zh-CN"/>
        </w:rPr>
        <w:t>特约药店</w:t>
      </w:r>
      <w:r>
        <w:rPr>
          <w:rFonts w:hint="eastAsia" w:ascii="新宋体" w:hAnsi="新宋体" w:eastAsia="新宋体" w:cs="新宋体"/>
          <w:color w:val="auto"/>
          <w:sz w:val="28"/>
          <w:szCs w:val="28"/>
          <w:highlight w:val="none"/>
          <w:lang w:val="zh-CN"/>
        </w:rPr>
        <w:t>：特约药店清单如下</w:t>
      </w:r>
    </w:p>
    <w:tbl>
      <w:tblPr>
        <w:tblStyle w:val="9"/>
        <w:tblpPr w:leftFromText="180" w:rightFromText="180" w:vertAnchor="text" w:horzAnchor="page" w:tblpX="1015" w:tblpY="912"/>
        <w:tblOverlap w:val="never"/>
        <w:tblW w:w="10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18"/>
        <w:gridCol w:w="965"/>
        <w:gridCol w:w="3353"/>
        <w:gridCol w:w="2722"/>
        <w:gridCol w:w="23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序号</w:t>
            </w:r>
          </w:p>
        </w:tc>
        <w:tc>
          <w:tcPr>
            <w:tcW w:w="965"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区域</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药房名称</w:t>
            </w:r>
          </w:p>
        </w:tc>
        <w:tc>
          <w:tcPr>
            <w:tcW w:w="272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药房地址</w:t>
            </w:r>
          </w:p>
        </w:tc>
        <w:tc>
          <w:tcPr>
            <w:tcW w:w="2352"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固定电话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上药云健康益药药房（上海）有限公司中山西路店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上海市长宁区中山西路1440号5幢</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021-32093013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上海华氏大药房有限公司总店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上海市长宁区愚园路1435号一楼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021-62131715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国药控股健康关爱（上海）大药房有限公司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上海市长宁区中山西路1001号国药大厦一楼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021-23051999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上海华氏大药房有限公司腾越分店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上海市杨浦区腾越路463号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021-65692233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上海沪丰医药有限公司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上海市杨浦区中原路34弄8号3层1-办公3</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021-65386072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上海上药新特斜土路大药房有限公司</w:t>
            </w:r>
          </w:p>
        </w:tc>
        <w:tc>
          <w:tcPr>
            <w:tcW w:w="2722"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 xml:space="preserve">上海市徐汇区小木桥路268弄1-2号1层106、109室  </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021-55809218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上海康德乐百微药房有限公司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上海市徐汇区虹桥路808号B103室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021-33685859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上海第一医药汇丰大药房有限公司抗肿瘤药店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上海市徐汇区东安路326号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021-64435336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上海宝昌药店有限公司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上海市徐汇区华石路91号1楼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021-50435686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松江</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上海华氏大药房有限公司横港路药房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上海市松江区横港路33、35号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021-67614423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上海华氏大药房有限公司芳华分店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上海市浦东新区芳华路460号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021-58441780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上药云健康益药药房（上海）有限公司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上海市浦东新区凌兆路535号底层15A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021-58498376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国药控股国大药房上海连锁有限公司潍坊店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上海市浦东新区潍坊路182号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021-58305947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闵行</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国药控股虹润医药商务服务（上海）有限公司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上海市闵行区闵北路675号一楼</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021-62203551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上海华山大药房有限责任公司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021-62485674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上海上药新特拾苑大药房有限公司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上海市静安区延长中路300号3幢201-1室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021-56550072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上海雷允上西区药品零售有限公司华山路店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上海市静安区华山路457号底层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021-62498998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上海雷允上西区药品零售有限公司静安店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上海市静安区江宁路332号1层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021-62583074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上海市静安区康宁路1095号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021-56665550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国药控股国大药房上海连锁有限公司南京西路店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上海市静安区南京西路555号1F101-A</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021-62378967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021-54268086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上海第一医药股份有限公司上海市第一医药商店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上海市黄浦区南京东路616号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021-63224567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上海跃信药房有限公司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上海市黄浦区南京西路456号3幢底层-09室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021-63390789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虹口</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上海华氏大药房有限公司新特药商店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上海市虹口区四川北路1525号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021-63073101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上海华氏一德大药房有限公司友谊路分店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上海市宝山区友谊路145号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021-56692463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宝山</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上海北翼国大药材医药有限公司陆翔药房</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上海市宝山区陆翔路125号1-2层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021-56011250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27</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上药云商益药药房（上海）有限公司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上海市徐汇区瑞金南路500号1号楼101,301,302室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021-53390000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28</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上海市圆心大药房有限公司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上海市杨蒲区中原路38弄3号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13901624952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29</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上海圆心顺康大药房有限公司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上海市徐汇区斜土路1636/1638号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15618879561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30</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上海博鑫大药房有限公司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上海市静安区延长中路507号</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021-63062033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31</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静安</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上海高济泽邻大药房有限公司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上海市静安区乌鲁木齐中路5号5-4幢一层、二层,5-1幢二层、三层301室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021-52556833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32</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上海益丰大药房连锁有限公司控江路店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控江路街道控江路1507-1513号（单）部位1- B 、部位2</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021-55951497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33</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长宁</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思派智慧大药房（上海）有限公司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上海市长宁区安顺路88号2号楼1F02室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021-62411608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34</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上海益丰大药房医药有限公司斜土路店</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上海市徐汇区斜土路1400号底层-3室</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021- 64265807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35</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黄浦</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上海上药新特云慈大药房有限公司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上海市黄浦区瑞金二路120号-2临底层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021-64660765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36</w:t>
            </w:r>
          </w:p>
        </w:tc>
        <w:tc>
          <w:tcPr>
            <w:tcW w:w="965"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上海医朵云智慧药房有限公司</w:t>
            </w:r>
          </w:p>
        </w:tc>
        <w:tc>
          <w:tcPr>
            <w:tcW w:w="272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上海市徐汇区宛平南路299号底层</w:t>
            </w:r>
          </w:p>
        </w:tc>
        <w:tc>
          <w:tcPr>
            <w:tcW w:w="2352" w:type="dxa"/>
            <w:tcBorders>
              <w:top w:val="nil"/>
              <w:left w:val="nil"/>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021-64400902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37</w:t>
            </w:r>
          </w:p>
        </w:tc>
        <w:tc>
          <w:tcPr>
            <w:tcW w:w="96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w:t>
            </w:r>
          </w:p>
        </w:tc>
        <w:tc>
          <w:tcPr>
            <w:tcW w:w="3353"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上海上药新特东铵大药房</w:t>
            </w:r>
          </w:p>
        </w:tc>
        <w:tc>
          <w:tcPr>
            <w:tcW w:w="272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徐汇区东安路273号</w:t>
            </w:r>
          </w:p>
        </w:tc>
        <w:tc>
          <w:tcPr>
            <w:tcW w:w="235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021-54271203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38</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上海上药新特大药房希望路店</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嘉定区希望路1008号-1</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021-69896757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trPr>
        <w:tc>
          <w:tcPr>
            <w:tcW w:w="718"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39</w:t>
            </w:r>
          </w:p>
        </w:tc>
        <w:tc>
          <w:tcPr>
            <w:tcW w:w="965"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上海新特思源承荣大药房</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杨浦区江浦路1380-9号</w:t>
            </w:r>
          </w:p>
        </w:tc>
        <w:tc>
          <w:tcPr>
            <w:tcW w:w="235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021-55888189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718"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新宋体" w:hAnsi="新宋体" w:eastAsia="新宋体" w:cs="新宋体"/>
                <w:i w:val="0"/>
                <w:iCs w:val="0"/>
                <w:color w:val="auto"/>
                <w:sz w:val="21"/>
                <w:szCs w:val="21"/>
                <w:u w:val="none"/>
                <w:lang w:val="en-US"/>
              </w:rPr>
            </w:pPr>
            <w:r>
              <w:rPr>
                <w:rFonts w:hint="eastAsia" w:ascii="新宋体" w:hAnsi="新宋体" w:eastAsia="新宋体" w:cs="新宋体"/>
                <w:i w:val="0"/>
                <w:iCs w:val="0"/>
                <w:color w:val="auto"/>
                <w:kern w:val="0"/>
                <w:sz w:val="21"/>
                <w:szCs w:val="21"/>
                <w:u w:val="none"/>
                <w:lang w:val="en-US" w:eastAsia="zh-CN" w:bidi="ar"/>
              </w:rPr>
              <w:t>40</w:t>
            </w:r>
          </w:p>
        </w:tc>
        <w:tc>
          <w:tcPr>
            <w:tcW w:w="96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浦东</w:t>
            </w:r>
          </w:p>
        </w:tc>
        <w:tc>
          <w:tcPr>
            <w:tcW w:w="33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上海镁信智慧药房有限公司</w:t>
            </w:r>
          </w:p>
        </w:tc>
        <w:tc>
          <w:tcPr>
            <w:tcW w:w="272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中国(上海)自由贸易试验区川桥路1065号C栋1层</w:t>
            </w:r>
          </w:p>
        </w:tc>
        <w:tc>
          <w:tcPr>
            <w:tcW w:w="2352"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i w:val="0"/>
                <w:iCs w:val="0"/>
                <w:color w:val="auto"/>
                <w:sz w:val="21"/>
                <w:szCs w:val="21"/>
                <w:u w:val="none"/>
              </w:rPr>
            </w:pPr>
            <w:r>
              <w:rPr>
                <w:rFonts w:hint="eastAsia" w:ascii="新宋体" w:hAnsi="新宋体" w:eastAsia="新宋体" w:cs="新宋体"/>
                <w:i w:val="0"/>
                <w:iCs w:val="0"/>
                <w:color w:val="auto"/>
                <w:kern w:val="0"/>
                <w:sz w:val="21"/>
                <w:szCs w:val="21"/>
                <w:u w:val="none"/>
                <w:lang w:val="en-US" w:eastAsia="zh-CN" w:bidi="ar"/>
              </w:rPr>
              <w:t>021-60603188</w:t>
            </w:r>
          </w:p>
        </w:tc>
      </w:tr>
    </w:tbl>
    <w:p>
      <w:pPr>
        <w:pStyle w:val="17"/>
        <w:spacing w:line="360" w:lineRule="auto"/>
        <w:ind w:firstLine="561"/>
        <w:rPr>
          <w:rFonts w:hint="eastAsia" w:ascii="新宋体" w:hAnsi="新宋体" w:eastAsia="新宋体" w:cs="新宋体"/>
          <w:b/>
          <w:color w:val="auto"/>
          <w:sz w:val="28"/>
          <w:szCs w:val="28"/>
          <w:lang w:val="zh-CN"/>
        </w:rPr>
      </w:pPr>
    </w:p>
    <w:p>
      <w:pPr>
        <w:pStyle w:val="17"/>
        <w:spacing w:line="360" w:lineRule="auto"/>
        <w:ind w:firstLine="561"/>
        <w:rPr>
          <w:rFonts w:hint="eastAsia" w:ascii="新宋体" w:hAnsi="新宋体" w:eastAsia="新宋体" w:cs="新宋体"/>
          <w:color w:val="auto"/>
          <w:sz w:val="28"/>
          <w:szCs w:val="28"/>
          <w:lang w:val="zh-CN"/>
        </w:rPr>
      </w:pPr>
      <w:r>
        <w:rPr>
          <w:rFonts w:hint="eastAsia" w:ascii="新宋体" w:hAnsi="新宋体" w:eastAsia="新宋体" w:cs="新宋体"/>
          <w:b/>
          <w:color w:val="auto"/>
          <w:sz w:val="28"/>
          <w:szCs w:val="28"/>
          <w:lang w:val="zh-CN"/>
        </w:rPr>
        <w:t>11、上海市具备质子、重离子治疗资质的医疗机构：</w:t>
      </w:r>
      <w:r>
        <w:rPr>
          <w:rFonts w:hint="eastAsia" w:ascii="新宋体" w:hAnsi="新宋体" w:eastAsia="新宋体" w:cs="新宋体"/>
          <w:color w:val="auto"/>
          <w:sz w:val="28"/>
          <w:szCs w:val="28"/>
          <w:lang w:val="zh-CN"/>
        </w:rPr>
        <w:t>指经上海市卫生行政部门批准同意后，从事质子、重离子治疗医疗执业活动的医院。</w:t>
      </w:r>
    </w:p>
    <w:p>
      <w:pPr>
        <w:pStyle w:val="17"/>
        <w:spacing w:line="360" w:lineRule="auto"/>
        <w:ind w:firstLine="561"/>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rPr>
        <w:t>12、海外特殊药品目录</w:t>
      </w:r>
    </w:p>
    <w:tbl>
      <w:tblPr>
        <w:tblStyle w:val="10"/>
        <w:tblW w:w="5031" w:type="pct"/>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1362"/>
        <w:gridCol w:w="1325"/>
        <w:gridCol w:w="1668"/>
        <w:gridCol w:w="5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669"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1362"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药品名称</w:t>
            </w:r>
          </w:p>
        </w:tc>
        <w:tc>
          <w:tcPr>
            <w:tcW w:w="1325" w:type="dxa"/>
            <w:noWrap/>
            <w:vAlign w:val="center"/>
          </w:tcPr>
          <w:p>
            <w:pPr>
              <w:keepNext w:val="0"/>
              <w:keepLines w:val="0"/>
              <w:widowControl/>
              <w:suppressLineNumbers w:val="0"/>
              <w:jc w:val="center"/>
              <w:textAlignment w:val="top"/>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厂家</w:t>
            </w:r>
          </w:p>
        </w:tc>
        <w:tc>
          <w:tcPr>
            <w:tcW w:w="1668"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适应病种</w:t>
            </w:r>
          </w:p>
        </w:tc>
        <w:tc>
          <w:tcPr>
            <w:tcW w:w="5000" w:type="dxa"/>
            <w:noWrap/>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适应症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Lumakras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安进</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患有非小细胞肺癌 (NSCLC) 且已扩散到身体其他部位或无法通过手术切除，肿瘤为KRAS G12C阳性，且接受过至少一种既往治疗的患者。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Foscan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佰礼医药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头颈部鳞状癌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头颈颌面眼耳鼻喉部恶性肿瘤（鳞癌）。不能手术或不能放疗化疗的恶性肿瘤。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TALZENNA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辉瑞</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Talazoparib是一种聚腺苷二磷酸核糖聚合酶 (PARP) 抑制剂，适用于治疗有害或疑似有害生殖系 BRCA 突变 (gBRCAm) HER2 阴性局部晚期或转移性乳腺癌成人患者。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TIBSOVO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基石药业/施维雅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1.用于治疗携带IDH1突变的既往经治、局部晚期或转移性胆管癌成人患者。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2.新诊断的IDH1突变的年龄至少75岁或因为其他合并症无法使用强化化疗的AML成人患者。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TRUSELTIQ</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联拓生物</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胆管癌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成人既往接受过治疗的、不可切除的局部晚期或转移性的伴有成纤维细胞生长因子受体 2（FGFR2）融合或其他重排（可通过 FDA 批准的检测方法来检测）的胆管癌患者。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Minjuvi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诺诚健华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与来那度胺联用，随后继续使用Tafasitamab单药治疗，用于治疗复发性或难治性且不适合自体干细胞移植 (ASCT) 的弥漫性大 B 细胞淋巴瘤 (DLBCL) 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Piqray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Piqray与氟维司群联合治疗适用于治疗内分泌方案治疗期间或治疗后出现疾病进展、激素受体（HR）阳性、人表皮生长因子受体2（HER2）阴性、PIK3CA突变的晚期或转移性乳腺癌绝经后女性和男性患者。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MEKTOVI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与Encorafenib联合，用于治疗BRAF V600突变的不可切除或转移性黑色素瘤成人患者。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BRAFTOVI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皮尔法伯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黑色素瘤,结肠直肠癌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1.与binimetinib联合使用，用于治疗患有不可切除性或转移性黑色素瘤伴BRAF V600突变的成年患者。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2.与西妥昔单抗联合使用，用于治疗患有转移性结肠直肠癌（CRC）伴BRAF V600E突变，且曾经接受过系统治疗的成人患者。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Onureg</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强化诱导化疗后首次达到完全缓解（CR）或完全缓解伴血细胞计数不完全恢复（CRi）且不能完成强化治愈性治疗的急性髓系白血病（AML）成人患者的持续治疗。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SIR-Spheres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远大医药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不可切除的晚期肝细胞癌(HCC)成人患者。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Imjudo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Imjudo（Tremelimumab）联合英飞凡（度伐利尤单抗）治疗不可切除肝细胞癌成人患者。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TheraSphere</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波科</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肝癌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治疗原发性和转移性肝脏恶性肿瘤。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Lonsurf</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晚期胃癌三线治疗。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TS-1</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胰腺癌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胰腺癌术后辅助治疗；胰腺癌晚期一线治疗。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Jeselhy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大鹏</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胃肠道间质肿瘤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癌症化疗后恶化的胃肠道间质肿瘤。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Blenrep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LENREP作为一种单药疗法，适用于单药治疗符合下列条件的成年多发性骨髓瘤患者：既往接受过至少四种疗法，对至少一种蛋白酶体抑制剂、一种免疫调节剂，一种抗CD38单克隆抗体难治，末次治疗出现疾病进展的多发性骨髓瘤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TAZVERIK</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和黄医药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上皮样肉瘤、淋巴瘤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1.用于治疗无法完全手术切除的转移性或局部晚期上皮样肉瘤成人及16岁以上儿童患者。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2.用于EZH2突变且既往接受过至少2种全身系统治疗的复发性或难治性滤泡性淋巴瘤成人患者的治疗。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3.用于无合适的可替代治疗方案的复发性或难治性滤泡性淋巴瘤 成人患者的治疗。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Scemblix</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诺华</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SCEMBLIX是一种激酶抑制剂，适用于治疗以下成年患者：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1.既往接受过 ≥ 2种酪氨酸激酶抑制剂（TKI）治疗的费城染色体阳性慢性髓性白血病（Ph+ CML）慢性期（CP）。</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2.携带T315I突变的Ph+ CML慢性期。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Reblozyl</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施贵宝</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骨髓增生异常综合征</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骨髓增生异常综合症（MDS）。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Elacestrant</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赛生医药</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治疗雌激素受体（ER）阳性、人表皮生长因子受体2（HER2）阴性、ESR1基因突变且至少接受一线内分泌治疗后疾病进展的晚期或转移性绝经后女性乳腺癌或成年男性乳腺癌。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Adcetris</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武田</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BV联合AVD方案用于初治儿童HL治疗。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Truqap</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阿斯利康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激素受体（HR）阳性、人表皮生长因子受体2（HER2）阴性、伴有一种或多种生物标志物改变（PIK3CA、AKT1或PTEN)的局部晚期或转移性乳腺癌患者曾接受至少一种内分泌治疗后出现病情进展，或在完成辅助治疗后12个月内复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Jemperli</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葛兰素史克</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子宫内膜癌、实体瘤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 xml:space="preserve">1.用于治疗接受含铂化疗期间或之后病情进展、携带错配修复缺陷（dMMR）的复发或晚期子宫内膜癌患者。 </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2.用于治疗先前疗法治疗期间或之后疾病进展且没有令人满意的替代治疗方案, 错配修复缺陷（dMMR）的复发或晚期实体瘤成人患者。</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3.Jemperli联合卡铂和紫杉醇化疗用于治疗错配修复缺陷（dMMR）或微卫星不稳定性高（MSI-H）的原发性晚期或复发性子宫内膜癌成人患者。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ADSTILADRIN</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辉凌</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膀胱癌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治疗对卡介苗（BCG）无应答的高危非肌层浸润性膀胱癌（NMIBC）伴原位癌（CIS）及伴或不伴乳头状肿瘤的成人患者。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TRODELVY</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吉利德</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乳腺癌</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治疗既往接受过内分泌治疗且在转移性疾病阶段接受过至少 2 种其他系统性治疗的不可切除局部晚期或转移性的激素受体(HR)阳性、人类表皮生长因子受体2(HER2)阴性(IHC 0、IHC 1+或 IHC 2+/ISH-)乳腺癌成人患者。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VORANIGO</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施维雅</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脑瘤</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带有IDH1/2突变的2级脑胶质瘤。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669"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1362"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Vanflyta</w:t>
            </w:r>
          </w:p>
        </w:tc>
        <w:tc>
          <w:tcPr>
            <w:tcW w:w="1325"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第一三共</w:t>
            </w:r>
          </w:p>
        </w:tc>
        <w:tc>
          <w:tcPr>
            <w:tcW w:w="1668" w:type="dxa"/>
            <w:vAlign w:val="center"/>
          </w:tcPr>
          <w:p>
            <w:pPr>
              <w:keepNext w:val="0"/>
              <w:keepLines w:val="0"/>
              <w:widowControl/>
              <w:suppressLineNumbers w:val="0"/>
              <w:jc w:val="center"/>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白血病</w:t>
            </w:r>
          </w:p>
        </w:tc>
        <w:tc>
          <w:tcPr>
            <w:tcW w:w="5000" w:type="dxa"/>
            <w:vAlign w:val="center"/>
          </w:tcPr>
          <w:p>
            <w:pPr>
              <w:keepNext w:val="0"/>
              <w:keepLines w:val="0"/>
              <w:widowControl/>
              <w:suppressLineNumbers w:val="0"/>
              <w:jc w:val="left"/>
              <w:textAlignment w:val="center"/>
              <w:rPr>
                <w:rFonts w:hint="eastAsia" w:ascii="新宋体" w:hAnsi="新宋体" w:eastAsia="新宋体" w:cs="新宋体"/>
                <w:bCs/>
                <w:color w:val="auto"/>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新诊断FLT3ITD阳性急性髓系白血病（AML）。</w:t>
            </w:r>
          </w:p>
        </w:tc>
      </w:tr>
    </w:tbl>
    <w:p>
      <w:pPr>
        <w:spacing w:line="360" w:lineRule="auto"/>
        <w:ind w:firstLine="562" w:firstLineChars="200"/>
        <w:rPr>
          <w:rFonts w:hint="eastAsia" w:ascii="新宋体" w:hAnsi="新宋体" w:eastAsia="新宋体" w:cs="新宋体"/>
          <w:b/>
          <w:color w:val="auto"/>
          <w:sz w:val="28"/>
          <w:szCs w:val="28"/>
          <w:lang w:val="zh-CN"/>
        </w:rPr>
      </w:pPr>
    </w:p>
    <w:p>
      <w:pPr>
        <w:spacing w:line="360" w:lineRule="auto"/>
        <w:ind w:firstLine="562" w:firstLineChars="200"/>
        <w:rPr>
          <w:rFonts w:hint="eastAsia" w:ascii="新宋体" w:hAnsi="新宋体" w:eastAsia="新宋体" w:cs="新宋体"/>
          <w:b/>
          <w:color w:val="auto"/>
          <w:sz w:val="28"/>
          <w:szCs w:val="28"/>
          <w:highlight w:val="none"/>
        </w:rPr>
      </w:pPr>
      <w:r>
        <w:rPr>
          <w:rFonts w:hint="eastAsia" w:ascii="新宋体" w:hAnsi="新宋体" w:eastAsia="新宋体" w:cs="新宋体"/>
          <w:b/>
          <w:color w:val="auto"/>
          <w:sz w:val="28"/>
          <w:szCs w:val="28"/>
          <w:highlight w:val="none"/>
          <w:lang w:val="zh-CN"/>
        </w:rPr>
        <w:t>13、</w:t>
      </w:r>
      <w:r>
        <w:rPr>
          <w:rFonts w:hint="eastAsia" w:ascii="新宋体" w:hAnsi="新宋体" w:eastAsia="新宋体" w:cs="新宋体"/>
          <w:b/>
          <w:color w:val="auto"/>
          <w:sz w:val="28"/>
          <w:szCs w:val="28"/>
          <w:highlight w:val="none"/>
        </w:rPr>
        <w:t>CAR-T治疗指定医院</w:t>
      </w:r>
    </w:p>
    <w:p>
      <w:pPr>
        <w:spacing w:line="360" w:lineRule="auto"/>
        <w:ind w:firstLine="560" w:firstLineChars="200"/>
        <w:rPr>
          <w:rFonts w:hint="eastAsia" w:ascii="新宋体" w:hAnsi="新宋体" w:eastAsia="新宋体" w:cs="新宋体"/>
          <w:bCs/>
          <w:color w:val="auto"/>
          <w:sz w:val="28"/>
          <w:szCs w:val="28"/>
        </w:rPr>
      </w:pPr>
      <w:r>
        <w:rPr>
          <w:rFonts w:hint="eastAsia" w:ascii="新宋体" w:hAnsi="新宋体" w:eastAsia="新宋体" w:cs="新宋体"/>
          <w:bCs/>
          <w:color w:val="auto"/>
          <w:sz w:val="28"/>
          <w:szCs w:val="28"/>
        </w:rPr>
        <w:t>接受复星凯特生物科技有限公司阿基仑赛注射液/上海药明巨诺生物科技有限公司瑞基奥仑赛注射液/恺兴生命科技（上海）有限公司泽沃基奥仑赛注射液</w:t>
      </w:r>
      <w:r>
        <w:rPr>
          <w:rFonts w:hint="eastAsia" w:ascii="新宋体" w:hAnsi="新宋体" w:eastAsia="新宋体" w:cs="新宋体"/>
          <w:bCs/>
          <w:color w:val="auto"/>
          <w:sz w:val="28"/>
          <w:szCs w:val="28"/>
          <w:lang w:val="en-US" w:eastAsia="zh-CN"/>
        </w:rPr>
        <w:t>/驯鹿生物伊基奥仑赛注射液</w:t>
      </w:r>
      <w:r>
        <w:rPr>
          <w:rFonts w:hint="eastAsia" w:ascii="新宋体" w:hAnsi="新宋体" w:eastAsia="新宋体" w:cs="新宋体"/>
          <w:bCs/>
          <w:color w:val="auto"/>
          <w:sz w:val="28"/>
          <w:szCs w:val="28"/>
        </w:rPr>
        <w:t>使用培训和认证的上海市医疗机构</w:t>
      </w:r>
      <w:r>
        <w:rPr>
          <w:rFonts w:hint="eastAsia" w:ascii="新宋体" w:hAnsi="新宋体" w:eastAsia="新宋体" w:cs="新宋体"/>
          <w:bCs/>
          <w:color w:val="auto"/>
          <w:sz w:val="28"/>
          <w:szCs w:val="28"/>
          <w:lang w:eastAsia="zh-CN"/>
        </w:rPr>
        <w:t>，</w:t>
      </w:r>
      <w:r>
        <w:rPr>
          <w:rFonts w:hint="eastAsia" w:ascii="新宋体" w:hAnsi="新宋体" w:eastAsia="新宋体" w:cs="新宋体"/>
          <w:bCs/>
          <w:color w:val="auto"/>
          <w:sz w:val="28"/>
          <w:szCs w:val="28"/>
        </w:rPr>
        <w:t>具体目录如下：</w:t>
      </w:r>
    </w:p>
    <w:tbl>
      <w:tblPr>
        <w:tblStyle w:val="9"/>
        <w:tblW w:w="10025" w:type="dxa"/>
        <w:tblInd w:w="-88" w:type="dxa"/>
        <w:tblLayout w:type="fixed"/>
        <w:tblCellMar>
          <w:top w:w="0" w:type="dxa"/>
          <w:left w:w="108" w:type="dxa"/>
          <w:bottom w:w="0" w:type="dxa"/>
          <w:right w:w="108" w:type="dxa"/>
        </w:tblCellMar>
      </w:tblPr>
      <w:tblGrid>
        <w:gridCol w:w="700"/>
        <w:gridCol w:w="3151"/>
        <w:gridCol w:w="3312"/>
        <w:gridCol w:w="2862"/>
      </w:tblGrid>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医疗机构名称</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医疗机构地址</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center"/>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适用CAR-T药品</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上海市虹口区武进路85号、上海市武进路86号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上海市第一人民医院(南院)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上海市松江区新松江路650号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上海市第六人民医院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上海市徐汇区宜山路600号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华东医院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上海市静安区延安西路221号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上海市第十人民医院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上海市静安区延长中路301号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上海市黄浦区瑞金二路197号(永嘉路口)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上海交通大学医学院附属瑞金医院(北院)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上海市嘉定区双丁路789号、889号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院(东院)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上海市浦东新区浦建路160号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上海市闵行区江月路2000号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上海交通大学医学院附属新华医院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上海市杨浦区控江路1665号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上海市黄浦区制造局路639号、瞿溪路500号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上海交通大学医学院附属第九人民医院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上海市黄浦区普育东路 58 号（黄浦分院）</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上海市同济医院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上海市普陀区新村路389号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上海市徐汇区枫林路180号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上海市静安区乌鲁木齐中路12号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复旦大学附属华山医院(宝山院区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上海市宝山区陆翔路108号(镜泊湖路518号)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上海长海医院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上海市杨浦区长海路168号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上海长征医院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上海市黄浦区凤阳路415号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复旦大学附属肿瘤医院(徐汇院区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上海市徐汇区东安路270号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复旦大学附属肿瘤医院(浦东院区 )</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上海市浦东新区康新公路4333号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复旦大学附属中山医院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上海市闵行区春申路2560 号（上海市老年医学中心）</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上海市浦东新区即墨路150号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上海市东方医院(南院)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上海市浦东新区云台路1800号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中国人民解放军海军特色医学中心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上海市淮海西路 338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复旦大学附属浦东医院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上海市浦东新区惠南镇拱为路2800号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上海市同仁医院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上海市仙霞路1111号/长宁路599号/长宁区</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27</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上海市徐汇区淮海中路966号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28</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中国人民解放军第九O五医院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上海市长宁区华山路1328号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29</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上海市第四人民医院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上海市虹口区三门路1279号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30</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上海市静安区闸北中心医院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上海市中华新路619号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31</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上海交通大学医学院附属仁济医院浦南分院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上海市浦东新区临沂路219号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32</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上海嘉会国际医院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上海市徐汇区桂平路689号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33</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上海闸新中西医结合医院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上海市静安区场中路2516号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34</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上海力泉医院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上海奉贤区海马路 5652 号</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35</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上海曜影医院</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上海市黄浦区宁波路1号申华金融大厦（江西中路350号入口）</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阿基仑赛注射液、瑞基奥仑赛注射液、伊基奥仑赛注射液</w:t>
            </w:r>
          </w:p>
        </w:tc>
      </w:tr>
      <w:tr>
        <w:tblPrEx>
          <w:tblCellMar>
            <w:top w:w="0" w:type="dxa"/>
            <w:left w:w="108" w:type="dxa"/>
            <w:bottom w:w="0" w:type="dxa"/>
            <w:right w:w="108" w:type="dxa"/>
          </w:tblCellMar>
        </w:tblPrEx>
        <w:trPr>
          <w:trHeight w:val="204"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36</w:t>
            </w:r>
          </w:p>
        </w:tc>
        <w:tc>
          <w:tcPr>
            <w:tcW w:w="315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上海国际医学中心</w:t>
            </w:r>
          </w:p>
        </w:tc>
        <w:tc>
          <w:tcPr>
            <w:tcW w:w="331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上海市浦东新区康新公路4358号1号楼、2号楼</w:t>
            </w:r>
          </w:p>
        </w:tc>
        <w:tc>
          <w:tcPr>
            <w:tcW w:w="286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jc w:val="left"/>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r>
    </w:tbl>
    <w:p>
      <w:pPr>
        <w:rPr>
          <w:rFonts w:hint="eastAsia" w:ascii="新宋体" w:hAnsi="新宋体" w:eastAsia="新宋体" w:cs="新宋体"/>
          <w:b/>
          <w:color w:val="auto"/>
          <w:szCs w:val="21"/>
        </w:rPr>
      </w:pPr>
    </w:p>
    <w:p>
      <w:pPr>
        <w:rPr>
          <w:rFonts w:hint="eastAsia" w:ascii="新宋体" w:hAnsi="新宋体" w:eastAsia="新宋体" w:cs="新宋体"/>
          <w:b/>
          <w:color w:val="auto"/>
          <w:szCs w:val="21"/>
          <w:highlight w:val="none"/>
        </w:rPr>
      </w:pPr>
      <w:r>
        <w:rPr>
          <w:rFonts w:hint="eastAsia" w:ascii="新宋体" w:hAnsi="新宋体" w:eastAsia="新宋体" w:cs="新宋体"/>
          <w:b/>
          <w:color w:val="auto"/>
          <w:szCs w:val="21"/>
        </w:rPr>
        <w:t>*医院清单供参考，如有更新，以CAR-T</w:t>
      </w:r>
      <w:r>
        <w:rPr>
          <w:rFonts w:hint="eastAsia" w:ascii="新宋体" w:hAnsi="新宋体" w:eastAsia="新宋体" w:cs="新宋体"/>
          <w:b/>
          <w:color w:val="auto"/>
          <w:szCs w:val="21"/>
          <w:highlight w:val="none"/>
          <w:lang w:val="en-US" w:eastAsia="zh-CN"/>
        </w:rPr>
        <w:t>四</w:t>
      </w:r>
      <w:r>
        <w:rPr>
          <w:rFonts w:hint="eastAsia" w:ascii="新宋体" w:hAnsi="新宋体" w:eastAsia="新宋体" w:cs="新宋体"/>
          <w:b/>
          <w:color w:val="auto"/>
          <w:szCs w:val="21"/>
          <w:highlight w:val="none"/>
        </w:rPr>
        <w:t>家生产企业在官网公示的接受培训和认证的上海市医疗机构为准。</w:t>
      </w:r>
    </w:p>
    <w:p>
      <w:pPr>
        <w:pStyle w:val="17"/>
        <w:spacing w:line="360" w:lineRule="auto"/>
        <w:ind w:firstLine="561"/>
        <w:rPr>
          <w:rFonts w:hint="eastAsia" w:ascii="新宋体" w:hAnsi="新宋体" w:eastAsia="新宋体" w:cs="新宋体"/>
          <w:b/>
          <w:color w:val="auto"/>
          <w:sz w:val="28"/>
          <w:szCs w:val="28"/>
          <w:highlight w:val="yellow"/>
        </w:rPr>
      </w:pPr>
      <w:r>
        <w:rPr>
          <w:rFonts w:hint="eastAsia" w:ascii="新宋体" w:hAnsi="新宋体" w:eastAsia="新宋体" w:cs="新宋体"/>
          <w:b/>
          <w:color w:val="auto"/>
          <w:sz w:val="28"/>
          <w:szCs w:val="28"/>
          <w:highlight w:val="none"/>
        </w:rPr>
        <w:t>14、CAR-T治疗特定药品目录</w:t>
      </w:r>
    </w:p>
    <w:tbl>
      <w:tblPr>
        <w:tblStyle w:val="9"/>
        <w:tblW w:w="10055"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943"/>
        <w:gridCol w:w="850"/>
        <w:gridCol w:w="895"/>
        <w:gridCol w:w="1231"/>
        <w:gridCol w:w="5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序号</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商品名</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通用名</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厂商</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适应病种</w:t>
            </w:r>
          </w:p>
        </w:tc>
        <w:tc>
          <w:tcPr>
            <w:tcW w:w="5436"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b/>
                <w:bCs/>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适应症限制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1</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奕凯达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阿基仑赛注射液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复星凯特生物科技有限公司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本品为经基因修饰的靶向人 CD19 的嵌合抗原受体自体 T (CAR-T) 细胞，用于治疗：</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 一线免疫化疗无效或在一线免疫化疗后 12 个月内复发的成人大 B 细胞淋巴瘤（r/r LBCL）。本适应症为附条件批准上市，上市后将提供更多的有效性和安全性数据。</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 既往接受二线或以上系统性治疗后复发或难治性大 B 细胞淋巴瘤成人患者，包括弥漫性大 B 细胞淋巴瘤（DLBCL）非特指型（NOS），原发纵隔大 B 细胞淋巴瘤（PMBCL）、高级别 B 细胞淋巴瘤和滤泡性淋巴瘤转化的 DLBCL。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2</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倍诺达</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瑞基奥仑赛注射液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上海药明巨诺生物科技有限公司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淋巴瘤</w:t>
            </w:r>
          </w:p>
        </w:tc>
        <w:tc>
          <w:tcPr>
            <w:tcW w:w="5436" w:type="dxa"/>
            <w:shd w:val="clear" w:color="auto" w:fill="auto"/>
            <w:vAlign w:val="center"/>
          </w:tcPr>
          <w:p>
            <w:pPr>
              <w:keepNext w:val="0"/>
              <w:keepLines w:val="0"/>
              <w:widowControl/>
              <w:suppressLineNumbers w:val="0"/>
              <w:jc w:val="left"/>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1.治疗经过二线或以上系统性治疗后成人患者的复发或难治性大B细胞淋巴瘤，包括弥漫性大B细胞淋巴瘤非特指型、 滤泡性淋巴瘤转化的弥漫性大B细胞淋巴瘤、3b级滤泡性淋巴瘤、原发纵隔大B细胞淋巴瘤、高级别B细胞淋巴瘤伴MYC和BCL-2和I或BCL-6重排（双打击／三打击淋巴瘤）。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2.经过二线或以上系统性治疗的成人难治性或24个月内复发的滤泡性淋巴瘤，包括组织学分级为1、2、3a级的滤泡性淋巴瘤。</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3.经过包括布鲁顿酪氨酸激酶抑制剂治疗在内的二线及以上系统性治疗的成人复发或难治性套细胞淋巴瘤。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3</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赛恺泽</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泽沃基奥仑赛注射液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恺兴生命科技（上海）有限公司</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治疗复发或难治性多发性骨髓瘤成人患者，既往经过至少3线治疗后进展（至少使用过一种蛋白酶体抑制剂及免疫调节剂）。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70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4</w:t>
            </w:r>
          </w:p>
        </w:tc>
        <w:tc>
          <w:tcPr>
            <w:tcW w:w="943"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福可苏</w:t>
            </w:r>
          </w:p>
        </w:tc>
        <w:tc>
          <w:tcPr>
            <w:tcW w:w="850"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伊基奥仑赛注射液</w:t>
            </w:r>
          </w:p>
        </w:tc>
        <w:tc>
          <w:tcPr>
            <w:tcW w:w="895"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驯鹿生物</w:t>
            </w:r>
          </w:p>
        </w:tc>
        <w:tc>
          <w:tcPr>
            <w:tcW w:w="1231" w:type="dxa"/>
            <w:shd w:val="clear" w:color="auto" w:fill="auto"/>
            <w:vAlign w:val="center"/>
          </w:tcPr>
          <w:p>
            <w:pPr>
              <w:keepNext w:val="0"/>
              <w:keepLines w:val="0"/>
              <w:widowControl/>
              <w:suppressLineNumbers w:val="0"/>
              <w:jc w:val="center"/>
              <w:textAlignment w:val="center"/>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多发性骨髓瘤</w:t>
            </w:r>
          </w:p>
        </w:tc>
        <w:tc>
          <w:tcPr>
            <w:tcW w:w="5436" w:type="dxa"/>
            <w:shd w:val="clear" w:color="auto" w:fill="auto"/>
            <w:vAlign w:val="top"/>
          </w:tcPr>
          <w:p>
            <w:pPr>
              <w:keepNext w:val="0"/>
              <w:keepLines w:val="0"/>
              <w:widowControl/>
              <w:suppressLineNumbers w:val="0"/>
              <w:jc w:val="both"/>
              <w:textAlignment w:val="top"/>
              <w:rPr>
                <w:rFonts w:hint="eastAsia" w:ascii="新宋体" w:hAnsi="新宋体" w:eastAsia="新宋体" w:cs="新宋体"/>
                <w:color w:val="auto"/>
                <w:kern w:val="0"/>
                <w:sz w:val="21"/>
                <w:szCs w:val="21"/>
              </w:rPr>
            </w:pPr>
            <w:r>
              <w:rPr>
                <w:rFonts w:hint="eastAsia" w:ascii="新宋体" w:hAnsi="新宋体" w:eastAsia="新宋体" w:cs="新宋体"/>
                <w:i w:val="0"/>
                <w:iCs w:val="0"/>
                <w:color w:val="auto"/>
                <w:kern w:val="0"/>
                <w:sz w:val="21"/>
                <w:szCs w:val="21"/>
                <w:u w:val="none"/>
                <w:lang w:val="en-US" w:eastAsia="zh-CN" w:bidi="ar"/>
              </w:rPr>
              <w:t>限用于：</w:t>
            </w:r>
            <w:r>
              <w:rPr>
                <w:rFonts w:hint="eastAsia" w:ascii="新宋体" w:hAnsi="新宋体" w:eastAsia="新宋体" w:cs="新宋体"/>
                <w:i w:val="0"/>
                <w:iCs w:val="0"/>
                <w:color w:val="auto"/>
                <w:kern w:val="0"/>
                <w:sz w:val="21"/>
                <w:szCs w:val="21"/>
                <w:u w:val="none"/>
                <w:lang w:val="en-US" w:eastAsia="zh-CN" w:bidi="ar"/>
              </w:rPr>
              <w:br w:type="textWrapping"/>
            </w:r>
            <w:r>
              <w:rPr>
                <w:rFonts w:hint="eastAsia" w:ascii="新宋体" w:hAnsi="新宋体" w:eastAsia="新宋体" w:cs="新宋体"/>
                <w:i w:val="0"/>
                <w:iCs w:val="0"/>
                <w:color w:val="auto"/>
                <w:kern w:val="0"/>
                <w:sz w:val="21"/>
                <w:szCs w:val="21"/>
                <w:u w:val="none"/>
                <w:lang w:val="en-US" w:eastAsia="zh-CN" w:bidi="ar"/>
              </w:rPr>
              <w:t>治疗复发或难治性多发性骨髓瘤成人患者，既往经过至少 3 线治疗后进展（至少使用过一种蛋白酶体抑制剂及免疫调节剂）。</w:t>
            </w:r>
          </w:p>
        </w:tc>
      </w:tr>
    </w:tbl>
    <w:p>
      <w:pPr>
        <w:pStyle w:val="17"/>
        <w:spacing w:line="360" w:lineRule="auto"/>
        <w:ind w:firstLine="561"/>
        <w:rPr>
          <w:rFonts w:hint="eastAsia" w:ascii="新宋体" w:hAnsi="新宋体" w:eastAsia="新宋体" w:cs="新宋体"/>
          <w:b/>
          <w:color w:val="auto"/>
          <w:sz w:val="28"/>
          <w:szCs w:val="28"/>
        </w:rPr>
      </w:pPr>
    </w:p>
    <w:p>
      <w:pPr>
        <w:pStyle w:val="17"/>
        <w:spacing w:line="360" w:lineRule="auto"/>
        <w:ind w:firstLine="561"/>
        <w:rPr>
          <w:rFonts w:hint="eastAsia" w:ascii="新宋体" w:hAnsi="新宋体" w:eastAsia="新宋体" w:cs="新宋体"/>
          <w:b/>
          <w:color w:val="auto"/>
          <w:sz w:val="28"/>
          <w:szCs w:val="28"/>
        </w:rPr>
      </w:pPr>
    </w:p>
    <w:p>
      <w:pPr>
        <w:rPr>
          <w:rFonts w:hint="eastAsia" w:ascii="新宋体" w:hAnsi="新宋体" w:eastAsia="新宋体" w:cs="新宋体"/>
          <w:b/>
          <w:color w:val="auto"/>
          <w:szCs w:val="21"/>
        </w:rPr>
      </w:pPr>
    </w:p>
    <w:bookmarkEnd w:id="1"/>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4943BE"/>
    <w:rsid w:val="000006BA"/>
    <w:rsid w:val="00001979"/>
    <w:rsid w:val="00004174"/>
    <w:rsid w:val="000046C7"/>
    <w:rsid w:val="00020CA3"/>
    <w:rsid w:val="00044629"/>
    <w:rsid w:val="000466A1"/>
    <w:rsid w:val="00046B96"/>
    <w:rsid w:val="00053110"/>
    <w:rsid w:val="0005704F"/>
    <w:rsid w:val="0006204C"/>
    <w:rsid w:val="00066A78"/>
    <w:rsid w:val="000675EF"/>
    <w:rsid w:val="00070413"/>
    <w:rsid w:val="00082985"/>
    <w:rsid w:val="00085230"/>
    <w:rsid w:val="00086AF1"/>
    <w:rsid w:val="00090EB8"/>
    <w:rsid w:val="000A231E"/>
    <w:rsid w:val="000B33FD"/>
    <w:rsid w:val="000C52C1"/>
    <w:rsid w:val="000C6CB4"/>
    <w:rsid w:val="000D2E25"/>
    <w:rsid w:val="000D5603"/>
    <w:rsid w:val="000E19A3"/>
    <w:rsid w:val="000E459B"/>
    <w:rsid w:val="000E4F48"/>
    <w:rsid w:val="000E77B6"/>
    <w:rsid w:val="000F4509"/>
    <w:rsid w:val="000F4859"/>
    <w:rsid w:val="00101E2B"/>
    <w:rsid w:val="00105D3D"/>
    <w:rsid w:val="00111DB0"/>
    <w:rsid w:val="00122EFF"/>
    <w:rsid w:val="001236DF"/>
    <w:rsid w:val="00131FC8"/>
    <w:rsid w:val="0013387B"/>
    <w:rsid w:val="00142858"/>
    <w:rsid w:val="00143382"/>
    <w:rsid w:val="001460AF"/>
    <w:rsid w:val="00152B4E"/>
    <w:rsid w:val="001532BB"/>
    <w:rsid w:val="00161F22"/>
    <w:rsid w:val="00165537"/>
    <w:rsid w:val="00172CC4"/>
    <w:rsid w:val="00172E77"/>
    <w:rsid w:val="00172F7F"/>
    <w:rsid w:val="00173BA4"/>
    <w:rsid w:val="00175E18"/>
    <w:rsid w:val="00181321"/>
    <w:rsid w:val="00184A3A"/>
    <w:rsid w:val="001866B5"/>
    <w:rsid w:val="00187A9F"/>
    <w:rsid w:val="001A21D4"/>
    <w:rsid w:val="001A3945"/>
    <w:rsid w:val="001A4357"/>
    <w:rsid w:val="001B4349"/>
    <w:rsid w:val="001C351B"/>
    <w:rsid w:val="001D05CE"/>
    <w:rsid w:val="001D370F"/>
    <w:rsid w:val="001D41EC"/>
    <w:rsid w:val="001F232B"/>
    <w:rsid w:val="0020002F"/>
    <w:rsid w:val="00201153"/>
    <w:rsid w:val="00201812"/>
    <w:rsid w:val="00205C07"/>
    <w:rsid w:val="002136FC"/>
    <w:rsid w:val="002149C4"/>
    <w:rsid w:val="00214A43"/>
    <w:rsid w:val="002306C0"/>
    <w:rsid w:val="00235EA1"/>
    <w:rsid w:val="002435C1"/>
    <w:rsid w:val="00243695"/>
    <w:rsid w:val="0025019B"/>
    <w:rsid w:val="00261D53"/>
    <w:rsid w:val="00262935"/>
    <w:rsid w:val="00276CD3"/>
    <w:rsid w:val="002843F5"/>
    <w:rsid w:val="0028494D"/>
    <w:rsid w:val="00285A06"/>
    <w:rsid w:val="00290DB4"/>
    <w:rsid w:val="00293189"/>
    <w:rsid w:val="00295D5B"/>
    <w:rsid w:val="00296BF2"/>
    <w:rsid w:val="002B6D54"/>
    <w:rsid w:val="002C4050"/>
    <w:rsid w:val="002E248F"/>
    <w:rsid w:val="002E78DA"/>
    <w:rsid w:val="002F6A45"/>
    <w:rsid w:val="00307156"/>
    <w:rsid w:val="003228AE"/>
    <w:rsid w:val="003241A8"/>
    <w:rsid w:val="00327E9F"/>
    <w:rsid w:val="00330C26"/>
    <w:rsid w:val="00333CBA"/>
    <w:rsid w:val="0034319F"/>
    <w:rsid w:val="00353943"/>
    <w:rsid w:val="003565B8"/>
    <w:rsid w:val="003642F3"/>
    <w:rsid w:val="003738D3"/>
    <w:rsid w:val="00380CDF"/>
    <w:rsid w:val="00384D9F"/>
    <w:rsid w:val="003850B6"/>
    <w:rsid w:val="003916DA"/>
    <w:rsid w:val="00392111"/>
    <w:rsid w:val="00394CA4"/>
    <w:rsid w:val="003A38C7"/>
    <w:rsid w:val="003A6E46"/>
    <w:rsid w:val="003B12AB"/>
    <w:rsid w:val="003C510A"/>
    <w:rsid w:val="00404238"/>
    <w:rsid w:val="00406232"/>
    <w:rsid w:val="00420F72"/>
    <w:rsid w:val="00430530"/>
    <w:rsid w:val="00435EF7"/>
    <w:rsid w:val="0043776F"/>
    <w:rsid w:val="0044632E"/>
    <w:rsid w:val="00451912"/>
    <w:rsid w:val="004531A2"/>
    <w:rsid w:val="00462BB6"/>
    <w:rsid w:val="00466B37"/>
    <w:rsid w:val="0047108C"/>
    <w:rsid w:val="004770DB"/>
    <w:rsid w:val="0048039D"/>
    <w:rsid w:val="004905E1"/>
    <w:rsid w:val="00497785"/>
    <w:rsid w:val="004A47FA"/>
    <w:rsid w:val="004A7047"/>
    <w:rsid w:val="004B108D"/>
    <w:rsid w:val="004D085B"/>
    <w:rsid w:val="004E1C55"/>
    <w:rsid w:val="004F2AA3"/>
    <w:rsid w:val="004F6182"/>
    <w:rsid w:val="00501E0E"/>
    <w:rsid w:val="00514096"/>
    <w:rsid w:val="00515267"/>
    <w:rsid w:val="00520518"/>
    <w:rsid w:val="00525313"/>
    <w:rsid w:val="00540312"/>
    <w:rsid w:val="00547BD3"/>
    <w:rsid w:val="005554AD"/>
    <w:rsid w:val="005750A1"/>
    <w:rsid w:val="0057511C"/>
    <w:rsid w:val="00580DBB"/>
    <w:rsid w:val="00587EC8"/>
    <w:rsid w:val="00595EE1"/>
    <w:rsid w:val="005A195A"/>
    <w:rsid w:val="005A26E7"/>
    <w:rsid w:val="005B00FC"/>
    <w:rsid w:val="005B6B5B"/>
    <w:rsid w:val="005C1ED0"/>
    <w:rsid w:val="005D44A5"/>
    <w:rsid w:val="005D5117"/>
    <w:rsid w:val="005D6109"/>
    <w:rsid w:val="005F4FDA"/>
    <w:rsid w:val="0060068B"/>
    <w:rsid w:val="00605CD4"/>
    <w:rsid w:val="00607690"/>
    <w:rsid w:val="00626C45"/>
    <w:rsid w:val="00630AB8"/>
    <w:rsid w:val="00632CAF"/>
    <w:rsid w:val="00634AE2"/>
    <w:rsid w:val="00641DDF"/>
    <w:rsid w:val="00666FAE"/>
    <w:rsid w:val="006677AB"/>
    <w:rsid w:val="00696731"/>
    <w:rsid w:val="00697ECC"/>
    <w:rsid w:val="006B05CB"/>
    <w:rsid w:val="006B469B"/>
    <w:rsid w:val="006C0E91"/>
    <w:rsid w:val="006C2BA1"/>
    <w:rsid w:val="006C63EB"/>
    <w:rsid w:val="006D3993"/>
    <w:rsid w:val="006E2135"/>
    <w:rsid w:val="006F4C5B"/>
    <w:rsid w:val="006F7B0E"/>
    <w:rsid w:val="007022AA"/>
    <w:rsid w:val="0070251D"/>
    <w:rsid w:val="00707727"/>
    <w:rsid w:val="00716E6D"/>
    <w:rsid w:val="007226D0"/>
    <w:rsid w:val="00724FCC"/>
    <w:rsid w:val="0073768A"/>
    <w:rsid w:val="00761F0E"/>
    <w:rsid w:val="00762115"/>
    <w:rsid w:val="00764790"/>
    <w:rsid w:val="00776A28"/>
    <w:rsid w:val="00780A76"/>
    <w:rsid w:val="0078275B"/>
    <w:rsid w:val="00783408"/>
    <w:rsid w:val="00787A00"/>
    <w:rsid w:val="00794679"/>
    <w:rsid w:val="00795B7F"/>
    <w:rsid w:val="00797660"/>
    <w:rsid w:val="007978D0"/>
    <w:rsid w:val="007A0D71"/>
    <w:rsid w:val="007A635C"/>
    <w:rsid w:val="007C0991"/>
    <w:rsid w:val="007C2825"/>
    <w:rsid w:val="0080493C"/>
    <w:rsid w:val="0081353E"/>
    <w:rsid w:val="00827EDA"/>
    <w:rsid w:val="0083434A"/>
    <w:rsid w:val="008351FE"/>
    <w:rsid w:val="00843ED7"/>
    <w:rsid w:val="008462C1"/>
    <w:rsid w:val="00846E59"/>
    <w:rsid w:val="008575BF"/>
    <w:rsid w:val="00860D6C"/>
    <w:rsid w:val="0089557A"/>
    <w:rsid w:val="008A0172"/>
    <w:rsid w:val="008A2D92"/>
    <w:rsid w:val="008B1ED5"/>
    <w:rsid w:val="008C0FF7"/>
    <w:rsid w:val="008C6FFB"/>
    <w:rsid w:val="008E6A0B"/>
    <w:rsid w:val="008F011E"/>
    <w:rsid w:val="008F435A"/>
    <w:rsid w:val="00914BA1"/>
    <w:rsid w:val="00920F95"/>
    <w:rsid w:val="0092119D"/>
    <w:rsid w:val="00926974"/>
    <w:rsid w:val="00930B7A"/>
    <w:rsid w:val="00941853"/>
    <w:rsid w:val="00942163"/>
    <w:rsid w:val="00943FE7"/>
    <w:rsid w:val="00944199"/>
    <w:rsid w:val="009507AA"/>
    <w:rsid w:val="009533DA"/>
    <w:rsid w:val="009564AD"/>
    <w:rsid w:val="00960BEE"/>
    <w:rsid w:val="00960E2F"/>
    <w:rsid w:val="009639C2"/>
    <w:rsid w:val="00977CBC"/>
    <w:rsid w:val="00984A66"/>
    <w:rsid w:val="009A6E30"/>
    <w:rsid w:val="009B36EA"/>
    <w:rsid w:val="009B5869"/>
    <w:rsid w:val="009B69EC"/>
    <w:rsid w:val="009B7F3C"/>
    <w:rsid w:val="009C103E"/>
    <w:rsid w:val="009D0332"/>
    <w:rsid w:val="009D1CA7"/>
    <w:rsid w:val="009D5B58"/>
    <w:rsid w:val="009E061C"/>
    <w:rsid w:val="009E4A2F"/>
    <w:rsid w:val="009E596E"/>
    <w:rsid w:val="009E6F81"/>
    <w:rsid w:val="009F33F0"/>
    <w:rsid w:val="009F7170"/>
    <w:rsid w:val="00A01F12"/>
    <w:rsid w:val="00A07D35"/>
    <w:rsid w:val="00A12C8C"/>
    <w:rsid w:val="00A13015"/>
    <w:rsid w:val="00A3576D"/>
    <w:rsid w:val="00A471C2"/>
    <w:rsid w:val="00A50481"/>
    <w:rsid w:val="00A63454"/>
    <w:rsid w:val="00A65632"/>
    <w:rsid w:val="00A6676F"/>
    <w:rsid w:val="00A76412"/>
    <w:rsid w:val="00A901CC"/>
    <w:rsid w:val="00A909BC"/>
    <w:rsid w:val="00AB3B2A"/>
    <w:rsid w:val="00AB510B"/>
    <w:rsid w:val="00AC25BF"/>
    <w:rsid w:val="00AD3BB9"/>
    <w:rsid w:val="00AD416A"/>
    <w:rsid w:val="00AD561A"/>
    <w:rsid w:val="00AE3466"/>
    <w:rsid w:val="00AE617F"/>
    <w:rsid w:val="00AE6ED8"/>
    <w:rsid w:val="00AF2540"/>
    <w:rsid w:val="00AF4307"/>
    <w:rsid w:val="00AF58AF"/>
    <w:rsid w:val="00AF798F"/>
    <w:rsid w:val="00B03F64"/>
    <w:rsid w:val="00B20390"/>
    <w:rsid w:val="00B30F35"/>
    <w:rsid w:val="00B32830"/>
    <w:rsid w:val="00B333F2"/>
    <w:rsid w:val="00B334D6"/>
    <w:rsid w:val="00B36A0D"/>
    <w:rsid w:val="00B5072C"/>
    <w:rsid w:val="00B5211D"/>
    <w:rsid w:val="00B6058E"/>
    <w:rsid w:val="00B64C22"/>
    <w:rsid w:val="00B76868"/>
    <w:rsid w:val="00B80C85"/>
    <w:rsid w:val="00B81D6A"/>
    <w:rsid w:val="00B8557D"/>
    <w:rsid w:val="00B93586"/>
    <w:rsid w:val="00B97490"/>
    <w:rsid w:val="00BA2AEE"/>
    <w:rsid w:val="00BA389C"/>
    <w:rsid w:val="00BA4B37"/>
    <w:rsid w:val="00BB0C23"/>
    <w:rsid w:val="00BC195B"/>
    <w:rsid w:val="00BD7AA6"/>
    <w:rsid w:val="00BE7C7F"/>
    <w:rsid w:val="00BF470A"/>
    <w:rsid w:val="00C03CDD"/>
    <w:rsid w:val="00C04F8B"/>
    <w:rsid w:val="00C12DFE"/>
    <w:rsid w:val="00C14876"/>
    <w:rsid w:val="00C15C68"/>
    <w:rsid w:val="00C20BA2"/>
    <w:rsid w:val="00C244B8"/>
    <w:rsid w:val="00C44402"/>
    <w:rsid w:val="00C629A0"/>
    <w:rsid w:val="00C82ADB"/>
    <w:rsid w:val="00C832AA"/>
    <w:rsid w:val="00C83E57"/>
    <w:rsid w:val="00C97623"/>
    <w:rsid w:val="00C97711"/>
    <w:rsid w:val="00CA76FE"/>
    <w:rsid w:val="00CB3F51"/>
    <w:rsid w:val="00CB60E2"/>
    <w:rsid w:val="00CC38BA"/>
    <w:rsid w:val="00CC6DE2"/>
    <w:rsid w:val="00CD7A09"/>
    <w:rsid w:val="00CF427B"/>
    <w:rsid w:val="00D01727"/>
    <w:rsid w:val="00D01EE8"/>
    <w:rsid w:val="00D06676"/>
    <w:rsid w:val="00D13B1E"/>
    <w:rsid w:val="00D16494"/>
    <w:rsid w:val="00D2560F"/>
    <w:rsid w:val="00D3024A"/>
    <w:rsid w:val="00D31773"/>
    <w:rsid w:val="00D530E8"/>
    <w:rsid w:val="00D61A04"/>
    <w:rsid w:val="00D81321"/>
    <w:rsid w:val="00D81A8A"/>
    <w:rsid w:val="00D86C07"/>
    <w:rsid w:val="00DA3A68"/>
    <w:rsid w:val="00DA7AD3"/>
    <w:rsid w:val="00DB3C7F"/>
    <w:rsid w:val="00DB4C51"/>
    <w:rsid w:val="00DD31DE"/>
    <w:rsid w:val="00DD45D8"/>
    <w:rsid w:val="00DE1881"/>
    <w:rsid w:val="00DF675D"/>
    <w:rsid w:val="00DF6E27"/>
    <w:rsid w:val="00E041D5"/>
    <w:rsid w:val="00E162D2"/>
    <w:rsid w:val="00E17D87"/>
    <w:rsid w:val="00E30585"/>
    <w:rsid w:val="00E35301"/>
    <w:rsid w:val="00E43E94"/>
    <w:rsid w:val="00E470A7"/>
    <w:rsid w:val="00E5369A"/>
    <w:rsid w:val="00E54147"/>
    <w:rsid w:val="00E547AE"/>
    <w:rsid w:val="00E57D26"/>
    <w:rsid w:val="00E71140"/>
    <w:rsid w:val="00E74083"/>
    <w:rsid w:val="00E81374"/>
    <w:rsid w:val="00E814E0"/>
    <w:rsid w:val="00E815C8"/>
    <w:rsid w:val="00E96597"/>
    <w:rsid w:val="00E97E24"/>
    <w:rsid w:val="00EA04B7"/>
    <w:rsid w:val="00EA17D1"/>
    <w:rsid w:val="00EA350C"/>
    <w:rsid w:val="00EB0114"/>
    <w:rsid w:val="00ED2CAB"/>
    <w:rsid w:val="00EE5450"/>
    <w:rsid w:val="00EE74B8"/>
    <w:rsid w:val="00EE759D"/>
    <w:rsid w:val="00EE7779"/>
    <w:rsid w:val="00EF0E8A"/>
    <w:rsid w:val="00EF3F83"/>
    <w:rsid w:val="00EF4726"/>
    <w:rsid w:val="00F14BF3"/>
    <w:rsid w:val="00F306F6"/>
    <w:rsid w:val="00F4199E"/>
    <w:rsid w:val="00F548EE"/>
    <w:rsid w:val="00F5525A"/>
    <w:rsid w:val="00F63FF3"/>
    <w:rsid w:val="00F65919"/>
    <w:rsid w:val="00F65A06"/>
    <w:rsid w:val="00F85040"/>
    <w:rsid w:val="00F8542D"/>
    <w:rsid w:val="00FB7C6D"/>
    <w:rsid w:val="00FC25AA"/>
    <w:rsid w:val="00FC3786"/>
    <w:rsid w:val="00FC4CA0"/>
    <w:rsid w:val="00FC6D57"/>
    <w:rsid w:val="00FD07F6"/>
    <w:rsid w:val="00FD2D7A"/>
    <w:rsid w:val="00FD3EE9"/>
    <w:rsid w:val="00FE2319"/>
    <w:rsid w:val="00FF1803"/>
    <w:rsid w:val="01F4316E"/>
    <w:rsid w:val="043F263B"/>
    <w:rsid w:val="054365AA"/>
    <w:rsid w:val="05CB5152"/>
    <w:rsid w:val="08595C3E"/>
    <w:rsid w:val="08CD6A90"/>
    <w:rsid w:val="09941980"/>
    <w:rsid w:val="0C3F190E"/>
    <w:rsid w:val="0D67340E"/>
    <w:rsid w:val="0F586E52"/>
    <w:rsid w:val="11445362"/>
    <w:rsid w:val="124943BE"/>
    <w:rsid w:val="13367EB4"/>
    <w:rsid w:val="138C3E2B"/>
    <w:rsid w:val="153E5623"/>
    <w:rsid w:val="161426C7"/>
    <w:rsid w:val="169C2BB4"/>
    <w:rsid w:val="16C331C7"/>
    <w:rsid w:val="189E7B72"/>
    <w:rsid w:val="18F275FC"/>
    <w:rsid w:val="1A533DD8"/>
    <w:rsid w:val="1AAE6CE1"/>
    <w:rsid w:val="1B3F1CD3"/>
    <w:rsid w:val="1C0E2925"/>
    <w:rsid w:val="1D3D3D30"/>
    <w:rsid w:val="1E934C90"/>
    <w:rsid w:val="20207CC4"/>
    <w:rsid w:val="203046DB"/>
    <w:rsid w:val="21716B04"/>
    <w:rsid w:val="2186506D"/>
    <w:rsid w:val="21F612C3"/>
    <w:rsid w:val="223A6F72"/>
    <w:rsid w:val="2253695F"/>
    <w:rsid w:val="22CB54AE"/>
    <w:rsid w:val="22E578A7"/>
    <w:rsid w:val="232D40C3"/>
    <w:rsid w:val="23634E39"/>
    <w:rsid w:val="237F064A"/>
    <w:rsid w:val="24E20FDA"/>
    <w:rsid w:val="24E9720E"/>
    <w:rsid w:val="25244FD1"/>
    <w:rsid w:val="25925ED7"/>
    <w:rsid w:val="259A499A"/>
    <w:rsid w:val="26D34C73"/>
    <w:rsid w:val="26DA4F52"/>
    <w:rsid w:val="28662C24"/>
    <w:rsid w:val="28A92C7E"/>
    <w:rsid w:val="28EE1766"/>
    <w:rsid w:val="293615A8"/>
    <w:rsid w:val="295F1070"/>
    <w:rsid w:val="2A2960C4"/>
    <w:rsid w:val="2A4967A0"/>
    <w:rsid w:val="2A536A56"/>
    <w:rsid w:val="2AB3562B"/>
    <w:rsid w:val="2C842D93"/>
    <w:rsid w:val="2CCA6B0B"/>
    <w:rsid w:val="2D0F7EDC"/>
    <w:rsid w:val="2DCA0DD1"/>
    <w:rsid w:val="2DF04DA4"/>
    <w:rsid w:val="2E1732AD"/>
    <w:rsid w:val="300E30A0"/>
    <w:rsid w:val="30D3180D"/>
    <w:rsid w:val="31CD6840"/>
    <w:rsid w:val="32474E46"/>
    <w:rsid w:val="32CB7ACF"/>
    <w:rsid w:val="34054D90"/>
    <w:rsid w:val="343934F3"/>
    <w:rsid w:val="34C309A2"/>
    <w:rsid w:val="38680D58"/>
    <w:rsid w:val="39AA10F0"/>
    <w:rsid w:val="39D53C00"/>
    <w:rsid w:val="3A0606BF"/>
    <w:rsid w:val="3A072566"/>
    <w:rsid w:val="3A144283"/>
    <w:rsid w:val="3B4A231D"/>
    <w:rsid w:val="3B92026C"/>
    <w:rsid w:val="3C061C40"/>
    <w:rsid w:val="3C6C0E2E"/>
    <w:rsid w:val="3C7B2EC6"/>
    <w:rsid w:val="3CE82B0F"/>
    <w:rsid w:val="3D5E2D21"/>
    <w:rsid w:val="3DB8407C"/>
    <w:rsid w:val="3DFC60C1"/>
    <w:rsid w:val="3E303A79"/>
    <w:rsid w:val="3F0124A8"/>
    <w:rsid w:val="404701C5"/>
    <w:rsid w:val="40D53766"/>
    <w:rsid w:val="40D55514"/>
    <w:rsid w:val="41FA784B"/>
    <w:rsid w:val="44F36023"/>
    <w:rsid w:val="45A05EE3"/>
    <w:rsid w:val="46734E9C"/>
    <w:rsid w:val="467C4AB1"/>
    <w:rsid w:val="46872E42"/>
    <w:rsid w:val="477176A9"/>
    <w:rsid w:val="48986256"/>
    <w:rsid w:val="4A3A2080"/>
    <w:rsid w:val="4B3A6E47"/>
    <w:rsid w:val="4B8F3B84"/>
    <w:rsid w:val="4BF103A5"/>
    <w:rsid w:val="4EB359AB"/>
    <w:rsid w:val="4ED66E64"/>
    <w:rsid w:val="4F7534EA"/>
    <w:rsid w:val="4F8E6612"/>
    <w:rsid w:val="4FCB4BC9"/>
    <w:rsid w:val="50BD1283"/>
    <w:rsid w:val="50CE15D0"/>
    <w:rsid w:val="50DD0018"/>
    <w:rsid w:val="51447E21"/>
    <w:rsid w:val="53EA5395"/>
    <w:rsid w:val="54606676"/>
    <w:rsid w:val="54ED5EEC"/>
    <w:rsid w:val="56743063"/>
    <w:rsid w:val="5A282189"/>
    <w:rsid w:val="5A5C6AD6"/>
    <w:rsid w:val="5A9D15F7"/>
    <w:rsid w:val="5ADB421C"/>
    <w:rsid w:val="5C8D0270"/>
    <w:rsid w:val="5E103D5E"/>
    <w:rsid w:val="5F1B5515"/>
    <w:rsid w:val="5FB2478F"/>
    <w:rsid w:val="60835C59"/>
    <w:rsid w:val="61375F29"/>
    <w:rsid w:val="614D06E2"/>
    <w:rsid w:val="619657D0"/>
    <w:rsid w:val="61B32472"/>
    <w:rsid w:val="626522F5"/>
    <w:rsid w:val="631342E0"/>
    <w:rsid w:val="63280B17"/>
    <w:rsid w:val="65164566"/>
    <w:rsid w:val="65282074"/>
    <w:rsid w:val="66B262F1"/>
    <w:rsid w:val="66F416BB"/>
    <w:rsid w:val="67CB1247"/>
    <w:rsid w:val="683E0DAD"/>
    <w:rsid w:val="6844471E"/>
    <w:rsid w:val="687952FC"/>
    <w:rsid w:val="68986D99"/>
    <w:rsid w:val="69222E9E"/>
    <w:rsid w:val="6AED6983"/>
    <w:rsid w:val="6B370F48"/>
    <w:rsid w:val="6C6137A2"/>
    <w:rsid w:val="6CD60E94"/>
    <w:rsid w:val="6DBD6A19"/>
    <w:rsid w:val="6DF95A5A"/>
    <w:rsid w:val="6EC657E1"/>
    <w:rsid w:val="6ED30A35"/>
    <w:rsid w:val="701A668A"/>
    <w:rsid w:val="70400CB6"/>
    <w:rsid w:val="704D13C9"/>
    <w:rsid w:val="70CC7B41"/>
    <w:rsid w:val="71364B3C"/>
    <w:rsid w:val="73982F17"/>
    <w:rsid w:val="7452300A"/>
    <w:rsid w:val="749817CE"/>
    <w:rsid w:val="74A259E7"/>
    <w:rsid w:val="756B07BE"/>
    <w:rsid w:val="759D1E4B"/>
    <w:rsid w:val="75B87CD0"/>
    <w:rsid w:val="75E33798"/>
    <w:rsid w:val="782D529A"/>
    <w:rsid w:val="783C62DC"/>
    <w:rsid w:val="785B5D23"/>
    <w:rsid w:val="79160434"/>
    <w:rsid w:val="79F81948"/>
    <w:rsid w:val="7AAE4CD2"/>
    <w:rsid w:val="7C776E28"/>
    <w:rsid w:val="7D28127F"/>
    <w:rsid w:val="7E412380"/>
    <w:rsid w:val="7F6D7B9F"/>
    <w:rsid w:val="7F71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qFormat/>
    <w:uiPriority w:val="0"/>
    <w:pPr>
      <w:keepNext/>
      <w:keepLines/>
      <w:spacing w:before="260" w:after="260" w:line="413" w:lineRule="auto"/>
      <w:outlineLvl w:val="1"/>
    </w:pPr>
    <w:rPr>
      <w:rFonts w:ascii="Cambria" w:hAnsi="Cambria" w:eastAsia="宋体" w:cs="Times New Roman"/>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8"/>
    <w:semiHidden/>
    <w:unhideWhenUsed/>
    <w:qFormat/>
    <w:uiPriority w:val="0"/>
    <w:pPr>
      <w:jc w:val="left"/>
    </w:pPr>
  </w:style>
  <w:style w:type="paragraph" w:styleId="4">
    <w:name w:val="Balloon Text"/>
    <w:basedOn w:val="1"/>
    <w:link w:val="27"/>
    <w:qFormat/>
    <w:uiPriority w:val="0"/>
    <w:rPr>
      <w:sz w:val="18"/>
      <w:szCs w:val="18"/>
    </w:rPr>
  </w:style>
  <w:style w:type="paragraph" w:styleId="5">
    <w:name w:val="footer"/>
    <w:basedOn w:val="1"/>
    <w:link w:val="21"/>
    <w:qFormat/>
    <w:uiPriority w:val="0"/>
    <w:pPr>
      <w:tabs>
        <w:tab w:val="center" w:pos="4153"/>
        <w:tab w:val="right" w:pos="8306"/>
      </w:tabs>
      <w:snapToGrid w:val="0"/>
      <w:jc w:val="left"/>
    </w:pPr>
    <w:rPr>
      <w:sz w:val="18"/>
      <w:szCs w:val="18"/>
    </w:rPr>
  </w:style>
  <w:style w:type="paragraph" w:styleId="6">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29"/>
    <w:semiHidden/>
    <w:unhideWhenUsed/>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000000"/>
      <w:u w:val="none"/>
    </w:rPr>
  </w:style>
  <w:style w:type="character" w:styleId="13">
    <w:name w:val="Hyperlink"/>
    <w:basedOn w:val="11"/>
    <w:qFormat/>
    <w:uiPriority w:val="0"/>
    <w:rPr>
      <w:color w:val="000000"/>
      <w:u w:val="none"/>
    </w:rPr>
  </w:style>
  <w:style w:type="character" w:styleId="14">
    <w:name w:val="annotation reference"/>
    <w:basedOn w:val="11"/>
    <w:semiHidden/>
    <w:unhideWhenUsed/>
    <w:qFormat/>
    <w:uiPriority w:val="0"/>
    <w:rPr>
      <w:sz w:val="21"/>
      <w:szCs w:val="21"/>
    </w:rPr>
  </w:style>
  <w:style w:type="character" w:customStyle="1" w:styleId="15">
    <w:name w:val="font21"/>
    <w:basedOn w:val="11"/>
    <w:qFormat/>
    <w:uiPriority w:val="0"/>
    <w:rPr>
      <w:rFonts w:hint="eastAsia" w:ascii="楷体" w:hAnsi="楷体" w:eastAsia="楷体" w:cs="楷体"/>
      <w:color w:val="000000"/>
      <w:sz w:val="24"/>
      <w:szCs w:val="24"/>
      <w:u w:val="none"/>
    </w:rPr>
  </w:style>
  <w:style w:type="character" w:customStyle="1" w:styleId="16">
    <w:name w:val="font01"/>
    <w:basedOn w:val="11"/>
    <w:qFormat/>
    <w:uiPriority w:val="0"/>
    <w:rPr>
      <w:rFonts w:hint="eastAsia" w:ascii="楷体" w:hAnsi="楷体" w:eastAsia="楷体" w:cs="楷体"/>
      <w:b/>
      <w:color w:val="FF0000"/>
      <w:sz w:val="24"/>
      <w:szCs w:val="24"/>
      <w:u w:val="none"/>
    </w:rPr>
  </w:style>
  <w:style w:type="paragraph" w:styleId="17">
    <w:name w:val="List Paragraph"/>
    <w:basedOn w:val="1"/>
    <w:qFormat/>
    <w:uiPriority w:val="34"/>
    <w:pPr>
      <w:ind w:firstLine="420" w:firstLineChars="200"/>
    </w:pPr>
  </w:style>
  <w:style w:type="paragraph" w:customStyle="1" w:styleId="18">
    <w:name w:val="_Style 10"/>
    <w:basedOn w:val="1"/>
    <w:next w:val="1"/>
    <w:qFormat/>
    <w:uiPriority w:val="0"/>
    <w:pPr>
      <w:pBdr>
        <w:bottom w:val="single" w:color="auto" w:sz="6" w:space="1"/>
      </w:pBdr>
      <w:jc w:val="center"/>
    </w:pPr>
    <w:rPr>
      <w:rFonts w:ascii="Arial" w:eastAsia="宋体"/>
      <w:vanish/>
      <w:sz w:val="16"/>
    </w:rPr>
  </w:style>
  <w:style w:type="paragraph" w:customStyle="1" w:styleId="19">
    <w:name w:val="_Style 11"/>
    <w:basedOn w:val="1"/>
    <w:next w:val="1"/>
    <w:qFormat/>
    <w:uiPriority w:val="0"/>
    <w:pPr>
      <w:pBdr>
        <w:top w:val="single" w:color="auto" w:sz="6" w:space="1"/>
      </w:pBdr>
      <w:jc w:val="center"/>
    </w:pPr>
    <w:rPr>
      <w:rFonts w:ascii="Arial" w:eastAsia="宋体"/>
      <w:vanish/>
      <w:sz w:val="16"/>
    </w:rPr>
  </w:style>
  <w:style w:type="character" w:customStyle="1" w:styleId="20">
    <w:name w:val="页眉 字符"/>
    <w:basedOn w:val="11"/>
    <w:link w:val="6"/>
    <w:qFormat/>
    <w:uiPriority w:val="0"/>
    <w:rPr>
      <w:rFonts w:asciiTheme="minorHAnsi" w:hAnsiTheme="minorHAnsi" w:eastAsiaTheme="minorEastAsia" w:cstheme="minorBidi"/>
      <w:kern w:val="2"/>
      <w:sz w:val="18"/>
      <w:szCs w:val="18"/>
    </w:rPr>
  </w:style>
  <w:style w:type="character" w:customStyle="1" w:styleId="21">
    <w:name w:val="页脚 字符"/>
    <w:basedOn w:val="11"/>
    <w:link w:val="5"/>
    <w:qFormat/>
    <w:uiPriority w:val="0"/>
    <w:rPr>
      <w:rFonts w:asciiTheme="minorHAnsi" w:hAnsiTheme="minorHAnsi" w:eastAsiaTheme="minorEastAsia" w:cstheme="minorBidi"/>
      <w:kern w:val="2"/>
      <w:sz w:val="18"/>
      <w:szCs w:val="18"/>
    </w:rPr>
  </w:style>
  <w:style w:type="paragraph" w:customStyle="1" w:styleId="22">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23">
    <w:name w:val="标题 2 字符"/>
    <w:basedOn w:val="11"/>
    <w:link w:val="2"/>
    <w:qFormat/>
    <w:uiPriority w:val="0"/>
    <w:rPr>
      <w:rFonts w:ascii="Cambria" w:hAnsi="Cambria"/>
      <w:b/>
      <w:bCs/>
      <w:kern w:val="2"/>
      <w:sz w:val="32"/>
      <w:szCs w:val="32"/>
    </w:rPr>
  </w:style>
  <w:style w:type="character" w:customStyle="1" w:styleId="24">
    <w:name w:val="无间隔 字符"/>
    <w:link w:val="25"/>
    <w:qFormat/>
    <w:uiPriority w:val="1"/>
    <w:rPr>
      <w:rFonts w:ascii="Calibri" w:hAnsi="Calibri"/>
      <w:sz w:val="22"/>
      <w:szCs w:val="22"/>
    </w:rPr>
  </w:style>
  <w:style w:type="paragraph" w:styleId="25">
    <w:name w:val="No Spacing"/>
    <w:link w:val="24"/>
    <w:qFormat/>
    <w:uiPriority w:val="1"/>
    <w:rPr>
      <w:rFonts w:ascii="Calibri" w:hAnsi="Calibri" w:eastAsia="宋体" w:cs="Times New Roman"/>
      <w:sz w:val="22"/>
      <w:szCs w:val="22"/>
      <w:lang w:val="en-US" w:eastAsia="zh-CN" w:bidi="ar-SA"/>
    </w:rPr>
  </w:style>
  <w:style w:type="paragraph" w:customStyle="1" w:styleId="26">
    <w:name w:val="_Style 20"/>
    <w:basedOn w:val="1"/>
    <w:next w:val="17"/>
    <w:qFormat/>
    <w:uiPriority w:val="0"/>
    <w:pPr>
      <w:ind w:firstLine="420" w:firstLineChars="200"/>
    </w:pPr>
    <w:rPr>
      <w:rFonts w:ascii="Calibri" w:hAnsi="Calibri" w:eastAsia="宋体" w:cs="Times New Roman"/>
      <w:szCs w:val="22"/>
    </w:rPr>
  </w:style>
  <w:style w:type="character" w:customStyle="1" w:styleId="27">
    <w:name w:val="批注框文本 字符"/>
    <w:basedOn w:val="11"/>
    <w:link w:val="4"/>
    <w:qFormat/>
    <w:uiPriority w:val="0"/>
    <w:rPr>
      <w:rFonts w:asciiTheme="minorHAnsi" w:hAnsiTheme="minorHAnsi" w:eastAsiaTheme="minorEastAsia" w:cstheme="minorBidi"/>
      <w:kern w:val="2"/>
      <w:sz w:val="18"/>
      <w:szCs w:val="18"/>
    </w:rPr>
  </w:style>
  <w:style w:type="character" w:customStyle="1" w:styleId="28">
    <w:name w:val="批注文字 字符"/>
    <w:basedOn w:val="11"/>
    <w:link w:val="3"/>
    <w:semiHidden/>
    <w:qFormat/>
    <w:uiPriority w:val="0"/>
    <w:rPr>
      <w:rFonts w:asciiTheme="minorHAnsi" w:hAnsiTheme="minorHAnsi" w:eastAsiaTheme="minorEastAsia" w:cstheme="minorBidi"/>
      <w:kern w:val="2"/>
      <w:sz w:val="21"/>
      <w:szCs w:val="24"/>
    </w:rPr>
  </w:style>
  <w:style w:type="character" w:customStyle="1" w:styleId="29">
    <w:name w:val="批注主题 字符"/>
    <w:basedOn w:val="28"/>
    <w:link w:val="8"/>
    <w:semiHidden/>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AE7D2-3588-4FB1-8ABC-1CDD057B4F4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26</Pages>
  <Words>2896</Words>
  <Characters>16508</Characters>
  <Lines>137</Lines>
  <Paragraphs>38</Paragraphs>
  <TotalTime>3</TotalTime>
  <ScaleCrop>false</ScaleCrop>
  <LinksUpToDate>false</LinksUpToDate>
  <CharactersWithSpaces>19366</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2023-04-24T13:46:00Z</dcterms:created>
  <dc:creator>liushiqing</dc:creator>
  <cp:lastModifiedBy>liyuerong-003</cp:lastModifiedBy>
  <cp:lastPrinted>2021-04-26T15:14:00Z</cp:lastPrinted>
  <dcterms:modified xsi:type="dcterms:W3CDTF">2025-04-15T05:07:14Z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CC617B1EA88C4B018B8D0CEB11E76212</vt:lpwstr>
  </property>
</Properties>
</file>