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sz w:val="32"/>
          <w:szCs w:val="32"/>
          <w:lang w:val="en-US" w:eastAsia="zh-CN"/>
        </w:rPr>
      </w:pPr>
      <w:r>
        <w:rPr>
          <w:rFonts w:hint="eastAsia"/>
          <w:sz w:val="32"/>
          <w:szCs w:val="32"/>
          <w:lang w:val="en-US" w:eastAsia="zh-CN"/>
        </w:rPr>
        <w:t>乌合之众：大众心理研究 （法）古斯塔夫·勒庞 阅读笔记</w:t>
      </w:r>
    </w:p>
    <w:sdt>
      <w:sdtPr>
        <w:rPr>
          <w:rFonts w:ascii="宋体" w:hAnsi="宋体" w:eastAsia="宋体" w:cstheme="minorBidi"/>
          <w:kern w:val="2"/>
          <w:sz w:val="21"/>
          <w:szCs w:val="24"/>
          <w:lang w:val="en-US" w:eastAsia="zh-CN" w:bidi="ar-SA"/>
        </w:rPr>
        <w:id w:val="147466342"/>
        <w15:color w:val="DBDBDB"/>
        <w:docPartObj>
          <w:docPartGallery w:val="Table of Contents"/>
          <w:docPartUnique/>
        </w:docPartObj>
      </w:sdtPr>
      <w:sdtEndPr>
        <w:rPr>
          <w:rFonts w:hint="eastAsia" w:asciiTheme="minorHAnsi" w:hAnsiTheme="minorHAnsi" w:eastAsiaTheme="minorEastAsia" w:cstheme="minorBidi"/>
          <w:kern w:val="2"/>
          <w:sz w:val="40"/>
          <w:szCs w:val="56"/>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40"/>
              <w:szCs w:val="48"/>
            </w:rPr>
          </w:pPr>
          <w:r>
            <w:rPr>
              <w:rFonts w:ascii="宋体" w:hAnsi="宋体" w:eastAsia="宋体"/>
              <w:sz w:val="40"/>
              <w:szCs w:val="48"/>
            </w:rPr>
            <w:t>目录</w:t>
          </w:r>
        </w:p>
        <w:p>
          <w:pPr>
            <w:spacing w:before="0" w:beforeLines="0" w:after="0" w:afterLines="0" w:line="240" w:lineRule="auto"/>
            <w:ind w:left="0" w:leftChars="0" w:right="0" w:rightChars="0" w:firstLine="0" w:firstLineChars="0"/>
            <w:jc w:val="center"/>
            <w:rPr>
              <w:rFonts w:ascii="宋体" w:hAnsi="宋体" w:eastAsia="宋体"/>
              <w:sz w:val="40"/>
              <w:szCs w:val="48"/>
            </w:rPr>
          </w:pPr>
          <w:bookmarkStart w:id="3" w:name="_GoBack"/>
          <w:bookmarkEnd w:id="3"/>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pStyle w:val="8"/>
            <w:tabs>
              <w:tab w:val="right" w:leader="dot" w:pos="8306"/>
            </w:tabs>
            <w:rPr>
              <w:sz w:val="36"/>
              <w:szCs w:val="36"/>
            </w:rPr>
          </w:pPr>
          <w:r>
            <w:rPr>
              <w:rFonts w:hint="eastAsia"/>
              <w:sz w:val="56"/>
              <w:szCs w:val="56"/>
              <w:lang w:val="en-US" w:eastAsia="zh-CN"/>
            </w:rPr>
            <w:fldChar w:fldCharType="begin"/>
          </w:r>
          <w:r>
            <w:rPr>
              <w:rFonts w:hint="eastAsia"/>
              <w:sz w:val="56"/>
              <w:szCs w:val="56"/>
              <w:lang w:val="en-US" w:eastAsia="zh-CN"/>
            </w:rPr>
            <w:instrText xml:space="preserve">TOC \o "1-1" \h \u </w:instrText>
          </w:r>
          <w:r>
            <w:rPr>
              <w:rFonts w:hint="eastAsia"/>
              <w:sz w:val="56"/>
              <w:szCs w:val="56"/>
              <w:lang w:val="en-US" w:eastAsia="zh-CN"/>
            </w:rPr>
            <w:fldChar w:fldCharType="separate"/>
          </w:r>
          <w:r>
            <w:rPr>
              <w:rFonts w:hint="eastAsia"/>
              <w:sz w:val="36"/>
              <w:szCs w:val="56"/>
              <w:lang w:val="en-US" w:eastAsia="zh-CN"/>
            </w:rPr>
            <w:fldChar w:fldCharType="begin"/>
          </w:r>
          <w:r>
            <w:rPr>
              <w:rFonts w:hint="eastAsia"/>
              <w:sz w:val="36"/>
              <w:szCs w:val="56"/>
              <w:lang w:val="en-US" w:eastAsia="zh-CN"/>
            </w:rPr>
            <w:instrText xml:space="preserve"> HYPERLINK \l _Toc14772 </w:instrText>
          </w:r>
          <w:r>
            <w:rPr>
              <w:rFonts w:hint="eastAsia"/>
              <w:sz w:val="36"/>
              <w:szCs w:val="56"/>
              <w:lang w:val="en-US" w:eastAsia="zh-CN"/>
            </w:rPr>
            <w:fldChar w:fldCharType="separate"/>
          </w:r>
          <w:r>
            <w:rPr>
              <w:rFonts w:hint="eastAsia"/>
              <w:sz w:val="36"/>
              <w:szCs w:val="36"/>
            </w:rPr>
            <w:t>乌合之众1  勒庞 </w:t>
          </w:r>
          <w:r>
            <w:rPr>
              <w:sz w:val="36"/>
              <w:szCs w:val="36"/>
            </w:rPr>
            <w:tab/>
          </w:r>
          <w:r>
            <w:rPr>
              <w:sz w:val="36"/>
              <w:szCs w:val="36"/>
            </w:rPr>
            <w:fldChar w:fldCharType="begin"/>
          </w:r>
          <w:r>
            <w:rPr>
              <w:sz w:val="36"/>
              <w:szCs w:val="36"/>
            </w:rPr>
            <w:instrText xml:space="preserve"> PAGEREF _Toc14772 </w:instrText>
          </w:r>
          <w:r>
            <w:rPr>
              <w:sz w:val="36"/>
              <w:szCs w:val="36"/>
            </w:rPr>
            <w:fldChar w:fldCharType="separate"/>
          </w:r>
          <w:r>
            <w:rPr>
              <w:sz w:val="36"/>
              <w:szCs w:val="36"/>
            </w:rPr>
            <w:t>1</w:t>
          </w:r>
          <w:r>
            <w:rPr>
              <w:sz w:val="36"/>
              <w:szCs w:val="36"/>
            </w:rPr>
            <w:fldChar w:fldCharType="end"/>
          </w:r>
          <w:r>
            <w:rPr>
              <w:rFonts w:hint="eastAsia"/>
              <w:sz w:val="36"/>
              <w:szCs w:val="56"/>
              <w:lang w:val="en-US" w:eastAsia="zh-CN"/>
            </w:rPr>
            <w:fldChar w:fldCharType="end"/>
          </w:r>
        </w:p>
        <w:p>
          <w:pPr>
            <w:pStyle w:val="8"/>
            <w:tabs>
              <w:tab w:val="right" w:leader="dot" w:pos="8306"/>
            </w:tabs>
            <w:rPr>
              <w:sz w:val="36"/>
              <w:szCs w:val="36"/>
            </w:rPr>
          </w:pPr>
          <w:r>
            <w:rPr>
              <w:rFonts w:hint="eastAsia"/>
              <w:sz w:val="36"/>
              <w:szCs w:val="56"/>
              <w:lang w:val="en-US" w:eastAsia="zh-CN"/>
            </w:rPr>
            <w:fldChar w:fldCharType="begin"/>
          </w:r>
          <w:r>
            <w:rPr>
              <w:rFonts w:hint="eastAsia"/>
              <w:sz w:val="36"/>
              <w:szCs w:val="56"/>
              <w:lang w:val="en-US" w:eastAsia="zh-CN"/>
            </w:rPr>
            <w:instrText xml:space="preserve"> HYPERLINK \l _Toc7020 </w:instrText>
          </w:r>
          <w:r>
            <w:rPr>
              <w:rFonts w:hint="eastAsia"/>
              <w:sz w:val="36"/>
              <w:szCs w:val="56"/>
              <w:lang w:val="en-US" w:eastAsia="zh-CN"/>
            </w:rPr>
            <w:fldChar w:fldCharType="separate"/>
          </w:r>
          <w:r>
            <w:rPr>
              <w:rFonts w:hint="eastAsia"/>
              <w:sz w:val="36"/>
              <w:szCs w:val="36"/>
            </w:rPr>
            <w:t>乌合之众2  勒庞</w:t>
          </w:r>
          <w:r>
            <w:rPr>
              <w:sz w:val="36"/>
              <w:szCs w:val="36"/>
            </w:rPr>
            <w:tab/>
          </w:r>
          <w:r>
            <w:rPr>
              <w:sz w:val="36"/>
              <w:szCs w:val="36"/>
            </w:rPr>
            <w:fldChar w:fldCharType="begin"/>
          </w:r>
          <w:r>
            <w:rPr>
              <w:sz w:val="36"/>
              <w:szCs w:val="36"/>
            </w:rPr>
            <w:instrText xml:space="preserve"> PAGEREF _Toc7020 </w:instrText>
          </w:r>
          <w:r>
            <w:rPr>
              <w:sz w:val="36"/>
              <w:szCs w:val="36"/>
            </w:rPr>
            <w:fldChar w:fldCharType="separate"/>
          </w:r>
          <w:r>
            <w:rPr>
              <w:sz w:val="36"/>
              <w:szCs w:val="36"/>
            </w:rPr>
            <w:t>8</w:t>
          </w:r>
          <w:r>
            <w:rPr>
              <w:sz w:val="36"/>
              <w:szCs w:val="36"/>
            </w:rPr>
            <w:fldChar w:fldCharType="end"/>
          </w:r>
          <w:r>
            <w:rPr>
              <w:rFonts w:hint="eastAsia"/>
              <w:sz w:val="36"/>
              <w:szCs w:val="56"/>
              <w:lang w:val="en-US" w:eastAsia="zh-CN"/>
            </w:rPr>
            <w:fldChar w:fldCharType="end"/>
          </w:r>
        </w:p>
        <w:p>
          <w:pPr>
            <w:bidi w:val="0"/>
            <w:jc w:val="center"/>
            <w:rPr>
              <w:rFonts w:hint="eastAsia"/>
              <w:sz w:val="56"/>
              <w:szCs w:val="56"/>
              <w:lang w:val="en-US" w:eastAsia="zh-CN"/>
            </w:rPr>
          </w:pPr>
          <w:r>
            <w:rPr>
              <w:rFonts w:hint="eastAsia"/>
              <w:sz w:val="40"/>
              <w:szCs w:val="56"/>
              <w:lang w:val="en-US" w:eastAsia="zh-CN"/>
            </w:rPr>
            <w:fldChar w:fldCharType="end"/>
          </w:r>
        </w:p>
      </w:sdtContent>
    </w:sdt>
    <w:p>
      <w:pPr>
        <w:bidi w:val="0"/>
        <w:jc w:val="center"/>
        <w:rPr>
          <w:rFonts w:hint="eastAsia"/>
          <w:sz w:val="32"/>
          <w:szCs w:val="32"/>
          <w:lang w:val="en-US" w:eastAsia="zh-CN"/>
        </w:rPr>
      </w:pPr>
    </w:p>
    <w:p>
      <w:pPr>
        <w:bidi w:val="0"/>
        <w:jc w:val="center"/>
        <w:rPr>
          <w:rFonts w:hint="default"/>
          <w:sz w:val="32"/>
          <w:szCs w:val="32"/>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eastAsia" w:asciiTheme="minorEastAsia" w:hAnsiTheme="minorEastAsia" w:eastAsiaTheme="minorEastAsia" w:cstheme="minorEastAsia"/>
          <w:sz w:val="24"/>
          <w:szCs w:val="24"/>
        </w:rPr>
      </w:pPr>
      <w:bookmarkStart w:id="0" w:name="_Toc14772"/>
      <w:r>
        <w:rPr>
          <w:rStyle w:val="7"/>
          <w:rFonts w:hint="eastAsia"/>
        </w:rPr>
        <w:t>乌合之众1  勒庞 </w:t>
      </w:r>
      <w:r>
        <w:rPr>
          <w:rFonts w:hint="eastAsia" w:asciiTheme="minorEastAsia" w:hAnsiTheme="minorEastAsia" w:eastAsiaTheme="minorEastAsia" w:cstheme="minorEastAsia"/>
          <w:sz w:val="24"/>
          <w:szCs w:val="24"/>
        </w:rPr>
        <w:t>    10月19</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2020 开始</w:t>
      </w:r>
      <w:bookmarkEnd w:id="0"/>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当今的时代就是这种人类的思维正在经历一场转型过程的关键时期之一。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在这样的转型基础下，存在两个基本的因素。第一个因素是宗教、政治和社会信仰的破坏，而我们文明当中的所有因素都植根于此；第二个因素是通过现代科学和工业的探索发现，创造了全新的存在和思维条件。    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我们所有来自古代的信仰开始消失的时候，当古老的社会石柱一根接着一根倒塌的时候，群体的力量就成了唯一不受到任何挑战的力量，而且，它的威望将会继续提升。没错，我们将要步入的时代就是一个群体的时代。       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大群众的要求正变得越来越清晰，就像是要把现有的这个社会给彻底破坏掉一样，持有的想法和原始共产主义紧密相关，但这种共产主义唯有在文明迎来曙光之前，才是所有人类的正常状态。限制劳动时间，把煤矿、铁路、工厂和土地国有化，平等分配所有商品，为了人民群众的利益清除上层阶级——这就是群众要求的内容。   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科学没有破产，它并没有步入当今这种精神上的无政府状态，在这种混乱状态中诞生的全新力量也并非是它所产生出来的。科学为我们承诺的是真理，或至少是我们的智慧所能理解的一些涉及种种关系的知识，但是它从未向我们承诺过和平或快乐。它对我们的感情漠不关心，对我们的哀怨闭耳不闻。我们只能尽力同科学生活在一起，因为没有任何事物可以挽回被它摧毁的幻觉。    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人们在敏锐的哲学家希伯特·斯宾瑟笔下发现的描述相反，在形成一个群体的过程中，完全没有元素的总和或是它们的平均值。真正呈现出来的，是在新的特点的诞生之下形成的组合，就好比某些化学元素一样，当它们进行接触的时候——如碱和酸——会混合在一起形成一种全新的物质，它所拥有的特质和之前那两个组成它的物质的特质完全不同。        24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们在智力上有很大差异，但在直觉、情感和感受上却是非常近似的。在属于情感范畴的每一件事上——宗教、政治、道德、爱心以及同情心等，最出众的人也没比普通人高明多少。从智力上来看，一个伟大的数学家和给他制造靴子的人之间或许存在着巨大的差异，但是，从性格的角度来看，他们之间的差异就变得不那么明显或是压根就不存在。（群体中人的特征）     26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后，我们看到有意识的个性的消失，无意识的个性的得势，思想和感情通过暗示和相互传染的作用而指向相同的方向，在一瞬间将被暗示的想法转变成行动的倾向，这些就是构成群体的个人的主要特点。他不再是他自己，而是成了停止用自己的意愿作为指导的机器人。      31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孤立的个人就像群体里的人一样，服从于同样的刺激因素，但是，他的大脑会把被冲动指示的不明智之举展现在他的眼前，因此，他会约束自己不受其他因素的控制。从心理学的观点来讲述这样的事实就是：孤立的个人拥有掌控自身反射作用的能力，而一个群体则缺少这种能力。      38</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跟着不好的朋友就很容易跟着做平时不敢做的事情，所以我很讨厌男朋友的那些狐朋狗友   38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孤立的个人完全清楚，只靠他自己是不可能放火烧掉宫殿或抢劫商店，倘若他被诱惑所驱使，他也能够很轻易地抗拒这种诱惑。不过在成为群体的一员之后，他能够意识到人数所给予的力量，这已经完全能够让他产生杀人抢劫的想法，而且会在一瞬间屈服于这种诱惑。一个始料未及的阻碍会被狂热的激动情绪所摧毁。     40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没有必要再作补充，群体的夸张倾向只呈现在感情的领域里，完全没有影响到智力。我之前已经表明过，个人一旦成为一个群体的一员，他的智商水平就会立刻大幅度下降。一位有学问的地方官员塔尔德先生，在对犯罪群体进行的研究中证实了这一点。群体仅仅能把感情提升到极高或极低的境界。     63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群体只认识到简单而极端的感情；关于意见、想法和信念，他们要么全部接受，要么完全拒绝；将其看作绝对的真理或绝对的谬论。运用暗示的方法去引诱而不是作出合理解释的信念，一向如此。对宗教信仰的偏执，及其对人民群众的头脑施加的专制统治，是所有人的共识。    63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在孤立个人的生活中，满足于这种本能是十分危险的，当他融入一个不负责任的群体时，因为他心里清楚自己不用为犯了错误埋单，他就会放纵这种本能。   在平日的生活中，我们无法将这些具有毁灭性的本能运用在我们的同伴身上，便将它发泄在动物身上。这种激情很普遍，群体捕猎的热情和凶残有着相同的根源。群体慢慢地屠杀了一个毫无抵抗能力的牺牲者，表现出一种非常懦弱的凶残。但是对于哲学家来说，这种凶残，同数十个聚集在一起的猎人用他们的猎犬追捕和屠杀一只倒霉的小鹿来获得欢乐时表现出的凶残，有着非常密切的联系。      69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没有必要再作补充，群体的夸张倾向只呈现在感情的领域里，完全没有影响到智力。我之前已经表明过，个人一旦成为一个群体的一员，他的智商水平就会立刻大幅度下降。一位有学问的地方官员塔尔德先生，在对犯罪群体进行的研究中证实了这一点。群体仅仅能把感情提升到极高或极低的境界。     63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个人的利益几乎就是孤立的个人唯一的行为动机，却极少会成为群体强大的行为动机。可以断定的是，在群体的智力无法理解的诸多战役中，统领群体的绝对不是个人利益——在这场战争中，他们心甘情愿被人杀掉，就像是被猎人的镜子施了催眠术的云雀一样。    70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刺激群体想象力的并不是事实本身，而是它们产生并且被人们注意的方式。如果我可以自由发表言论的话，我会说，务必对它们进行浓缩，它们才会产生一种充斥思维的、令人感到惊异的形象。只要了解了影响群众想象力的艺术，也就掌握了统治他们的艺术。       91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一个人崇拜一个神的时候，他还算不上是有信仰的人，只有当他把自己大脑中所有的资源、所有自愿的服从行为、发自肺腑的幻想热情，全部奉献给一项事业或一个人，将其作为自己全部思想和行动的目标和标准时，才能说他是一个虔诚的人。        95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历史学家告诉我们，圣巴托洛缪的大屠杀是一个国王所为时，他们对群体心理表现得和君主们一样无知。这种命令的执行只能通过群体的灵魂来实现。最为专横的君主的最绝对的力量所能做的，也只不过是加速或者拖慢它们显露的时间而已。圣巴托洛缪惨案或是法国的宗教战争不仅仅是国王们所为，就好比恐怖统治并不全是罗伯斯庇尔、丹东或圣鞠斯特所为一样。在这些历史事件的最深层，总会发现在起作用的不是统治者的权力，而是群体的灵魂。          102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民族无法挑选最好的制度——相同制度的名称下隐藏着最与众不同的事物——理论上失败的制度，对某些民族却是必要的。5．教育。广为流传的教育影响群众的错误观点——统计学上的说明——拉丁民族教育制度对道德的破坏性作用——不同的民族所表现出来的事例。   105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没有一个第三世界国家可以靠复制美国制度变得强大，同样也不会一个发达国家能够照着中国的思路对内进行改革。</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倘若一个民族使自己的习俗变得根深蒂固，不被动摇，不再发生改变，那么它就会变得跟中国一样，无法改进自己。狂暴的革命在这种情况下是不会产生任何效益的，由此产生的结果，要么是打碎的锁链再一次被拼接在一起，将过去所发生的一切完好地展示出来，要么是对破碎的东西不予理睬，衰落很快就会被无政府的混乱状态所取代。     110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作者从1884年开始研究群众心理，1895年本书出版。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我们姑且看一下这段时间中国发生了什么：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1884年，法国舰队袭击福建水师，马尾海战爆发。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1885年中法签订《停战条件》、1中日签订《天津条约》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1886年中英签订《缅甸条款》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1887年清政府与葡萄牙签订《北京条约》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1890年《中英藏印条约》签订、1890年中英订立《烟台续增专约》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1894年中日两国宣战，甲午战争全面爆发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1895年，《马关条约》签订</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时间把信仰和思想的无尽碎屑积累起来，从而使某个时代产生出它的观念。这些观念并不是随随便便或是偶然成长起来的，它们都深深根植于漫长的过去。当它们开花结果时，正是时间为它们做好了准备。如果想要了解它们的起源，就必须研究它们的过去。它们既是历史的儿女，也是未来的母亲，但是，它们始终都是时间的奴隶。     114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之前阐述的观点中，可以得出这样的结论，不能从制度里寻找深刻影响群体思想的方法。当我们看到一些国家，例如美利坚合众国，在民主制度下实现了国家的高度繁荣，而反观另一些国家，例如那些以西班牙人为主的美洲共和国，在极为相似的制度下，却处于一种可悲的无政府状态中，我们应当承认，这种制度同一个民族的伟大和另一个民族的衰落并无任何关联。群体是由他们的性格所掌控的，那些不是由群体的内在性格塑造而成的制度，都不过是一件借来的衣服，一种短暂的伪装。      120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非常适用于拉丁民族秉性的教育体制，主要的危险来自一个事实，即它建立在根本错误的心理学观点之上，认为智力是通过认真学好教科书来提高的。采用了这一观点，人们开始竭尽全力地逼迫自己学习许多手册上面的知识。从上小学一直到大学毕业，一个年轻人除了用心牢记课本上的知识以外，什么都不会做，他的判断力或个人的主动性从来都没有实践过。就他而言，受教育只不过是死记硬背和绝对服从。    124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想到福尔摩斯，“我为什么要知道太阳系有几大行星，这对我毫无意义，如果有一天我不小心知道了，我也会将它清出我的大脑，就像仓库一样，我总不能装些无用的东西”      127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这句话写得真是带有法国色彩，首先，我非常喜欢法国的文学艺术时尚浪漫，但是我还是得说——法国人懒惯了，要喝下午茶，要自由要罢工，作者当然希望他们回到田野干活，回到工厂做事了。我们中国人到哪里都是勤勤恳恳、兢兢业业的，凭自己的实力获得尊敬和欣赏。看别人的书要放到具体的环境去看。   127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个世纪的哲学家疯狂地将精力投入到对宗教、政治和社会幻觉的毁灭之中，我们的祖辈已在这种幻觉中生活了很长时间。他们摧毁了这些幻觉，希望和顺从的源泉也随之干涸。幻想遭到毁灭之后，他们同盲目、安静的自然力量针锋相对，它们会无情地对待软弱，忽视怜悯之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论哲学取得了多大进步，它都无法为群体提供任何能够令他们为之痴迷的理想。而群体会不惜一切代价，得到属于自己的幻想，于是他们就像昆虫寻找光亮一样，在本能的驱使下，转向那些能够迎合他们需求的雄辩家。      154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般来说，一代人的经验对于下一代人来说是没有利用价值的。这就是一些被当作证据援引的历史事实无法达成目的的原因。它们唯一的功能就是向人们证明了，经验就算是想要成功动摇根植于群体思想中的错误观念，也需要一代又一代不间断地出现。       156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甚至没有必要把自己降低到原始人的状态，就能知道同感情对抗的理性是多么软弱无力。我们只要思考一下，就在几百年前，同最简单的逻辑相矛盾的宗教迷信是多么顽强和坚韧。因为在将近两千年的时间里，最光辉夺目的天才也会拜倒在规矩的面前，只是从现在来看，它们的真实性受到了一点挑战。中世纪和文艺复兴时期涌现出了许多非常有才华的人，但是在他们当中没有一个人能够利用理性，来认识到迷信中极为幼稚的一面，或是对恶魔的罪行或烧死巫师的必要性表现出丝毫的怀疑。    160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那么，我们还是把理性留给哲学家，不要太过于强烈地坚持对人的统治。文明的主要动力并不是理性，尽管存在理性，但文明的动力是各种感情，包括荣耀、自我牺牲、宗教信仰、爱国主义以及对荣誉的爱。   162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所说的领袖更有可能是敢于行动的人而不是思想家。他们生来并不具备敏锐的洞察力，他们也不可能如此，因为通常这种品质会令人犹疑不决。尤其是在那些病态的紧张、易冲动的、半癫狂的即处于疯狂边缘的那类人当中，极易产生这样的人。他们赞成的观念或是追求的目标或许会很荒谬，但是他们的信念非常坚定，以至于所有的理性思维对他们都不起作用。     166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在人类所能支配的所有力量当中，信仰的力量往往是最强大的，福音书上说，信仰具备移动山峦的力量。赋予一个人信仰，就等于让他的力量增加了十倍。       168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从我们刚刚援引的情况来看，我们关注的是那些伟大的领袖，他们人数很少，历史学家能够轻易唤起他们的名字。他们形成了一个连续形态的顶峰，它的上面是拥有至高无上权力的主人，下面是庸庸碌碌的工人，在一个满是烟雾的小酒馆里，他们不间断地给自己同伴的耳朵里灌输着只言片语，慢慢地让他们入迷。       169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虽然这一类领袖的精力是一种应该被考虑的力量，但是这种力量是稍纵即逝的，几乎不可能维持到令其发挥作用的兴奋事件之后。当英雄回到日常的生活中时，就像我刚才讲到的情况一样，他们会暴露出最令人震惊的性格弱点。他们看起来并不能在最简单的情况下，进行思考和支配自己的行动，尽管他们具备领导别人的能力。他们是这样一种领袖，他们无法实践自己的能力，除非他们自身受到支配并持续地受到刺激，总是受到某个人或某个想法的引导，有明确划定的行动路线可供他们遵循。     172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大的、具有持久性的意志到底能产生什么结果，德·雷赛布为我们提供了一个最近的例子。他把这个世界分为了东方世界和西方世界，完成了最伟大的统治者在三千年里都没有尝试成功的任务。他随后又进行了一次跟这个任务非常类似的实验，但是失败了。不过那是因为他的高龄干扰到了他的研究，任何事情，甚至是意志力都要屈从于人的衰老。    173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领袖的动员手段：断言、重复和传染    175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作出纯粹简洁的断言，不去考虑任何推理和证据，是让一种观念走进群众头脑最行之有效的办法之一。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然而，如果没有持续地重复断言——而且要尽最大可能保持措辞一致——它仍不会产生真正意义上的影响。我相信拿破仑曾经说过，只有一个修辞法极为重要，那就是重复。被断言的事情，是通过持续地重复才在头脑中稳定下来，并且这种方式最后能够让人把它看作得到证实的真理接受下来。     177</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学习广告专业的我想起了脑白金的轰炸广告，今年过节不收礼，收礼只收脑白金。这个也算是断言和重复，虽然是烂广告，但是效果却十分的好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钻石恒久远 一颗永流传 这句话可能也近代最成功的营销了 断言＋重复      重复的断言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177</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倘若一个断言能够得到有效的重复，在这种重复中就不会再存在异议，就好比在一些举世瞩目的金融项目中，有钱人拥有足够的金钱收买所有参与者一样，此时，所谓的大众流行观念就会形成，传染的强大机制就会在此启动。不同的观念、感情、情绪和信念，在群众中都具有和病菌一样强大的传染力。这是一种非常自然的现象，因为甚至在成群结队聚集在一起的动物身上，也能够看到这种现象。倘若马厩里有一匹马用蹄子踢它的饲养员，那么马厩里的另一匹马也会模仿它；几只羊受到惊吓，很快就会把这种恐慌蔓延到整个羊群。   179    重复，断言，传染</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他们所获得的有关这个暴发户到底怎么强大的描述，奥热罗打算用蛮横的方式对其不予理睬：一个巴拉斯的宠儿，一个因旺代事件而得到将军头衔的人，他在学校里的成绩就是在大街上打架，相貌平庸，有着数学家和梦想家的名望。他们被带了过来，波拿巴让他们在外边等着。终于，他佩戴着自己的剑出现在他们面前。他戴上了帽子，解释了他采取的措施，发出命令，然后让他们离开。奥热罗始终都一言不发。只有当他走出大门后他才重新找回了自信，让自己可以像往常那样大大咧咧地讲话。他非常赞同马塞纳的看法，这个小矮个儿魔鬼将军让他感到无比敬畏，他无法理解那种一下子就将他压倒的气魄。  192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平易近人是褒义的词语，但在建立名望时，尊卑有致的礼仪，更加有效。波拿巴显然具有这种领导力天赋。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他的名望比他的寿命长久得多，而且与日俱增。他的名望让他的一个名不见经传的侄子成了帝王。就算在今天他的传奇故事仍旧不绝于耳，这完全能够看出对他的怀念是多么强烈。（写拿破仑）  195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上论述可以得知，名望的起源与若干因素有关，在这其中成功永远是最重要的一个因素。每一位成功人士，每个被承认的观念，仅仅因为成功这一事实，就不会再受到人们的质疑。成功是登上名望的主要台阶，它的证据就是成功一旦消失，名望基本上总是会随着它一起消失。昨天还在受群众爱戴的英雄一旦败下阵来，今天就会受到群众的辱骂。       200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安逸，稳定，多少人的追求呀，不愿改变，很难会有进步，就拿病毒来说，艾滋一直变，所以你就干不掉它      202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稍纵即逝的意见影响群众的头脑并不难，若是想让一种信仰长时间扎根于此却殊为不易。然而，一旦这种信念被证实确立，要想彻底根除它也同样困难。一般来讲，只有暴力革命才能对它们进行变革。甚至当信念几乎不能再掌控人们的头脑时，也要求助于革命的帮助。在这种情况下，革命的作用是对几乎已经被人抛在一边的东西做最后的清除，因为习惯的力量能够阻碍人们彻底地放弃它们。从现实的角度来讲，一场革命的开始，就是一种信念的结束。          204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民族在捍卫他们的意见时，总会表现出不容忍的态度，这显然是有原因的。这种对哲学批判表现出的不容忍的态度，代表着一个民族的生命中至关重要的品质。在中世纪，正是为了发现或是坚持普遍的信仰，才使得众多的发明家和创新主义者被送上了火刑柱，即使他们逃脱了殉难，也难免在绝望中死去。也正是为了捍卫这些信念，世界上才会出现如此多令人惊骇的恐怖场景，数百万人战死沙场或将要死在那里。        206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主义者做出的将来自不同国家的工人阶级代表聚集在一起的努力，最后往往以公开的分歧收场。拉丁民族的群体，无论是拥有强烈的革命精神，还是犹如人们猜想的那样保守，都会求助于国家的干涉来实现自己的要求。它总是非常高调地倾向于集权，总是或明或暗地支持独裁专制。英格兰或是美国的群体，则与之恰恰相反，他们从来都不会看重国家，只会对个人的主动精神感兴趣。法国的群体尤其关注人人平等，英国的群体则更加看重自由。这些不同民族之间的差异，解释了为何几乎有多少个国家就有多少不同形式的社会主义和民主。      228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种族的气质会在一个群体的秉性之上施加一种至高无上的影响力。这是一种决定性的力量，它限制了群体性格的变化。一条基本定律就是，因为种族的精神力量非常强大，群体的次要性格在相较之下并不十分重要。      229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服从别人的暗示，它会因为来自集体而更加强大，谋杀者会认为自己做了一件非常值得夸耀的事情，既然他获得了来自他的同胞们的一致赞同，那么他有这样的想法就显得不足为奇了。从法律的角度来看，这种行为可以视为犯罪，在心理上却不是犯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犯罪群体的普遍特征与我们所遇到的其他所有的群体特征并无不同：易受怂恿，轻信，易变，把无论是好还是坏的感情加以夸大，展现出某种道德，等等。      235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在这个过程中，欢乐的状态从未间断。人们在尸体旁边又跳又唱，凳子全都被安排成了“女士专用”，以让她们高兴地目睹贵族被处死。而且，这种表演一直表现出一种特别的正义氛围。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阿巴耶的刽子手曾经抱怨道，为了让女士们看得清楚，把她们安排得太近了，在场只有极少数的人享受了杀掉贵族带来的快感。于是人们决定让被行刑的人缓慢地从两排刽子手之间经过，让行刑者用刀背砍他，借此延长他遭受痛苦的时间。在福斯监狱，被行刑的人会被扒得一点也不剩，在半个小时内施以“凌迟”，当所有的观众都心满意足地观看了这个过程后，再用刀切开他们的内脏，了结他们的性命。            238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1" w:name="_Toc7020"/>
      <w:r>
        <w:rPr>
          <w:rFonts w:hint="eastAsia"/>
        </w:rPr>
        <w:t>乌合之众2  勒庞</w:t>
      </w:r>
      <w:bookmarkEnd w:id="1"/>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我从有关拉肖的报道中摘录一段反映上述观点的趣闻逸事：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众所周知，拉肖在刑庭审判过程的所有演说之中，坚决不会让自己的视线离开两三个他知道或感受到既有影响力又非常固执的陪审员。通常他会把这些难以驾驭的陪审员争取过来。但是有一次在外省，他被迫同一个陪审员进行辩论，他花费了大半个小时，利用巧妙的论证，也无法有效地说服他。这个人是第七陪审员，第二排长椅上的第一个人。局面令人绝望。突然之间，在激情的辩护过程中，拉肖稍微停顿了一小会儿，他向法官说道：“尊敬的法官可不可以下达命令，将前面的窗帘放下来？第七陪审员已经被太阳光照得头晕眼花了。”那个陪审员脸红起来，他笑着致以谢意。他被争取到辩方的阵营中来。     248</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这就跟我们说的：“拿人手短吃人嘴软”的道理是一样的。受到了他人的恩惠以后，会不由自主对对方产生好感并进而表达支持。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厉害了，律师真是可以察言观色，在激烈的竞争中还带有默默地关心。最终建立了信任赢得了官司</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这句话说得很智慧，不但表现了对陪审员的关心；也暗示陪审员可能因被晒得头晕眼花，而对案情评判失误，甚至陪审员本人也可能会这么想。</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对所有人都一视同仁的法律条文，从原则上来讲，绝不会在意或是察觉特殊案例。法官都是毫无怜悯之心的，他们除了遵照法律条文之外，不会留意任何事情，拥有职业严谨性的法官会对以杀人罪受到指控的强盗，同因为贫困以及受到色诱者的抛弃，被逼无奈杀婴的可怜姑娘，实施同样的刑罚。从另一个方面来讲，陪审团本能地感觉到被色诱的女孩犯下的罪行要远比色诱者轻得多，她理应得到法律的宽恕。      251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人性的良知及道德的怜悯有效的调和了法律的不足。事实上法律不足以在每个个案呈现出绝对公正，在人类文明史中反复证明了永远也不能做到这一点。法制加上人治或许是一个有效的解决途径。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熟悉了身份团体的心理，以及其他群体的心理之后，对于一个受到错误指控的刑事案件来说，我绝不可能还认为，我不应该去找陪审团商议此事，而应该去找地方官。从前者那里我或许还有些许的机会让人们看到我的清白，而让后者承认错误的机会却微乎其微。群体的权力令人感到畏惧，然而，有些身份团体的权力更让人畏惧。    252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拥有名望还不足以确保一个候选人取得成功。选民们尤其看重他所表现出来的贪婪和虚荣。他必须用夸张的甜言蜜语说服选民，要毫不犹豫地向选民们做出最异想天开的承诺。      256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选举权加以限制，如果有必要的话，将这种权利限制在智力水平高的人之中，这样做能改善群体的投票结果吗？我绝不会承认这就是事实，这些都是建立在我所说过的理由的基础之上，也就是说，所有的集体，无论其人员构成如何，全都患有智力低下的病症。在群体当中，人们总是倾向于变得智力平平，在普遍性的问题上，40位科学院士的投票不会比40个搬水工的投票结果高明多少。       268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不难发现，我们再一次碰到了种族这个基本观念。我们经常会碰到它，也因此产生了其他观念，即各种制度和政府只在人的日常生活中产生很小的影响。人类主要由他们民族的禀性所控制，也就是说，他们受到道德品质的遗传残余的支配，而禀性，其实就是这些品质的总和。种族和我们日常生活中所需的枷锁，是掌控着我们命运的神秘主要因素。       270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没有必要过多地挖苦和讽刺受到质疑的领袖。我们可以清楚地看到，他让我们付出了惨痛的代价，但是，他的大部分影响力都归因于他遵从大众的意见，而这种大众的意见在殖民地的事务上，并没有超越之前的水平。领袖极少能够走在大众意见的前面，他所做的一切总是为了顺应大众的意见，因此会助长这些意见当中的所有错误。       281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议会当中，一个成功的演讲几乎全部依赖于演说者本人所拥有的名望，而不是取决于演说者提出的论证。关于这一观点的最好证明就是，当一个演说者因为这样或者那样的原因失去了名望，那么与此同时，他就会失去自身全部的影响力，即他根据自己的意志影响表决的能力。      287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历史的教训以及各方面都颇具震慑力的先期征兆判断，我们的一些现代文明已经达到了衰退期之前那些历史上早已有之的阶段。每一个民族都将不可避免地要经历相同的生存阶段，因为看起来历史会不断地重复它的过程。      302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倘若我们依照主要线索，对于存在于我们之前文明的伟大与衰落的原因进行概括总结的话，我们能从中发现些什么？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在人类文明产生的初期阶段，由于迁移、入侵或征服等原因，一群来源不同的人聚集在了一起。他们血缘不同，语言和信仰也不同。将这群人连接在一起的唯一共同的纽带，是某个头领没有完全得到承认的法律。     303（作者概述人类文明的发展，乌合之众的形成和特征）</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全球总结书评    读完《乌合之众》之后，可能会可能会恍然大悟，原来自己就是个乌合之众，你在网络上是否有过非理性发言，别人在谩骂《方方日记》你是否也在跟着一起骂？读完了这本书就应该避免成为乌合之众，最重要的是“理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第一，保持独立思考的能力，广泛学习相关知识，不断提高自己的媒介素养。新媒体技术赋权至受众与受众并不高的媒介素养之间构成了一组矛盾。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二，时刻保持批评性思维，但是批评不是乱批评，正确地批评应该具备：事实、逻辑、修辞。用盖房子做比喻，事实是最基础的一块块砖，逻辑是撑起房子的骨架，而恰当的修辞是房子的外观，如果缺乏合理的事实，房子就是空中楼阁，而当拥有事实却缺乏合理的逻辑和修辞的时候，虽然可能对房子“自我感觉良好”但在别人看来，一座“烂尾楼”并不值得深入了解，这大概率会让别人放弃对真相事实的追究。</w:t>
      </w:r>
    </w:p>
    <w:p>
      <w:pPr>
        <w:outlineLvl w:val="0"/>
        <w:rPr>
          <w:rFonts w:hint="eastAsia" w:asciiTheme="minorEastAsia" w:hAnsiTheme="minorEastAsia" w:eastAsiaTheme="minorEastAsia" w:cstheme="minorEastAsia"/>
          <w:sz w:val="24"/>
          <w:szCs w:val="24"/>
        </w:rPr>
      </w:pPr>
      <w:bookmarkStart w:id="2" w:name="_Toc6839"/>
      <w:r>
        <w:rPr>
          <w:rFonts w:hint="eastAsia" w:asciiTheme="minorEastAsia" w:hAnsiTheme="minorEastAsia" w:eastAsiaTheme="minorEastAsia" w:cstheme="minorEastAsia"/>
          <w:sz w:val="24"/>
          <w:szCs w:val="24"/>
        </w:rPr>
        <w:t>第四，避免低质量的社交，学会高质量的独处。  305</w:t>
      </w:r>
      <w:bookmarkEnd w:id="2"/>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铁骨隶书">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C9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标题 1 Char"/>
    <w:link w:val="2"/>
    <w:uiPriority w:val="0"/>
    <w:rPr>
      <w:b/>
      <w:kern w:val="44"/>
      <w:sz w:val="44"/>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2021-05-18T08:32:10Z</dcterms:created>
  <dc:creator>Administrator</dc:creator>
  <cp:lastModifiedBy>张长史</cp:lastModifiedBy>
  <dcterms:modified xsi:type="dcterms:W3CDTF">2021-05-18T08:41:08Z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