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0"/>
          <w:szCs w:val="30"/>
          <w:lang w:val="en-US" w:eastAsia="zh-CN"/>
        </w:rPr>
      </w:pPr>
      <w:bookmarkStart w:id="0" w:name="_Toc13713"/>
      <w:bookmarkStart w:id="1" w:name="_Toc24914"/>
      <w:r>
        <w:rPr>
          <w:rFonts w:hint="eastAsia"/>
          <w:sz w:val="30"/>
          <w:szCs w:val="30"/>
          <w:lang w:val="en-US" w:eastAsia="zh-CN"/>
        </w:rPr>
        <w:t>文心 夏丏尊 叶圣陶 阅读笔记</w:t>
      </w:r>
      <w:bookmarkEnd w:id="0"/>
      <w:bookmarkEnd w:id="1"/>
    </w:p>
    <w:p>
      <w:pPr>
        <w:rPr>
          <w:rFonts w:hint="eastAsia"/>
          <w:sz w:val="30"/>
          <w:szCs w:val="30"/>
          <w:lang w:val="en-US" w:eastAsia="zh-CN"/>
        </w:rPr>
      </w:pPr>
    </w:p>
    <w:sdt>
      <w:sdtPr>
        <w:rPr>
          <w:rFonts w:ascii="宋体" w:hAnsi="宋体" w:eastAsia="宋体" w:cstheme="minorBidi"/>
          <w:kern w:val="2"/>
          <w:sz w:val="21"/>
          <w:szCs w:val="24"/>
          <w:lang w:val="en-US" w:eastAsia="zh-CN" w:bidi="ar-SA"/>
        </w:rPr>
        <w:id w:val="147463942"/>
        <w15:color w:val="DBDBDB"/>
        <w:docPartObj>
          <w:docPartGallery w:val="Table of Contents"/>
          <w:docPartUnique/>
        </w:docPartObj>
      </w:sdtPr>
      <w:sdtEndPr>
        <w:rPr>
          <w:rFonts w:hint="default" w:asciiTheme="minorHAnsi" w:hAnsiTheme="minorHAnsi" w:eastAsiaTheme="minorEastAsia" w:cstheme="minorBidi"/>
          <w:kern w:val="2"/>
          <w:sz w:val="40"/>
          <w:szCs w:val="5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sz w:val="40"/>
              <w:szCs w:val="48"/>
            </w:rPr>
          </w:pPr>
          <w:r>
            <w:rPr>
              <w:rFonts w:ascii="宋体" w:hAnsi="宋体" w:eastAsia="宋体"/>
              <w:sz w:val="40"/>
              <w:szCs w:val="48"/>
            </w:rPr>
            <w:t>目录</w:t>
          </w:r>
        </w:p>
        <w:p>
          <w:pPr>
            <w:spacing w:before="0" w:beforeLines="0" w:after="0" w:afterLines="0" w:line="240" w:lineRule="auto"/>
            <w:ind w:left="0" w:leftChars="0" w:right="0" w:rightChars="0" w:firstLine="0" w:firstLineChars="0"/>
            <w:jc w:val="center"/>
            <w:rPr>
              <w:rFonts w:ascii="宋体" w:hAnsi="宋体" w:eastAsia="宋体"/>
              <w:sz w:val="40"/>
              <w:szCs w:val="48"/>
            </w:rPr>
          </w:pPr>
        </w:p>
        <w:p>
          <w:pPr>
            <w:spacing w:before="0" w:beforeLines="0" w:after="0" w:afterLines="0" w:line="240" w:lineRule="auto"/>
            <w:ind w:left="0" w:leftChars="0" w:right="0" w:rightChars="0" w:firstLine="0" w:firstLineChars="0"/>
            <w:jc w:val="center"/>
            <w:rPr>
              <w:rFonts w:ascii="宋体" w:hAnsi="宋体" w:eastAsia="宋体"/>
              <w:sz w:val="40"/>
              <w:szCs w:val="48"/>
            </w:rPr>
          </w:pPr>
        </w:p>
        <w:p>
          <w:pPr>
            <w:spacing w:before="0" w:beforeLines="0" w:after="0" w:afterLines="0" w:line="240" w:lineRule="auto"/>
            <w:ind w:left="0" w:leftChars="0" w:right="0" w:rightChars="0" w:firstLine="0" w:firstLineChars="0"/>
            <w:jc w:val="center"/>
            <w:rPr>
              <w:rFonts w:ascii="宋体" w:hAnsi="宋体" w:eastAsia="宋体"/>
              <w:sz w:val="40"/>
              <w:szCs w:val="48"/>
            </w:rPr>
          </w:pPr>
        </w:p>
        <w:p>
          <w:pPr>
            <w:spacing w:before="0" w:beforeLines="0" w:after="0" w:afterLines="0" w:line="240" w:lineRule="auto"/>
            <w:ind w:left="0" w:leftChars="0" w:right="0" w:rightChars="0" w:firstLine="0" w:firstLineChars="0"/>
            <w:jc w:val="center"/>
            <w:rPr>
              <w:rFonts w:ascii="宋体" w:hAnsi="宋体" w:eastAsia="宋体"/>
              <w:sz w:val="40"/>
              <w:szCs w:val="48"/>
            </w:rPr>
          </w:pPr>
        </w:p>
        <w:p>
          <w:pPr>
            <w:pStyle w:val="5"/>
            <w:tabs>
              <w:tab w:val="right" w:leader="dot" w:pos="8306"/>
            </w:tabs>
            <w:rPr>
              <w:sz w:val="36"/>
              <w:szCs w:val="44"/>
            </w:rPr>
          </w:pPr>
          <w:r>
            <w:rPr>
              <w:rFonts w:hint="default"/>
              <w:sz w:val="160"/>
              <w:szCs w:val="160"/>
              <w:lang w:val="en-US" w:eastAsia="zh-CN"/>
            </w:rPr>
            <w:fldChar w:fldCharType="begin"/>
          </w:r>
          <w:r>
            <w:rPr>
              <w:rFonts w:hint="default"/>
              <w:sz w:val="160"/>
              <w:szCs w:val="160"/>
              <w:lang w:val="en-US" w:eastAsia="zh-CN"/>
            </w:rPr>
            <w:instrText xml:space="preserve">TOC \o "1-1" \h \u </w:instrText>
          </w:r>
          <w:r>
            <w:rPr>
              <w:rFonts w:hint="default"/>
              <w:sz w:val="160"/>
              <w:szCs w:val="160"/>
              <w:lang w:val="en-US" w:eastAsia="zh-CN"/>
            </w:rPr>
            <w:fldChar w:fldCharType="separate"/>
          </w:r>
          <w:r>
            <w:rPr>
              <w:rFonts w:hint="default"/>
              <w:sz w:val="36"/>
              <w:szCs w:val="160"/>
              <w:lang w:val="en-US" w:eastAsia="zh-CN"/>
            </w:rPr>
            <w:fldChar w:fldCharType="begin"/>
          </w:r>
          <w:r>
            <w:rPr>
              <w:rFonts w:hint="default"/>
              <w:sz w:val="36"/>
              <w:szCs w:val="160"/>
              <w:lang w:val="en-US" w:eastAsia="zh-CN"/>
            </w:rPr>
            <w:instrText xml:space="preserve"> HYPERLINK \l _Toc16546 </w:instrText>
          </w:r>
          <w:r>
            <w:rPr>
              <w:rFonts w:hint="default"/>
              <w:sz w:val="36"/>
              <w:szCs w:val="160"/>
              <w:lang w:val="en-US" w:eastAsia="zh-CN"/>
            </w:rPr>
            <w:fldChar w:fldCharType="separate"/>
          </w:r>
          <w:r>
            <w:rPr>
              <w:rFonts w:hint="eastAsia"/>
              <w:sz w:val="36"/>
              <w:szCs w:val="44"/>
            </w:rPr>
            <w:t>文心1    夏丏尊   叶圣陶</w:t>
          </w:r>
          <w:r>
            <w:rPr>
              <w:sz w:val="36"/>
              <w:szCs w:val="44"/>
            </w:rPr>
            <w:tab/>
          </w:r>
          <w:r>
            <w:rPr>
              <w:sz w:val="36"/>
              <w:szCs w:val="44"/>
            </w:rPr>
            <w:fldChar w:fldCharType="begin"/>
          </w:r>
          <w:r>
            <w:rPr>
              <w:sz w:val="36"/>
              <w:szCs w:val="44"/>
            </w:rPr>
            <w:instrText xml:space="preserve"> PAGEREF _Toc16546 </w:instrText>
          </w:r>
          <w:r>
            <w:rPr>
              <w:sz w:val="36"/>
              <w:szCs w:val="44"/>
            </w:rPr>
            <w:fldChar w:fldCharType="separate"/>
          </w:r>
          <w:r>
            <w:rPr>
              <w:sz w:val="36"/>
              <w:szCs w:val="44"/>
            </w:rPr>
            <w:t>1</w:t>
          </w:r>
          <w:r>
            <w:rPr>
              <w:sz w:val="36"/>
              <w:szCs w:val="44"/>
            </w:rPr>
            <w:fldChar w:fldCharType="end"/>
          </w:r>
          <w:r>
            <w:rPr>
              <w:rFonts w:hint="default"/>
              <w:sz w:val="36"/>
              <w:szCs w:val="160"/>
              <w:lang w:val="en-US" w:eastAsia="zh-CN"/>
            </w:rPr>
            <w:fldChar w:fldCharType="end"/>
          </w:r>
        </w:p>
        <w:p>
          <w:pPr>
            <w:pStyle w:val="5"/>
            <w:tabs>
              <w:tab w:val="right" w:leader="dot" w:pos="8306"/>
            </w:tabs>
            <w:rPr>
              <w:sz w:val="36"/>
              <w:szCs w:val="44"/>
            </w:rPr>
          </w:pPr>
          <w:r>
            <w:rPr>
              <w:rFonts w:hint="default"/>
              <w:sz w:val="36"/>
              <w:szCs w:val="160"/>
              <w:lang w:val="en-US" w:eastAsia="zh-CN"/>
            </w:rPr>
            <w:fldChar w:fldCharType="begin"/>
          </w:r>
          <w:r>
            <w:rPr>
              <w:rFonts w:hint="default"/>
              <w:sz w:val="36"/>
              <w:szCs w:val="160"/>
              <w:lang w:val="en-US" w:eastAsia="zh-CN"/>
            </w:rPr>
            <w:instrText xml:space="preserve"> HYPERLINK \l _Toc5819 </w:instrText>
          </w:r>
          <w:r>
            <w:rPr>
              <w:rFonts w:hint="default"/>
              <w:sz w:val="36"/>
              <w:szCs w:val="160"/>
              <w:lang w:val="en-US" w:eastAsia="zh-CN"/>
            </w:rPr>
            <w:fldChar w:fldCharType="separate"/>
          </w:r>
          <w:r>
            <w:rPr>
              <w:rFonts w:hint="eastAsia"/>
              <w:sz w:val="36"/>
              <w:szCs w:val="44"/>
            </w:rPr>
            <w:t>文心2  夏丏尊   叶圣陶</w:t>
          </w:r>
          <w:r>
            <w:rPr>
              <w:sz w:val="36"/>
              <w:szCs w:val="44"/>
            </w:rPr>
            <w:tab/>
          </w:r>
          <w:r>
            <w:rPr>
              <w:sz w:val="36"/>
              <w:szCs w:val="44"/>
            </w:rPr>
            <w:fldChar w:fldCharType="begin"/>
          </w:r>
          <w:r>
            <w:rPr>
              <w:sz w:val="36"/>
              <w:szCs w:val="44"/>
            </w:rPr>
            <w:instrText xml:space="preserve"> PAGEREF _Toc5819 </w:instrText>
          </w:r>
          <w:r>
            <w:rPr>
              <w:sz w:val="36"/>
              <w:szCs w:val="44"/>
            </w:rPr>
            <w:fldChar w:fldCharType="separate"/>
          </w:r>
          <w:r>
            <w:rPr>
              <w:sz w:val="36"/>
              <w:szCs w:val="44"/>
            </w:rPr>
            <w:t>8</w:t>
          </w:r>
          <w:r>
            <w:rPr>
              <w:sz w:val="36"/>
              <w:szCs w:val="44"/>
            </w:rPr>
            <w:fldChar w:fldCharType="end"/>
          </w:r>
          <w:r>
            <w:rPr>
              <w:rFonts w:hint="default"/>
              <w:sz w:val="36"/>
              <w:szCs w:val="160"/>
              <w:lang w:val="en-US" w:eastAsia="zh-CN"/>
            </w:rPr>
            <w:fldChar w:fldCharType="end"/>
          </w:r>
        </w:p>
        <w:p>
          <w:pPr>
            <w:rPr>
              <w:rFonts w:hint="default"/>
              <w:sz w:val="52"/>
              <w:szCs w:val="52"/>
              <w:lang w:val="en-US" w:eastAsia="zh-CN"/>
            </w:rPr>
            <w:sectPr>
              <w:pgSz w:w="11906" w:h="16838"/>
              <w:pgMar w:top="1440" w:right="1800" w:bottom="1440" w:left="1800" w:header="851" w:footer="992" w:gutter="0"/>
              <w:cols w:space="425" w:num="1"/>
              <w:docGrid w:type="lines" w:linePitch="312" w:charSpace="0"/>
            </w:sectPr>
          </w:pPr>
          <w:r>
            <w:rPr>
              <w:rFonts w:hint="default"/>
              <w:sz w:val="36"/>
              <w:szCs w:val="160"/>
              <w:lang w:val="en-US" w:eastAsia="zh-CN"/>
            </w:rPr>
            <w:fldChar w:fldCharType="end"/>
          </w:r>
        </w:p>
      </w:sdtContent>
    </w:sdt>
    <w:p>
      <w:pPr>
        <w:pStyle w:val="2"/>
        <w:bidi w:val="0"/>
        <w:jc w:val="center"/>
        <w:rPr>
          <w:rFonts w:hint="eastAsia"/>
        </w:rPr>
      </w:pPr>
      <w:bookmarkStart w:id="2" w:name="_Toc16546"/>
      <w:r>
        <w:rPr>
          <w:rFonts w:hint="eastAsia"/>
        </w:rPr>
        <w:t>文心1    夏丏尊   叶圣陶</w:t>
      </w:r>
      <w:bookmarkEnd w:id="2"/>
      <w:bookmarkStart w:id="4" w:name="_GoBack"/>
      <w:bookmarkEnd w:id="4"/>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自己也在中学里教过五年国文，觉得有三种大困难。第一，无论是读是作，学生不容易感到实际的需要。第二，读的方面，往往只注重思想的获得而忽略语汇的扩展、字句的修饰、篇章的组织、声调的变化等。第三，作的方面，总想创作，又急于发表。不感到实际的需要，读和作都只是为人，都只是奉行功令，自然免不了敷衍、游戏。只注重思想而忽略训练，所获得的思想必是浮光掠影。因为思想也就存在语汇、字句、篇章、声调里；中学生读书而只取其思想，那便是将书里的话用他们自己原有的语汇等等重记下来，一定是相去很远的变形。这种变形必失去原来思想的精彩而只存其轮廓，没有什么用处。总想创作，最容易浮夸、失望；没有忍耐而求近功，实在是苟且的心理。   8</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最后想说说关于本书的故事。本书写了三分之二的时候，丏尊、圣陶做了儿女亲家。他们俩决定将本书送给孩子们做礼物。丏尊的令嫒满姑娘，圣陶的令郎小墨君，都和我相识；满更是我亲眼看见长大的。孩子都是好孩子，这才配得上这件好礼物。我这篇序也就算两个小朋友的订婚纪念吧。   9</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正午十二时的下课钟才打过，H市第一中学校门口涌出许多回家吃午饭去的通学生。女生的华丽的纸伞，男生的雪白的制服，使初秋正午的阳光闪耀得愈见明亮。本来行人不多的街道突然就热闹起来。       11</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你们在小学里所读的国语课本，是按照你们的程度，专为你们编的。现在中学里，先生所教的是选文，所选的是世间比较有名的文章。或是现在的人作的，如鲁迅的《秋夜》，或是古时的人做的，如姚鼐的《登泰山记》。这些文章本来不为你们写作的，是他们写述自己的经验的东西。你们年纪这样小，经验又少，当然看了难懂了。”   18</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［转］杨绛说:曾以为不读书不足以懂得生活，其实没经历过生活根本看不懂书。</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年少不知词中意，读懂已是词中人。看得懂是经历，看不懂是幸运吧。   18</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“你们不是正在读鲁迅的《秋夜》吗？现在正是秋夜呢。你看，星儿不是在䀹眼吗？天不是很蓝吗？现在尚是初秋，一到晚秋，天气愈清，天空看去还要高，有时竟会高得奇怪，还要蓝，有时真是非常之蓝。”          20</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一个伟大的抒情诗人有力量使得我们最为朦胧的情感具有确定的形态。</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——卡西尔                     22</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方才曾把经验分为两种，一种是外面的经验，一种是内部的经验。外面的经验是景物的状况，内部的经验是作文说话的人对于景物的感想。譬如说天上的星在闪烁，这是景物，是外面的经验，说星在䀹冷眼，这是作文说话的人对于星的感想，是内部的经验。外面的经验是差不多人人共同的，最容易明白。内面的经验却各人不同。如果和外面的经验合在一处的时候，比较还容易懂得。像这节，全然是写作者那时个人的心境的，是纯粹的内部的经验。我们除了说作者自己觉得如此以外，别无什么可解释的了。”      24</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“那么，爸爸也不懂？”乐华惊问。</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“也许比你们多懂得一些。真能够懂的怕只有作者鲁迅自己了。但是鲁迅虽能真懂，却也无法解释给你们听哩。”      25</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王先生满意地说：“志青和乐华都认识得很确当。诸君作文，须永远记着他们的话。作文是生活，而不是生活的点缀。”       40</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倘若命运要给我清贫和落寞，</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我便享受这份薄礼，</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起码，平凡的世界里至少还有你。         48</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王先生挺一挺胸，环视全堂一周，又说：“诸君拣定了题目，就在自修的时候动笔。下星期一交给我。作成了最好自己仔细看过，有一句话一个字觉得不妥当就得改，改到无可再改才罢手。这个习惯必须养成。做不论什么事情能够这样认真，成功是很有把握的。     49</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最近看到可以写说书稿挣稿费，就到豆瓣鼹鼠的土豆看到这本书的推荐，就来看看如何写作，仅仅看了前几篇文章就觉得，写作一定要由感而发，要真诚，切不可无病呻吟，玩弄文字游戏，写作是写生活，写作需要想象力和观察力，对待文字的态度要严谨，每一处遣词造句，逻辑结构都要认真对待，万万不可敷衍。自己想的太简单了，这些都是方法，需要经过自己多加练习，纠正才能真正提高写作能力。突然明白为什么之前看到一旦有了想法要随时记录，以便以后成为素材。对于写作这是一本很好的启蒙书。 49</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柜的理由，焦切地等着枚叔开口。枚叔在书架前踱来踱去地巡视了好几次，先取了一部《辞源》给大文道：</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字典是最要紧的。读书有疑难时可以随时查检。你们以前常用的《学生字典》只有字，没有辞[插图]，也许不够应用。把这一部和你常用的《学生字典》一起放在柜子里吧。书架上还有《康熙字典》《经籍纂诂》《佩文韵府》《人名大辞典》也都是这一类的书，将来用得着的时候尽可翻查，现在却不必放在案头。”          67</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们的心的作用，普通心理学家分为知、情、意三种。知是知识，情是感情，意是意欲。对于一事物，明了它是什么，与别的事物有什么关系，这是知的作用。对于一事物，发生喜悦、愤怒或悲哀，这是情的作用。对于一事物，要想把它怎样处置，这是意的作用。文字是心的表现，也可有三种分别，就是知的文、情的文与意的文。关于抗日事件，外交上、军事上的具体办法，抵制日货的切实方案，这是知的方面的事，我们在这些方面当然不很有明确的知识。这类文字只好让专门家去执笔。我们对于东北事变，知的方面虽还缺乏，但情与意的方面是并不让人的。谁对于日人的暴行不愤激呢？谁不想对日人的暴行作抵抗呢？我们该明白这道理，从情与意的方面来说话。我们的文字是宣传品，是给大众看的。我们该以热烈的感情激动大众，以坚强的意志鼓励大众，叫大众也起来和我们一起抗日。”     80</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又说，“王先生叫我们写日记，不料我的第一册日记，就要以如此难过的文字开始。”又说，“请把这记录转给王先生和志青、慧修、锦华几位看看，如果他们觉得还有意义，就登在《抗日周刊》上，作为我所应该担任的稿件吧。”         91</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他们在战争逃难中也不忘记记日记，那那何况生在和平年代的我们呢？</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除了还只五岁的表弟外，谁都睡不着觉。我的胆量素来并不算小的，可是今天晚上却无论如何不敢把头伸出到被外，身子在被里老是瑟瑟地抖，头上身上全是汗珠，把一件衬衫都湿透了。呼吸几乎窒塞，每当枪声稍为和缓一些或者稍为远了一些时，便把头探出被来透一口气，正在觉得略为舒适的时候，常常是一声极响的枪声把我的头又吓进被头中去。挂在墙上的钟，一点，两点，三点，四点，没有一次的敲响不钻进我的耳里。但愿天快些亮。     94</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我教的孩子们写雨落下的声音，说是像炮弹的声音，说这话时，孩子们脸上带笑。却不知道70多年前，一个孩子听到真炮弹声的惶恐。和平真好</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心灵捕手里医生对威尔说“你只是个孩子，你根本不知道你在说什么。问战争，你会说莎士比亚的话，‘共赴战场 亲爱的朋友’。但你从没接近过战争，从没把好友的头抱在膝盖上，看着他吐出最后一口气。”人类的悲观是不相通的，做不到共情，只能做到不妄议。    94</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斗志就像汽车，跑起来容易，可要持续跑下去还得不停加油啊。</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有一天，王先生选了陶渊明的《归园田居》六首给学生读。几月以来，报上的国难记载与所选读的激昂慷慨的文字，已使学生们的情绪紧张到了极度，突然读过几首诗，都感到异常的松快，犹如战士们从火线中出来，回到故乡一样。乐华的感兴又与同学不同，在他，这几首诗已不止是空泛的憧憬，简直想认作实际生活的素描的图案了。    103</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书评   这是对未来生活的一种向往！此时它只能是在你的憧憬之中！人若对明天不充满希望，便会对当下的生活如同死亡一般的恐惧，难以熬下去！    </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乐华、大文都露出疑惑的表情，尤其是乐华，好像失去了将来的目标，不禁把近日所怀抱的意思吐露出来说：</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“我觉得过陶渊明那样的生活很有趣味。”</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别做梦吧。在陶渊明的时候，也许可有那样的生活，你们现在却已无法学他。陶渊明派的诗叫田园诗，田园诗自古在诗中占着重要部分。从前都市没有现在的发达，普通的人都在田园过活一世，他们所见到的只是田园景物，故田园诗有人作，有人读。现在情形大不同了，大多数的人在乡间并无可归的‘田园’，终身局促在都市‘尘网’之中，住的是每月多少钱向房东租来的房子，吃的是每石十几块钱向米店购来的米，穿的是别人替我们织好了的绸和布，行的是车马杂沓的马路，‘虚室’‘桑麻’‘丘山’‘荆扉’……诸如此类的辞藻，与现在的都市人差不多毫无关系。我们读田园诗觉得有兴趣，只是一种头脑上的调剂，这情形和都市的有钱人故意花了钱到乡间去旅行一次一样。老实说，只是一种消遣罢了。”枚叔说了苦笑一下，随手把《陶集》翻拢。      104</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接着</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“那么我们不能回乡间去了吗？母亲曾和我说过，如果爸爸在市里找不到事情，下半年也许非回乡间不可呢。”</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如果不得已，原只好回去，但是要在乡间过生活，即使你将来会拿锄头，也很困苦吧。你须知道：现在的乡间决不会再有陶渊明，也决不能再有《归园田居》那样闲适的诗。时代有一定的特色，读古人的书须留心他的时代，古人原并不对你说谎，但是你一不小心也许会成为时代错误者，上很大的当呢。”           105</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枚叔说得太好了！脱离了作者所处的背景去分析他所写的内容，其实是没有什么意义的。因为每个作者的所思所想都是只跟他当时所能接触到的信息，他能够看到的，他能够听到的，他能够感受到的这些环境有关系的。古人和现代人整个生活的社会环境已经发生了翻天覆地的变化，其实没有什么太多的可比性了。</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你们觉得有些异样吧，这难怪你们。从前的人大都以‘风花雪月’为诗料。新体诗中这类‘风花雪月’的词彩也常常见到。我们读惯了这类的诗，于是就容易发生一种偏见。如果陶渊明的是田园诗，这两首俄国作家的诗可以说是工场诗。陶渊明是种田的，所以用‘野外’‘桑麻’‘锄’‘荆扉’等类的辞，俄国革命以后，做工成为吃饭的条件，大多数的人都要与机械为伍，这几个诗人都是在工场做工的，所以用‘工场’‘铁’‘熔矿炉’‘锤’‘工作服’等类的辞。田园与工场，同是人的生活的根源，田园可吟咏，当然工场也可吟咏的了。切不可说关于田园的辞类高雅，是诗的，关于工场的辞类俗恶，不是诗的。诗的所以为诗，全在有浓厚紧张的情感，次之是谐协的韵律，并不在乎词藻的修饰。这几首是译诗，原来的韵律我们无从知道。但是就情感说，仍不失为很好的作品。他们对于工场的爱悦和陶渊明对于田园的爱悦，毫没有不同的地方。”</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乐华和大文都点头，目光重复注在那第二首译诗上。      109</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接着</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农村正在急速地破产，都市正在尽力地用了威逼与诱惑，把人吸到它的怀里去。我已是中年的人了，你们正年轻，一定要到都会去，在这大时代的旋涡中浮沉的。闲适的田园诗，将来在你们只是一种暂时消遣的东西，你们自己所急切需要的是工场的诗或都市的诗啊。”     110</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们摘录下来的例子还多，完全说出来，未免使诸位生厌，所以只说了一小部分。把许多例子归聚起来，就看出它们犯的不外刚才所说的三种毛病：用词、用语不适当；意义的欠缺和累赘；意义不连贯，欠照应。再加仔细分析，毛病的种类当然还可增多。但是我们想，这三种毛病该是最普遍的了。我们写作文字，如果能够避免这三种毛病，用辞、用语处处适当，每一句话意义都完足，也并不累赘，而且一直到底，互相连贯，彼此照应，这样，我们的文字不就通顺了吗？”     129</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这一节概括了作文中经常犯的三种毛病：用词、用语不适当；意义的欠缺和累赘；意义不连贯，欠照应。</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用词、用语不适当：这种毛病的原因在于认识辞和语的意义不确切；或者因为不曾仔细思量，只顾随笔乱写，便把不适当的辞和语写了上去。</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意义的欠缺和累赘：这种毛病的原因在于不曾把意义想得周全，就提起笔来写；如果作者的言语习惯不良，平时惯说那些支离的、累赘的话语，写起文字来也就会有这样的病象。</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意义不连贯，欠照应：这种毛病的原因大概在于思想不精密。犯得太多的时候，虽然说了一大堆，写了一大篇，实际全是瞎说；不是叫听者、读者上当，便是叫听者、读者莫名其妙。</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如果能够避免这三种毛病，用辞、用语处处适当，每一句话意义都完足，也并不累赘，而且一直到底，互相连贯，彼此照应，这样，我们的文字就通顺了。</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改正这些毛病，须在思想习惯和言语习惯上留意。        131</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乐华把他们要怎样写游记的意思告诉了枚叔。</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枚叔说：“游记本来有两种写法。像你所说的，把走过哪里，到达哪里，看见什么，听见什么，平平板板地记下来，这是一法。依了自己的感觉，把接触到的景物从笔端表现出来，犹如用画笔作一幅画一般，这又是一法。前一法是通常的‘记叙’，后一法便叫作‘印象的描写’。”     137</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乐华接着回答：“我可以用比喻来分别它们。单就游记说，仅仅‘记叙’，结果犹如画一张路程图；如果能把印象写出，却同画一幅风景画一样，这就是‘描写’了。”</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枚叔点头说：“不错，从这个比喻，就可以知道‘记叙’和‘描写’对于读者的影响很不相同。人家看了你的路程图，至多知道你到达过哪里，看见过什么罢了。但是，人家看了你的风景画，就会感到你所感到的；不劳你解释，不用你说明，一切都从画面上直接感到。所以，‘描写’比较‘记叙’具有远胜的感染力。”       139</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小溪在山脚下转弯向左，开始曲折起来。从较高的这边望去，有一段是看得见的，反射着白光；忽地一曲，河身给田亩遮没了；但是再来一曲，便又亮亮地好像盛积着水银；这样六七曲，才没入迤长的一带树丛里。</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柳宗元的《小石潭记》不是有这样一句吗？”乐华继续说，“‘潭西南而望，斗折蛇行，明灭可见’，这‘明灭可见’四个字是多么真实的印象呀！我们现在要描写这条小溪，似乎也只有‘明灭可见’四个字最为适切。”</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枚叔对于乐华的解悟感到欣然，说道：“柳宗元的山水记本是古来的名篇，他差不多纯用印象的描写。”</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大文昂头四望，用歌唱的调子说：“‘天似穹庐，笼盖四野’，我觉得是很好的印象的描写。”</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枚叔和乐华不觉也抬眼眺望。平远的原野的尽处，明蓝的天幕一丝不皱地直垂下去。</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枚叔沉吟了一会儿说：“这一句固然是很好的描写；可是在这一首《敕勒歌》里，末了一句尤其了不得。”</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“‘风吹草低见牛羊’。”大文又歌唱起来。     140</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但是，编剧的时候避去这等情节是可以的。把要使看戏的人知道的情节编排在对话里，像我们所表演的戏剧一样，也未尝不可以。原来旧时的戏剧和现在的戏剧，在体裁上自有不同。从杂剧到京戏，那是一贯地使用着记叙文似的体裁的。这是我所发见的一点。还有一点呢？”</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锦华坐到大文左旁的一只藤椅上。大文颇感兴味地看着她的娇红的脸，仿效她的声调说道：</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“还有一点呢？”       170</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乐华在寂寞的生活中日日期望有新书从上海寄到，将借了新书一振日来的无聊与倦怠。自得了父亲的这封信以后，态度为之一变，觉得读过的书重读起来比新书更有味，眼前的一切东西都含藏着多方面的内容，待他去发掘。倦怠无聊之感消灭净尽，他好像换了一个人，换了一个世界了。什么都新鲜，什么都有意义。他从蝉声悟到抑扬的韵律，从日影悟到明暗的对照，从雷阵雨感到暴力的难以持久，从雨后的清凉悟到革命的功用，从盆栽的裁剪悟到文字繁简的布置，从影戏的场面悟到叙事文的结构，从照片悟到记事文的法式。     182</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“读书贵有新得，作文贵有新味。最重要的是触发的功夫”        184</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由死而活，任何事情发展都有一个过程。不先感受、模仿、学习好的，就很难形成属于自己的并且优秀的东西。因为人是群体性动物，得不到别人认可的故步自封的“成果”是不足以称之为成就的。所以也还是需要多观摩，所谓“熟读唐诗三百首，不会做诗也会吟”。         185</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“这条好。”锦华读到《领袖》一条，不禁赞赏着说。那是这样的几句话：</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把衣服穿在身上，最污浊的是领和袖。因为污浊的缘故，洗涤时特别吃亏，每件衣服先破损的大概是领袖部分。</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领袖是容易染污浊的，容易遭破损的。衣服的领袖如此，社会上的所谓领袖何尝不如此？</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“这条值得抄了寄给你爸爸看。我知道，你近来是自己洗衣服的，这几句话大概是在洗衣服的时候触到的吧。”大文对乐华说。      187</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“是的——你们以为这条还可以吗？我觉得不及后面‘鸡叫’一条呢。那是前天晚上我睡不着，在枕上听见鸡叫的时候想到的，——在这里。”乐华从慧修手里取过手册来翻寻给大家看。那是很简短的几句话：</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鸡是光明的报道者，它第一次喔喔开声却在夜半，正是世间最黑暗的时候。我听了这夜半的鸡声，不禁想到革命者的呼号。</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大家看了都点头表示赞许。</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“我出世以来，不知已曾听到多少次的夜半鸡声了，为什么竟听不出别的意义来？我的头脑真是太简单了！”慧修把手册合拢了感叹地说。    触发  188</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是的，我在读这几篇教过你们的文字。一年以来我对于文字的解释及玩味方面自信已尽了力，做到八九分的地步了。在读的一方面，却未曾费过气力。下学期我想叫你们加做些读的功夫，所以在这里先自预备。读，原是很重要的，从前的人读书大都不习文法，不重解释，只知在读上用死功夫。他们朝夕诵读，读到后来，文字也自然通顺了，文义也自然了解了。一个人的通与不通，往往不必去看他所作的文字，只须听他读文字的腔调就可知道。近来学生们虽说在学校里‘读书’或‘念书’，其实读和念的时候很少，一般学生只做到一个‘看’字而已。我以为别的功课且不管，如国文、英文等科是语言学科，不该只用眼与心，须于眼与心以外，加用口及耳才好。读，就是心、眼、口、耳并用的一种学习方法。读的文字须择意义内容已明白的，所以我想从上年讲授过的文字中选取若干篇为将来叫你们诵读的材料。下学年预备在原有的讲演会以外再设一个朗读会哩。你们觉得怎样？”         194</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逐二兔者不得一兔</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想同时抓到两只兔子，结果最终一只都得不到。比喻做事时心有旁骛，精力分散，最后什么都做不好。            201</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乐华从怅惘中清醒过来，回头看见拉住他的肩膀问话的是胡复初，鼓鼓的两颊现出红色，眉棱耸起，表示非常兴奋的神情。     213</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小小的一间屋子，却很敞亮，志青靠着前窗在那里习字呢。在乐华的经验里这是新鲜的事情；和志青同居一间自修室一年之久，从没看见他做过这“水磨工夫”的勾当。    232</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教我们去写公函，饭碗也一准打破的。”慧修爱娇地看着父亲。“照你这样练习下去，又随时留意各种书件的格式，那就只怕你抢不到饭碗；抢到了饭碗的时候，简直可以吃一辈子的了。哈哈！”那中年人的戏言里分明含有矜夸的意味。      346</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案上有一部辞典，胸中别有一部辞汇，每遇一个辞，未解的就翻辞典，然后编入我胸中的辞汇去，每用一个辞，必在辞汇中周遍考量，把适合的选来用。这就是我近来暗中在做的一种功夫。”振宇说到这里，把话带住。       255</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书评（我的）   确实是好方法，正如杜甫的  为人性癖耽佳句，语不惊人死不休。多积累，才能心中有丘壑，反复摆弄选择词汇，选取最适合的词语字句，将心中之感形之于手。此为推敲炼字。</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胸中辞类贫乏，张冠李戴，把不适切的辞来用，等于把一件不合身段的自由布长袍单夹棉通用，喜吊都是它，怪难看的。我们做穷人的，衣服不周，常会被人原谅，不以为怪；至于辞类是用以达意的，用得不适合，就要被人误会，我们自己的本意也就因而失去了。我们在衣服上或可甘心做穷人，在辞类上却不妨是富人。诸位以为何如？”      257</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p>
    <w:p>
      <w:pPr>
        <w:pStyle w:val="2"/>
        <w:bidi w:val="0"/>
        <w:jc w:val="center"/>
        <w:rPr>
          <w:rFonts w:hint="eastAsia"/>
        </w:rPr>
      </w:pPr>
      <w:bookmarkStart w:id="3" w:name="_Toc5819"/>
      <w:r>
        <w:rPr>
          <w:rFonts w:hint="eastAsia"/>
        </w:rPr>
        <w:t>文心2  夏丏尊   叶圣陶</w:t>
      </w:r>
      <w:bookmarkEnd w:id="3"/>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余亦有同感，虽吃穿用度比不得同龄人，但读过的书，悟过的理，自修的知识，总是不会落后于人。生活节俭，或能去物欲，而使精神求富。常清常静常应清灵。   257</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“我案上有一部辞典，胸中别有一部辞汇”    259</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白相’是苏州人的用语，如果写入广东话或北平话中，即使意思不错，就不相入了。学生口中常说的‘婚姻问题’，如果出诸不识字的乡间农妇之口，也就不对了。‘作弊’与‘揩油’, ‘白相’与‘玩耍’, ‘结婚’与‘成亲’，彼此意义虽同，情趣很有区别，这是值得注意的。我有一位朋友，他选择配偶，第一个条件是要同乡女子。别人问他为什么，他说如果不是同乡人，彼此之间谈话起来趣味很少。这话很妙。     259</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不知道在哪里看的这个说法，原文记不住了，大概意思就是文学大家厉害之处他写老农民，老农民一开口就是个老农民了</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行规造就了行话，圈子有圈子的语言，网络也有网络的语言，混迹在哪里就要学会哪里的规矩和说话方式。</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算数——中心思想</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绘画——背景烘托</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英文——翻译习作</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原来每门学科都是有互通之处的       274</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这样地分离实在不是社会的幸福。若能混合起来，精神劳动与体力劳动相调和，无论干哪一种劳动的人都有受教育的机会，社会便将健全得多。那样的社会当然不会一下子出现的。而乐华去当铁工厂的练习生，却给我们一个关于这种境界的深刻的启示。他将去干体力劳动，他将去做真正支持社会的工作，他不希望躲在精神劳动的象牙塔里，专待别人来供给。他的取径是值得追随的。我们父兄对于我们的期望却不足为训。我们不要打算将来当一个教员、机关职员，或者做一个官僚，我们也要准备做一个体力劳动的工人。”      291</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这句话其实也说出了社会的很大一部分现象，学习知识的人，大多做的都是用脑的岗位，而那些辍学还不学习的人则大多都去贡献了体力。我应该鼓励不在学校的人，一样的去学习知识，去充实自己。</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“书本自然不想放弃。有空闲的时候，我预备跑图书馆。可是我还想读不用文字写的书，我要在社会的图书馆里做一番认识、体验的功夫。诸位看这个意见如何？”</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这个送别会给与大家一个很深刻的印象。乐华回家把开会的情形告诉了枚叔，枚叔也叹息着说：</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“可感的友情啊！‘中心藏之，何日忘之？'”        294</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出自先秦佚名的《隰桑》</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隰（xí）桑有阿（ē，通“婀”，美），其叶有难（nuó，通“娜”，盛）。既见君子，其乐如何。</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隰桑有阿，其叶有沃。既见君子，云何不乐。</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隰桑有阿，其叶有幽（通“黝”，青黑色）。既见君子，德音孔胶。</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心乎爱矣，遐不谓矣？中心藏之，何日忘之！</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译文</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洼地桑树多婀娜，叶儿茂盛掩枝柯。我看见了他，快乐的滋味无法言喻！</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洼地桑树多婀娜，枝柔叶嫩舞婆娑。我看见了他，如何叫我不快乐！</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洼地桑树多婀娜，叶儿浓密黑黝黝。我看见了他，说着情言爱语，体会着他执着的爱意。</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心里对他深深爱恋，却欲说还休。心中对他有深深的爱意，哪天能够忘记？</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他们以为小说和叙事文不过是一件东西的两种名称罢了。哪里知道单只根据实事写成的是报纸的记事、历史的传载之类的东西，便是所谓叙事文。一篇《东北义勇军抗日经过》是叙事文，《史记》的《项羽本纪》也是叙事文，你能硬说是小说吗？”</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“那的确不是小说呀。”锦华向慧修告语，仿佛征求她的同意似的。</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张先生抚摩着慧修剪得短短的顶发，继续说道：</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“小说不一定要根据实事。即使根据实事，也不像叙事文那样记叙了实事便完事，还得含有其他的东西在里头。那其他的东西才是小说的本质。”    302</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慧修的手拍着锦华的肩，领悟地说道：</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“听了这两个具体的例子，小说的本质是作者所看出的意义，我们很能够明白了。没有这种意义的便不成其为小说。”</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张先生用一个指头指点着慧修        305</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因为要把意义寄托在故事的叙述上边，所以整个故事的每一个节目都须含有暗示的力量；作者便不得不做一番选择和布置的功夫。说到这里，小说大都不照抄实事的所以然也就明白了。世间哪有这么巧的事情，一件实事恰好可以寄托作者的意义的？惟其少有，所以作者丢开照抄实事的办法，而根据他的经验，去选择人物，布置节目，创造出一个故事来。你若说他凭空虚构，那是错误的。他的材料全是社会的实相、人生的体验，何尝凭空？你若问他：‘真个有这件事情吗？’他将笑而不答，因为你问得太幼稚了。小说该是世间最真实的故事，然而不是某一件事情的实录。你们懂得了吧？”        306</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一篇文字之中，有许多句子，这许多句子如果都是构造差不多的，读起来就嫌平板不调和了。譬如：这是大文的书房，我们假如作一篇记事文，记述这间书房的光景，倘然说‘门在东面，窗在南面，床在北面，书架在西面。门外有一片草地，窗外有一座树林，架上有许多书籍，床旁有一只箱子。……’八句句子中，只有两种句式，一种句式各接连重叠到四次之多，读去就不能上口了。      318</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志青的话，使我们得到不少的益处。我才知道‘学而时习之，不亦说乎？有朋自远方来，不亦乐乎？’二句中用两个‘不亦’与两个‘乎’的理由。此外如‘仁者，人也；义者，宜也’等句的趣味也领略到了。”大文说。      328</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科普：出自《中庸·第二十章》</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仁者，人也，亲亲为大。义者，宜也，尊贤为大。</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解释：</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仁就是爱人，亲爱亲族是最大的仁；义就是事事做得适宜，尊重贤人是最大的义。</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书评（我的）   一群追求知识的孩子真是令人喜欢，思想深刻，逻辑严密，为人处世得当。知识使人自由，书籍使人智慧。      328</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小山’就是屏风，矗着的屏风，形状凸凹如山，‘屏山’是诗词中常用的辞。词中描写一个豪贵的闺秀在早晨起床前后的情形，朝阳射在画屏上闪烁发光。——用‘金明灭’三字多好！      334</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行不得也哥哥，十八滩头乱石多。东去入闽南去广，溪流湍驶岭嵯峨。行不得也哥哥。模拟鹧鸪的声音</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锦华怀着这样的心理度过半年多的光阴，作成了好多首的新体诗，写在一本金绘封面的怀中手册上。这些诗篇一部分是怀想往日的欢爱，一部分是希望将来的重合，而对于目前的对面如隔蓬山，也倾吐了深深的惆怅。她觉得这许多情思是无人可以告诉的，只有写成诗篇，告诉这一本小册子，胸中才见得松爽一点。于是屡次作诗，不觉积有三四十首了。这本小册子平时收藏得好好，从不给人看见。     348</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慧修正想再翻过来看，忽见父亲走进室中来了，便爱娇地叫声“爸爸”。父亲新理发，剩下的头发只有一分光景，差不多像个和尚。他舒快地抚摩着自己的头顶，走近慧修身旁问道     351</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此刻提起新体诗，不由得记起了前几年在报纸上看见的讥讽新体诗的新体诗，他坐定下来说道：</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“我曾经看见一首新体诗，那是讥讽新体诗的，倒说得很中肯。我来念给你听。</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新诗破产了！</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什么诗！简直是：</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罗罗苏苏的讲学语录；</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琐琐碎碎的日记簿；</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零零落落的感慨词典！    352</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们的国文教师王先生是这样说的：诗这个名称包括的东西很多，凡是含有‘诗的意境’的都可以称为诗。所以从前的古风、乐府、律句、绝句固然是诗，而稍后的词和曲也是诗，现在的新体诗也是诗，只要中间确实含有‘诗的意境’。他又反过来说：如果并不含有‘诗的意境’，随便的几句话当然不是新体诗，就是五言七言地把句子弄齐了，一东二冬地把韵脚押上了，又何尝是诗呢？      354</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她停顿了一歇，更靠近父亲一点，下垂的头发拂着他的臂膀，晶莹的眼睛看着他的永远含着笑意的眉目，爱娇地说道：  355</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“我把想得起来的背两首给爸爸听吧。一首是俞平伯作的，题目是《到家了》。</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卖硬面饽饽的，</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在深夜尖风底下，</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这样慢慢地吆唤着。</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我一听到，知道“到家了”！             357</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“再有一首题目叫作《水手》，刘延陵作的，那是押韵的了。</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月在天上，</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船在海上，</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他两只手捧住面孔，</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躲在摆舵的黑暗地方。</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他怕见月儿眨眼，</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海儿掀浪，</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引他看水天接处的故乡。</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但他却想到了</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石榴花开得鲜明的井旁，</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那人儿正架竹子，</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晒她的青布衣裳。          358</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但是王先生并不反对我们作新体诗。他说你们的生活经验有限，好比小小的溪流兴不起壮大的波涛，作不出怎样好的新体诗来是不足为奇的。他说从前许多的诗人，他们起初执笔的时候，难道就首首是名作吗？他说你们只要不去依傍人家，单写自己的意境，就走上正路了。”          362</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“隔几天我再作一篇请你修改，可以吗？”</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“当然可以。”乐华亲切地握住宋有方的手。</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青纱一般的月光披在他们两个的肩臂上。   379</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“你们看了方才这些读书笔记，觉得怎样？”王先生待大家围坐了以后这样问，说时把目光向各人遍转。</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觉得我们从前没有把笔记和读书笔记分清楚，大家在笔记簿上所写的，有许多都是与书无关的，或是极浅薄的空谈。今天看见了这些真正的读书笔记，式样是已经懂得了，可是这种笔记我们恐怕尚不配作，因为我们读书太少了。”慧修说。     391</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前人所读的书和你们中学生所读的不同。你们有你们的书在日日读着，如果你们的读书不是浮光掠影的，必能随时有所见到，把见到的写出来，就是你们的读书笔记了。读书要精细，才能写得出读书笔记，反过来说，试写读书笔记，也就是使读书不苟且的一种方法。我的叫你们试写笔记，用意大半在此。”    392</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“经王先生这么一说，我们已经知道着手的方面了。可是我们学识有限，这样写记出来的东西，也许都是别人说过了的陈套哩。”复初说。</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这不要紧。只要你的见解不是抄袭别人，完全出于自己思索的，那与人家说过不说过毫无关系。写笔记的本意，原为了自己记述读书的心得与研究结果，以备将来查考与运用，并非像书简或传单似的预备给人看的。自古以来，读书笔记当作书籍刊行的原很多很多，可是写作者当时的目的决不在乎刊行。你们是中学生，写笔记只是一种学习，当然不必以发明发见自期。你们不是在学习代数与几何吗？我告诉你们，那里面无论任何一个公式、一个定理、一个问题，都是数千年的陈套，都是人家早已知道了的东西啊。哈哈……”    394</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“读书笔记是读书时的一种判断，似乎应该用作议论文的态度去写。不知道对不对？”大文问。</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对！对！”王先生点头，“议论文照例是须有证据的，不能凭空瞎说。方才给你们看过的四则笔记，都引着两个以上的例子作凭证，例证愈多，论断就愈精当。你们第一次的笔记所以不好，大半就是因为没有例证。你们之中有好些人只把读过的书摘抄了几行或是几句，说很好或很不好。你们想，这有什么意义？”       396</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情境有感觉性，是意思的感觉的要素，语言、文字的声音或形体也有感觉性，是语言、文字的感觉的要素。形容战地人民的恐慌，从来有‘风声鹤唳，草木皆兵’的名句。这句子的所以为名句，就因为不抽象地说恐慌，利用着周围的情境——风、鹤、草木等等的缘故。      402</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因了情境可以放言无碍的时候，我们又会用张大其辞的说法。说‘小’会说什么‘渺沧海之一粟’，说‘长’会说甚么‘白发三千丈’，说‘难’会说什么‘比骆驼穿孔还难’，说‘易’会说什么‘如反掌’了，这种说法在修辞学上叫作‘铺张格’，和方才所说的‘讳饰格’情形恰恰相反。什么情境之下该讳饰，什么情境之下可铺张，不可弄错。对赤脚的农民说便所为‘更衣室’，在身体检查单上写‘白发三千丈’，就可笑万分了。”        406</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同样这几句话，今天如果换一个人来说，在诸君心目之中的印象也许会不同吧。这就是作风的不同了。作风可以说就是说话者的风度的表出，是在生活上、品性上有着很深的根源的。没有深刻的生活，决不会有深刻的作风，没有幽默的天性，决不会有幽默的作风。     411</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写作是生活中间的一个项目，并不是随便玩玩的一种游戏。这一层很关重要，必须认清。认清原也并不难。譬如说，作工是生活中间的一个项目，或者说，说话是生活中间的一个项目，谁都觉得是当然之事；写作同说话、作工一例，它也是生活中间的一个项目自然没有问题。     416</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在我们，这等专门研究是无所用的。我们为要充实我们的生活，所以必须修练写作的技能；在这样的情形之下，对于写作方法的研究非从实际生活出发不可。惟有这样，研究得来的结果才有用处，才会增进我们写作的技能。   417</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王先生读罢，想起了什么似的，昂首凝望窗外点缀着几点疏星的天空。一会儿，把乐华的信放在一旁，继续批阅学生的作文簿。轻轻的风吹进来带着微寒，这种微寒给与人一种清爽的感觉。   433</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敢奉劝大家，先读些中国哲学的原书，再去读哲学史；先读些《诗经》以及汉以下的诗集、词集，再去读文学史；先读些古代历史书籍，再去读《古史辨》。万一必不得已，也该一壁读哲学史、文学史，一壁翻读原书，以求知识的充实。   437</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钱索子原是用来贯穿零乱的小钱的，如果你有了钱索子而没有可贯穿的许多小钱，那么你该反其道而行之，去找寻许多的小钱来贯穿才是。”   437</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如果丢开哲学、古史等，单就文学来说，便是先要接触了文学作品，然后阅读文学史才有用处。因为文学史上所讲的以文学作品为主，对于文学作品若还不曾认识，徒然知道一些“作家”哩，“派别”哩，“源流”哩，“演变”哩，便完全是隔靴搔痒的事情。而现在一般人似乎正在干这等隔靴搔痒的事情。只看学校里的考试题目便可知道其中的消息了。“何谓唐宋八大家？”“何谓公安体、竟陵体？”“五言诗起于何时？”“词源于何体？”这些题目都是常见的。其实，一个学生回答得出这些题目，不过有了一点关于文学的常识罢了，这并不足以证明他真个懂得了文学。而这些常识又是工具书上所备载的；一个学生如果回答不出这些题目，他只须翻开《辞源》来一查便知道了。那么，回答得出无异于证明他曾经查过《辞源》罢了。比较起“人体常温为摄氏三十七度”“居室须常开窗以通空气”那些常识来，这些文学常识便见得毫无实用的价值。倘若破费了好多的工夫，专为求得这样毫无实用价值的常识，可说全无是处。 437</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画幅有六尺多宽，四尺多高，画着三个人，一个三十岁光景的中年妇人，一个八九岁的小孩，还有一个卧在摇篮里的婴儿。桌子上摆着洋灯、书册、石版和针线匾，小孩在灯下读书，妇人靠桌子坐着，一壁缝缀着衣服，一壁在用脚踏动摇篮。全幅的布局色彩以及笔致，无一样不妥帖，最动人的是那中年妇人的面容，看去既端好，又慈祥，还流露着一种说不出的严正与辛苦的表情。看了这幅画，会令人忆起儿时生活的一幕来，觉得这画中的妇人在许多点上是和自己的母亲相仿佛的。        444</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文章与绘画都可分这三个项目来讲。先说绘画，李先生在教室中作写生范画，替朋友画扇子，是应用之作；自己练习石膏模型或人体写生，是习作；这次的《母亲》，是创作。再说文章，诸君的写书信，是应用之作；作文，是习作；将来择定了题材自由地无拘束地去写出文艺作品来，便是创作。       449</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“习作只是法则与手腕的练习，应用之作只是对付他人和事务的东西，创作才是发挥自己天分的真成绩。无论绘画和文章都如此。   449</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能在平凡的事物之中看出新的意味来，这是创作家的第一种资格。    453</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方才王先生把作品分为创作、习作与应用之作三种，这是很对的。三者之中，最基本最重要的是习作，习作是练习手腕的基本功夫，要习作有了相当的程度，才能谈得到应用，才能谈得到创作。近来有许多青年想从事创作，我知道诸君之中，也有这样的人。如果想创作，非先忠实地在习作上做工夫不可。     455</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同是一个看，有‘见’‘视’‘观’三个阶段，我们看到别人的一篇文章或是一幅画是‘见’，这时只知道某人曾作过这么一篇文章或一幅画，其中曾写着什么而已。对于这一篇文章或一幅画去辨别它的结构、主旨等等是‘视’，比‘见’进了一步了。再进一步，身入其境地用了整个的心去和它相对，是‘观’。‘见’只是感觉器官上的事，‘视’是知识思辨上的事，‘观’是整个的心理活动。不论看文章或看绘画，要到了‘观’的境界，才够得上称鉴赏。‘观’是真实的受用，文章或绘画的真滋味，要‘观’了才能亲切领略。用吃东西来做譬喻，‘观’是咀嚼细尝，‘见’和‘视’只是食物初入口的状态而已。   462</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在一本书上读过《美感与实用》的文字，大旨说：艺术与实用之间须保有着相当的距离；一把好的茶壶，可以盛茶，但目的不止于盛茶；一封写得很好的书信，可以传情达意，但目的决不止于传情达意。美的一种条件是余裕。这话原是就创作上说的，我觉得在鉴赏上也可应用。”     464</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文章的美不限于传达真意，水壶的美不拘于盛茶倒水。美，是人的主观感受，也是物体带给人的除实用价值之外的价值。</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余裕    宽绰有馀;宽裕。多用于说明时间充分，精力充沛，生活富裕。亦用以表示应对从容、胸怀宽广。</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鉴赏有时也称‘玩赏’或‘玩味’，可以说‘玩’就是‘鉴赏’。‘玩’字在习惯上常被人轻视，提起玩，都觉得有些不正经。其实，玩是再正经没有的，我们玩球玩棋的时候，不是忘了一切，把全副精神都放在里面的吗？对于文章绘画要做到‘玩’的地步，并不容易。单就文章说吧，一篇好的文章，或一本好的小说，非到全体内容前后关系明了以后，决不能‘玩’。      464</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鉴赏原是我所向来留意的，自入工厂以来，苦于没有闲暇读书。我现在偷闲在读的只是诗话、文话一类的东西。诗话、文话是前人鉴赏所得的记录，它会告诉我们某几句诗、某几句文的好处所在。我们可由它间接地得到鉴赏的指示。     473</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玉壶买春，赏雨茆屋。坐中佳士，左右修竹。白云初睛，幽鸟相逐。眠琴绿阴，上有飞瀑。落花无言，人淡如菊。书之岁华，其曰可读。</w:t>
      </w: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他觉得这是另一种境界，闲适而淡泊。人处其间，惟有时雨、白云、修竹、幽鸟、落花、飞瀑为伴，简直可以忘掉一切。  478</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曾经读到过一句话，“一个路过树叶便爱上树叶，路过海棠就想和蜜蜂谈恋爱的人，写文应该不会太差”        480</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他好似神游于文艺的展览会，那些展览品完全脱去形迹，各标精神，使他不得不惊叹于文艺界的博大和繁富。他想起现代一班作家的作品：朱自清的称得起“缜密”，丰子恺的可以说“自然”，茅盾的不愧为“洗炼”，鲁迅的应号作“劲健”。   481</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一个拘守一隅的作家所见无非家庭、里巷，他的文章自然不会涉及山岳的伟大、河海的浩瀚；但是一个习于行旅的作家，他不但能写山岳、河海的形态，他更能由山岳、河海的影响，解悟人生的意义。取材的范围不同，文章的风格也从而各异了。       494</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生活就是语文，语文就是生活。当你读懂了生活，自然就读懂了语文。   504</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单把国文这一门来说吧，看书不只限于看国文课内指定的几种书，也不只限于看各科的参考书；须要从此养成习惯，无论去经商、去做工，总之把行动和看书打成一片，把图书馆认为精神的粮食库，这才能收到莫大的实益。    506</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我只是说对于写作既已学习到了相当的地步，就该让这写作的技能永远给你们服务；无论是应用之作，或者兴到时所写的一篇东西、一首诗，总之用创作的态度去对付，要忠于自己，绝不肯有半点的随便和丝毫的不认真。文学者固不必人人去做，然而文学者创作的态度却是人人可以采取的。惟能如此，才真受用不尽呢。”      506</w:t>
      </w:r>
    </w:p>
    <w:p>
      <w:pPr>
        <w:rPr>
          <w:rFonts w:hint="eastAsia" w:asciiTheme="majorEastAsia" w:hAnsiTheme="majorEastAsia" w:eastAsiaTheme="majorEastAsia" w:cstheme="majorEastAsia"/>
          <w:sz w:val="24"/>
          <w:szCs w:val="24"/>
        </w:rPr>
      </w:pPr>
    </w:p>
    <w:p>
      <w:pPr>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书评    写作教学并不是在培养文学家，而是培养一种生存技能——文字表达。      506</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铁骨隶书">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2A6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customStyle="1" w:styleId="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2021-05-18T08:49:29Z</dcterms:created>
  <dc:creator>Administrator</dc:creator>
  <cp:lastModifiedBy>张长史</cp:lastModifiedBy>
  <dcterms:modified xsi:type="dcterms:W3CDTF">2021-05-18T08:53:27Z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