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Selasa, 28 April 2026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Koordinasi dengan Pendamping RTLH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3115"/>
        <w:gridCol w:w="1705"/>
        <w:gridCol w:w="2126"/>
        <w:gridCol w:w="2268"/>
      </w:tblGrid>
      <w:tr w:rsidR="00A72772" w:rsidRPr="00A72772" w14:paraId="05DB7447" w14:textId="35EE5C23" w:rsidTr="00FE40F2">
        <w:trPr>
          <w:trHeight w:val="821"/>
        </w:trPr>
        <w:tc>
          <w:tcPr>
            <w:tcW w:w="704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3115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170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2126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2268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1.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2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2.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3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3.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4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4.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5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5.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6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6.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7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7.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8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8.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9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9.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10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10.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11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11.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12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12.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E312D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Restu Endang Sari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14085A"/>
    <w:rsid w:val="002A0282"/>
    <w:rsid w:val="005B4FBD"/>
    <w:rsid w:val="00706617"/>
    <w:rsid w:val="00A72772"/>
    <w:rsid w:val="00BE2509"/>
    <w:rsid w:val="00E312D2"/>
    <w:rsid w:val="00E41FC6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6</cp:revision>
  <dcterms:created xsi:type="dcterms:W3CDTF">2026-04-23T05:12:00Z</dcterms:created>
  <dcterms:modified xsi:type="dcterms:W3CDTF">2026-04-23T06:37:00Z</dcterms:modified>
</cp:coreProperties>
</file>