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AgentGit — Core Messaging &amp; Positioning</w:t>
      </w:r>
    </w:p>
    <w:p>
      <w:pPr>
        <w:pStyle w:val="Subtitle"/>
      </w:pPr>
      <w:r>
        <w:t xml:space="preserve">Autonomous DevOps. Human control. The internal source of truth for how we talk about AgentGit.</w:t>
      </w:r>
    </w:p>
    <w:p>
      <w:pPr>
        <w:pBdr>
          <w:left w:val="single" w:color="0ACDCF" w:sz="24" w:space="8"/>
        </w:pBdr>
        <w:shd w:fill="E6FBFB" w:val="clear"/>
        <w:spacing w:after="200" w:before="160"/>
      </w:pPr>
      <w:r>
        <w:rPr>
          <w:i/>
          <w:iCs/>
          <w:color w:val="0B0F14"/>
        </w:rPr>
        <w:t xml:space="preserve">One-line pitch — AgentGit is the governance layer for AI agents in the software development lifecycle: every action an agent takes is policy-checked, snapshot-backed, and journaled, so teams can ship agent autonomy without giving up control, reversibility, or evidence.</w:t>
      </w:r>
    </w:p>
    <w:p>
      <w:pPr>
        <w:pStyle w:val="Heading1"/>
      </w:pPr>
      <w:r>
        <w:t xml:space="preserve">1. Executive summary</w:t>
      </w:r>
    </w:p>
    <w:p>
      <w:pPr>
        <w:spacing w:after="120"/>
      </w:pPr>
      <w:r>
        <w:t xml:space="preserve">AgentGit is a local daemon that sits between an autonomous agent runtime and the operating system. Every file write, shell command, MCP tool call, and owned-function mutation passes through eight governance subsystems before it executes. The result is a control plane that gives operators deterministic policy, pre-computed rollback, durable audit evidence, and a real trust model for external tool servers — without sending a single byte off the user's machine.</w:t>
      </w:r>
    </w:p>
    <w:p>
      <w:pPr>
        <w:spacing w:after="120"/>
      </w:pPr>
      <w:r>
        <w:t xml:space="preserve">This is not a framework. It is the layer frameworks skip. It composes with LangGraph, OpenAI Agents SDK, Claude Agent SDK, and any runtime that can talk to a Unix socket. It is MIT-licensed, shipping on npm today, and explicitly local-first at launch.</w:t>
      </w:r>
    </w:p>
    <w:p>
      <w:pPr>
        <w:pStyle w:val="Heading1"/>
      </w:pPr>
      <w:r>
        <w:t xml:space="preserve">2. Target audience</w:t>
      </w:r>
    </w:p>
    <w:p>
      <w:pPr>
        <w:pStyle w:val="Heading2"/>
      </w:pPr>
      <w:r>
        <w:t xml:space="preserve">Primary persona — the Agent Platform Owner</w:t>
      </w:r>
    </w:p>
    <w:p>
      <w:pPr>
        <w:pStyle w:val="ListParagraph"/>
        <w:numPr>
          <w:ilvl w:val="0"/>
          <w:numId w:val="2"/>
        </w:numPr>
        <w:spacing w:after="80"/>
      </w:pPr>
      <w:r>
        <w:rPr>
          <w:b/>
          <w:bCs/>
        </w:rPr>
        <w:t xml:space="preserve">Title</w:t>
      </w:r>
      <w:r>
        <w:t xml:space="preserve"> — Staff engineer, platform lead, head of AI platform, head of developer productivity, or CTO at a 10–500 engineer company.</w:t>
      </w:r>
    </w:p>
    <w:p>
      <w:pPr>
        <w:pStyle w:val="ListParagraph"/>
        <w:numPr>
          <w:ilvl w:val="0"/>
          <w:numId w:val="2"/>
        </w:numPr>
        <w:spacing w:after="80"/>
      </w:pPr>
      <w:r>
        <w:rPr>
          <w:b/>
          <w:bCs/>
        </w:rPr>
        <w:t xml:space="preserve">Context</w:t>
      </w:r>
      <w:r>
        <w:t xml:space="preserve"> — Owns the runtime that autonomous agents run inside. Has at least one agent doing real work against real files, real shells, or real MCP servers.</w:t>
      </w:r>
    </w:p>
    <w:p>
      <w:pPr>
        <w:pStyle w:val="ListParagraph"/>
        <w:numPr>
          <w:ilvl w:val="0"/>
          <w:numId w:val="2"/>
        </w:numPr>
        <w:spacing w:after="80"/>
      </w:pPr>
      <w:r>
        <w:rPr>
          <w:b/>
          <w:bCs/>
        </w:rPr>
        <w:t xml:space="preserve">Pain</w:t>
      </w:r>
      <w:r>
        <w:t xml:space="preserve"> — The agent works until it doesn't, and when it doesn't, nobody knows what happened, what got touched, or how to roll back only the bad parts.</w:t>
      </w:r>
    </w:p>
    <w:p>
      <w:pPr>
        <w:pStyle w:val="ListParagraph"/>
        <w:numPr>
          <w:ilvl w:val="0"/>
          <w:numId w:val="2"/>
        </w:numPr>
        <w:spacing w:after="80"/>
      </w:pPr>
      <w:r>
        <w:rPr>
          <w:b/>
          <w:bCs/>
        </w:rPr>
        <w:t xml:space="preserve">Buying trigger</w:t>
      </w:r>
      <w:r>
        <w:t xml:space="preserve"> — Either (a) an incident where an agent did something wrong and there was no rollback path, or (b) a compliance / security review that asked for an audit trail that does not exist.</w:t>
      </w:r>
    </w:p>
    <w:p>
      <w:pPr>
        <w:pStyle w:val="ListParagraph"/>
        <w:numPr>
          <w:ilvl w:val="0"/>
          <w:numId w:val="2"/>
        </w:numPr>
        <w:spacing w:after="80"/>
      </w:pPr>
      <w:r>
        <w:rPr>
          <w:b/>
          <w:bCs/>
        </w:rPr>
        <w:t xml:space="preserve">Success metric</w:t>
      </w:r>
      <w:r>
        <w:t xml:space="preserve"> — They can let an agent run overnight against a real workspace and not dread checking Slack in the morning.</w:t>
      </w:r>
    </w:p>
    <w:p>
      <w:pPr>
        <w:pStyle w:val="Heading2"/>
      </w:pPr>
      <w:r>
        <w:t xml:space="preserve">Secondary persona — the Security / Compliance partner</w:t>
      </w:r>
    </w:p>
    <w:p>
      <w:pPr>
        <w:pStyle w:val="ListParagraph"/>
        <w:numPr>
          <w:ilvl w:val="0"/>
          <w:numId w:val="2"/>
        </w:numPr>
        <w:spacing w:after="80"/>
      </w:pPr>
      <w:r>
        <w:rPr>
          <w:b/>
          <w:bCs/>
        </w:rPr>
        <w:t xml:space="preserve">Title</w:t>
      </w:r>
      <w:r>
        <w:t xml:space="preserve"> — AppSec lead, SOC2 program owner, compliance engineer.</w:t>
      </w:r>
    </w:p>
    <w:p>
      <w:pPr>
        <w:pStyle w:val="ListParagraph"/>
        <w:numPr>
          <w:ilvl w:val="0"/>
          <w:numId w:val="2"/>
        </w:numPr>
        <w:spacing w:after="80"/>
      </w:pPr>
      <w:r>
        <w:rPr>
          <w:b/>
          <w:bCs/>
        </w:rPr>
        <w:t xml:space="preserve">Why they care</w:t>
      </w:r>
      <w:r>
        <w:t xml:space="preserve"> — They need evidence, reversibility, and controllable blast radius before they sign off on autonomous agents touching the codebase or production systems.</w:t>
      </w:r>
    </w:p>
    <w:p>
      <w:pPr>
        <w:pStyle w:val="ListParagraph"/>
        <w:numPr>
          <w:ilvl w:val="0"/>
          <w:numId w:val="2"/>
        </w:numPr>
        <w:spacing w:after="80"/>
      </w:pPr>
      <w:r>
        <w:rPr>
          <w:b/>
          <w:bCs/>
        </w:rPr>
        <w:t xml:space="preserve">What moves them</w:t>
      </w:r>
      <w:r>
        <w:t xml:space="preserve"> — Exportable, tamper-detectable audit bundles; deterministic policy they can review as code; fail-closed behavior on unsupported surfaces; OS-backed secret handling for external tool servers.</w:t>
      </w:r>
    </w:p>
    <w:p>
      <w:pPr>
        <w:pStyle w:val="Heading2"/>
      </w:pPr>
      <w:r>
        <w:t xml:space="preserve">Tertiary persona — the curious tinkerer</w:t>
      </w:r>
    </w:p>
    <w:p>
      <w:pPr>
        <w:pStyle w:val="ListParagraph"/>
        <w:numPr>
          <w:ilvl w:val="0"/>
          <w:numId w:val="2"/>
        </w:numPr>
        <w:spacing w:after="80"/>
      </w:pPr>
      <w:r>
        <w:rPr>
          <w:b/>
          <w:bCs/>
        </w:rPr>
        <w:t xml:space="preserve">Who</w:t>
      </w:r>
      <w:r>
        <w:t xml:space="preserve"> — Indie devs and researchers running Claude, OSS LLMs, or custom agents on their own workstation.</w:t>
      </w:r>
    </w:p>
    <w:p>
      <w:pPr>
        <w:pStyle w:val="ListParagraph"/>
        <w:numPr>
          <w:ilvl w:val="0"/>
          <w:numId w:val="2"/>
        </w:numPr>
        <w:spacing w:after="80"/>
      </w:pPr>
      <w:r>
        <w:rPr>
          <w:b/>
          <w:bCs/>
        </w:rPr>
        <w:t xml:space="preserve">Why they care</w:t>
      </w:r>
      <w:r>
        <w:t xml:space="preserve"> — They feel the sharp edge of agent autonomy every day and want reversibility without stitching together their own snapshot/journal system.</w:t>
      </w:r>
    </w:p>
    <w:p>
      <w:pPr>
        <w:pStyle w:val="ListParagraph"/>
        <w:numPr>
          <w:ilvl w:val="0"/>
          <w:numId w:val="2"/>
        </w:numPr>
        <w:spacing w:after="80"/>
      </w:pPr>
      <w:r>
        <w:rPr>
          <w:b/>
          <w:bCs/>
        </w:rPr>
        <w:t xml:space="preserve">Why they matter</w:t>
      </w:r>
      <w:r>
        <w:t xml:space="preserve"> — They drive word of mouth, HN posts, and the first wave of credibility. They are also the real-world testers for edge cases.</w:t>
      </w:r>
    </w:p>
    <w:p>
      <w:pPr>
        <w:pStyle w:val="Heading1"/>
      </w:pPr>
      <w:r>
        <w:t xml:space="preserve">3. The problem we solve</w:t>
      </w:r>
    </w:p>
    <w:p>
      <w:pPr>
        <w:spacing w:after="120"/>
      </w:pPr>
      <w:r>
        <w:t xml:space="preserve">Every team running autonomous agents today hits the same four unanswered questions the first time something goes wrong:</w:t>
      </w:r>
    </w:p>
    <w:p>
      <w:pPr>
        <w:pStyle w:val="ListParagraph"/>
        <w:numPr>
          <w:ilvl w:val="0"/>
          <w:numId w:val="3"/>
        </w:numPr>
        <w:spacing w:after="80"/>
      </w:pPr>
      <w:r>
        <w:t xml:space="preserve">What did the agent actually do, in order, with what inputs and outputs?</w:t>
      </w:r>
    </w:p>
    <w:p>
      <w:pPr>
        <w:pStyle w:val="ListParagraph"/>
        <w:numPr>
          <w:ilvl w:val="0"/>
          <w:numId w:val="3"/>
        </w:numPr>
        <w:spacing w:after="80"/>
      </w:pPr>
      <w:r>
        <w:t xml:space="preserve">How do I roll back only the bad parts of the run without nuking the good parts?</w:t>
      </w:r>
    </w:p>
    <w:p>
      <w:pPr>
        <w:pStyle w:val="ListParagraph"/>
        <w:numPr>
          <w:ilvl w:val="0"/>
          <w:numId w:val="3"/>
        </w:numPr>
        <w:spacing w:after="80"/>
      </w:pPr>
      <w:r>
        <w:t xml:space="preserve">How do I enforce operator rules like 'ask before deleting' or 'never write outside this workspace'?</w:t>
      </w:r>
    </w:p>
    <w:p>
      <w:pPr>
        <w:pStyle w:val="ListParagraph"/>
        <w:numPr>
          <w:ilvl w:val="0"/>
          <w:numId w:val="3"/>
        </w:numPr>
        <w:spacing w:after="80"/>
      </w:pPr>
      <w:r>
        <w:t xml:space="preserve">How do I give an agent access to an MCP server without handing it unchecked credentials?</w:t>
      </w:r>
    </w:p>
    <w:p>
      <w:pPr>
        <w:spacing w:after="120"/>
      </w:pPr>
      <w:r>
        <w:t xml:space="preserve">Agent runtimes and observability tools do not answer these questions. They log what the model said. AgentGit logs what the agent actually did and gives you the control surface to govern and reverse it.</w:t>
      </w:r>
    </w:p>
    <w:p>
      <w:pPr>
        <w:pStyle w:val="Heading1"/>
      </w:pPr>
      <w:r>
        <w:t xml:space="preserve">4. Positioning statement</w:t>
      </w:r>
    </w:p>
    <w:p>
      <w:pPr>
        <w:pBdr>
          <w:left w:val="single" w:color="0ACDCF" w:sz="24" w:space="8"/>
        </w:pBdr>
        <w:shd w:fill="E6FBFB" w:val="clear"/>
        <w:spacing w:after="200" w:before="160"/>
      </w:pPr>
      <w:r>
        <w:rPr>
          <w:i/>
          <w:iCs/>
          <w:color w:val="0B0F14"/>
        </w:rPr>
        <w:t xml:space="preserve">For platform owners and security teams shipping autonomous agents into real workflows, AgentGit is the local-first execution authority that makes every agent action policy-checked, snapshot-backed, and auditable. Unlike agent runtimes that orchestrate LLM calls, or observability tools that log what the model said, AgentGit governs and journals what the agent actually did — deterministically, with pre-computed recovery, and without sending data off the machine.</w:t>
      </w:r>
    </w:p>
    <w:p>
      <w:pPr>
        <w:pStyle w:val="Heading2"/>
      </w:pPr>
      <w:r>
        <w:t xml:space="preserve">Category</w:t>
      </w:r>
    </w:p>
    <w:p>
      <w:pPr>
        <w:spacing w:after="120"/>
      </w:pPr>
      <w:r>
        <w:t xml:space="preserve">Agent execution authority. Sometimes described as an 'agent control plane' or 'agent governance layer.' We do not use the phrase 'agent firewall' — it is not wrong, but it undersells the recovery and evidence story.</w:t>
      </w:r>
    </w:p>
    <w:p>
      <w:pPr>
        <w:pStyle w:val="Heading2"/>
      </w:pPr>
      <w:r>
        <w:t xml:space="preserve">Key differentiators (the proof points)</w:t>
      </w:r>
    </w:p>
    <w:p>
      <w:pPr>
        <w:pStyle w:val="ListParagraph"/>
        <w:numPr>
          <w:ilvl w:val="0"/>
          <w:numId w:val="2"/>
        </w:numPr>
        <w:spacing w:after="80"/>
      </w:pPr>
      <w:r>
        <w:t xml:space="preserve">Deterministic policy. Same action + same policy = same outcome, every time. No opaque ML scoring. Verified with golden-fixture tests in the repo.</w:t>
      </w:r>
    </w:p>
    <w:p>
      <w:pPr>
        <w:pStyle w:val="ListParagraph"/>
        <w:numPr>
          <w:ilvl w:val="0"/>
          <w:numId w:val="2"/>
        </w:numPr>
        <w:spacing w:after="80"/>
      </w:pPr>
      <w:r>
        <w:t xml:space="preserve">Snapshot-backed recovery. The rollback boundary is captured before the action executes, not after the fact. Four recovery classes (reversible, compensatable, review-only, irreversible) with graceful degradation.</w:t>
      </w:r>
    </w:p>
    <w:p>
      <w:pPr>
        <w:pStyle w:val="ListParagraph"/>
        <w:numPr>
          <w:ilvl w:val="0"/>
          <w:numId w:val="2"/>
        </w:numPr>
        <w:spacing w:after="80"/>
      </w:pPr>
      <w:r>
        <w:t xml:space="preserve">Fail closed on unsupported surfaces. Browser control, generic HTTP, and agent-initiated remote MCP registration return an explicit PRECONDITION_FAILED instead of silently pretending to govern them.</w:t>
      </w:r>
    </w:p>
    <w:p>
      <w:pPr>
        <w:pStyle w:val="ListParagraph"/>
        <w:numPr>
          <w:ilvl w:val="0"/>
          <w:numId w:val="2"/>
        </w:numPr>
        <w:spacing w:after="80"/>
      </w:pPr>
      <w:r>
        <w:t xml:space="preserve">MCP with a real trust model. OS-backed secret storage (macOS Keychain / Linux Secret Service), digest-pinned OCI containers with --cap-drop=ALL for stdio servers, cosign signature verification with SLSA provenance, explicit HTTPS host allowlists with DNS and IP scope validation, per-server tool allowlists.</w:t>
      </w:r>
    </w:p>
    <w:p>
      <w:pPr>
        <w:pStyle w:val="ListParagraph"/>
        <w:numPr>
          <w:ilvl w:val="0"/>
          <w:numId w:val="2"/>
        </w:numPr>
        <w:spacing w:after="80"/>
      </w:pPr>
      <w:r>
        <w:t xml:space="preserve">Durable, exportable audit. Append-only SQLite journal. Tamper-detectable evidence bundles with export, verify, and redacted-share workflows.</w:t>
      </w:r>
    </w:p>
    <w:p>
      <w:pPr>
        <w:pStyle w:val="ListParagraph"/>
        <w:numPr>
          <w:ilvl w:val="0"/>
          <w:numId w:val="2"/>
        </w:numPr>
        <w:spacing w:after="80"/>
      </w:pPr>
      <w:r>
        <w:t xml:space="preserve">Policy calibration loop. After real traffic, get data-driven threshold recommendations, replay candidate thresholds against journaled history, and adopt only what the operator explicitly reviews. Policy never self-mutates.</w:t>
      </w:r>
    </w:p>
    <w:p>
      <w:pPr>
        <w:pStyle w:val="ListParagraph"/>
        <w:numPr>
          <w:ilvl w:val="0"/>
          <w:numId w:val="2"/>
        </w:numPr>
        <w:spacing w:after="80"/>
      </w:pPr>
      <w:r>
        <w:t xml:space="preserve">Local-first by design. Your data never leaves the machine unless you explicitly export a bundle. No telemetry. No cloud handshake.</w:t>
      </w:r>
    </w:p>
    <w:p>
      <w:pPr>
        <w:pStyle w:val="Heading2"/>
      </w:pPr>
      <w:r>
        <w:t xml:space="preserve">What AgentGit is not</w:t>
      </w:r>
    </w:p>
    <w:p>
      <w:pPr>
        <w:pStyle w:val="ListParagraph"/>
        <w:numPr>
          <w:ilvl w:val="0"/>
          <w:numId w:val="2"/>
        </w:numPr>
        <w:spacing w:after="80"/>
      </w:pPr>
      <w:r>
        <w:t xml:space="preserve">Not an agent runtime. It does not orchestrate LLM calls or manage memory.</w:t>
      </w:r>
    </w:p>
    <w:p>
      <w:pPr>
        <w:pStyle w:val="ListParagraph"/>
        <w:numPr>
          <w:ilvl w:val="0"/>
          <w:numId w:val="2"/>
        </w:numPr>
        <w:spacing w:after="80"/>
      </w:pPr>
      <w:r>
        <w:t xml:space="preserve">Not a validator for model outputs. Guardrails AI and NeMo Guardrails validate what the model says; AgentGit governs what the agent does.</w:t>
      </w:r>
    </w:p>
    <w:p>
      <w:pPr>
        <w:pStyle w:val="ListParagraph"/>
        <w:numPr>
          <w:ilvl w:val="0"/>
          <w:numId w:val="2"/>
        </w:numPr>
        <w:spacing w:after="80"/>
      </w:pPr>
      <w:r>
        <w:t xml:space="preserve">Not a hosted SaaS (at launch). The hosted phase is explicitly on the roadmap and will sit on top of the same spine.</w:t>
      </w:r>
    </w:p>
    <w:p>
      <w:pPr>
        <w:pStyle w:val="ListParagraph"/>
        <w:numPr>
          <w:ilvl w:val="0"/>
          <w:numId w:val="2"/>
        </w:numPr>
        <w:spacing w:after="80"/>
      </w:pPr>
      <w:r>
        <w:t xml:space="preserve">Not an MCP gateway. MCP trust controls are one of eight subsystems, not the product.</w:t>
      </w:r>
    </w:p>
    <w:p>
      <w:pPr>
        <w:pStyle w:val="Heading1"/>
      </w:pPr>
      <w:r>
        <w:t xml:space="preserve">5. Value proposition pillars</w:t>
      </w:r>
    </w:p>
    <w:p>
      <w:pPr>
        <w:pStyle w:val="Heading2"/>
      </w:pPr>
      <w:r>
        <w:t xml:space="preserve">Pillar 1 — Control</w:t>
      </w:r>
    </w:p>
    <w:p>
      <w:pPr>
        <w:spacing w:after="120"/>
      </w:pPr>
      <w:r>
        <w:t xml:space="preserve">Operators write explicit, layered, deterministic rules. Outcomes are allow, deny, ask, simulate, or allow_with_snapshot. Nothing is guessed. Nothing is hidden. The policy is code you can review, test, and diff.</w:t>
      </w:r>
    </w:p>
    <w:p>
      <w:pPr>
        <w:pStyle w:val="Heading2"/>
      </w:pPr>
      <w:r>
        <w:t xml:space="preserve">Pillar 2 — Reversibility</w:t>
      </w:r>
    </w:p>
    <w:p>
      <w:pPr>
        <w:spacing w:after="120"/>
      </w:pPr>
      <w:r>
        <w:t xml:space="preserve">Snapshots are captured before risky actions. Recovery plans are pre-computed at execution time and drill-tested. When something goes wrong, you do not debug the history — you roll it back.</w:t>
      </w:r>
    </w:p>
    <w:p>
      <w:pPr>
        <w:pStyle w:val="Heading2"/>
      </w:pPr>
      <w:r>
        <w:t xml:space="preserve">Pillar 3 — Evidence</w:t>
      </w:r>
    </w:p>
    <w:p>
      <w:pPr>
        <w:spacing w:after="120"/>
      </w:pPr>
      <w:r>
        <w:t xml:space="preserve">Every run is an append-only journal that can be exported as a tamper-detectable audit bundle. Security teams can verify integrity. Operators can share a redacted version. Future-you has the receipts.</w:t>
      </w:r>
    </w:p>
    <w:p>
      <w:pPr>
        <w:pStyle w:val="Heading2"/>
      </w:pPr>
      <w:r>
        <w:t xml:space="preserve">Pillar 4 — Trust for external tools</w:t>
      </w:r>
    </w:p>
    <w:p>
      <w:pPr>
        <w:spacing w:after="120"/>
      </w:pPr>
      <w:r>
        <w:t xml:space="preserve">MCP is a first-class governed surface with OS-backed secrets, container isolation, signature and provenance verification, and explicit host and tool allowlists. Operators onboard servers, not agents.</w:t>
      </w:r>
    </w:p>
    <w:p>
      <w:pPr>
        <w:pStyle w:val="Heading2"/>
      </w:pPr>
      <w:r>
        <w:t xml:space="preserve">Pillar 5 — Local-first</w:t>
      </w:r>
    </w:p>
    <w:p>
      <w:pPr>
        <w:spacing w:after="120"/>
      </w:pPr>
      <w:r>
        <w:t xml:space="preserve">Everything runs on the user's machine. No telemetry. No cloud dependency. Audit bundles leave only when the operator explicitly exports them.</w:t>
      </w:r>
    </w:p>
    <w:p>
      <w:pPr>
        <w:pStyle w:val="Heading1"/>
      </w:pPr>
      <w:r>
        <w:t xml:space="preserve">6. Messaging house</w:t>
      </w:r>
    </w:p>
    <w:p>
      <w:pPr>
        <w:pStyle w:val="Heading2"/>
      </w:pPr>
      <w:r>
        <w:t xml:space="preserve">Headline candidates (A/B pool)</w:t>
      </w:r>
    </w:p>
    <w:p>
      <w:pPr>
        <w:pStyle w:val="ListParagraph"/>
        <w:numPr>
          <w:ilvl w:val="0"/>
          <w:numId w:val="2"/>
        </w:numPr>
        <w:spacing w:after="80"/>
      </w:pPr>
      <w:r>
        <w:t xml:space="preserve">Let your agents run. Just never run blind.</w:t>
      </w:r>
    </w:p>
    <w:p>
      <w:pPr>
        <w:pStyle w:val="ListParagraph"/>
        <w:numPr>
          <w:ilvl w:val="0"/>
          <w:numId w:val="2"/>
        </w:numPr>
        <w:spacing w:after="80"/>
      </w:pPr>
      <w:r>
        <w:t xml:space="preserve">The authority layer autonomous agents were missing.</w:t>
      </w:r>
    </w:p>
    <w:p>
      <w:pPr>
        <w:pStyle w:val="ListParagraph"/>
        <w:numPr>
          <w:ilvl w:val="0"/>
          <w:numId w:val="2"/>
        </w:numPr>
        <w:spacing w:after="80"/>
      </w:pPr>
      <w:r>
        <w:t xml:space="preserve">Deterministic policy. Snapshot-backed recovery. Durable evidence.</w:t>
      </w:r>
    </w:p>
    <w:p>
      <w:pPr>
        <w:pStyle w:val="ListParagraph"/>
        <w:numPr>
          <w:ilvl w:val="0"/>
          <w:numId w:val="2"/>
        </w:numPr>
        <w:spacing w:after="80"/>
      </w:pPr>
      <w:r>
        <w:t xml:space="preserve">Agents need guardrails, not guidelines.</w:t>
      </w:r>
    </w:p>
    <w:p>
      <w:pPr>
        <w:pStyle w:val="ListParagraph"/>
        <w:numPr>
          <w:ilvl w:val="0"/>
          <w:numId w:val="2"/>
        </w:numPr>
        <w:spacing w:after="80"/>
      </w:pPr>
      <w:r>
        <w:t xml:space="preserve">Ship agents to production without shipping your uptime with them.</w:t>
      </w:r>
    </w:p>
    <w:p>
      <w:pPr>
        <w:pStyle w:val="Heading2"/>
      </w:pPr>
      <w:r>
        <w:t xml:space="preserve">Supporting lines</w:t>
      </w:r>
    </w:p>
    <w:p>
      <w:pPr>
        <w:pStyle w:val="ListParagraph"/>
        <w:numPr>
          <w:ilvl w:val="0"/>
          <w:numId w:val="2"/>
        </w:numPr>
        <w:spacing w:after="80"/>
      </w:pPr>
      <w:r>
        <w:t xml:space="preserve">Every file write, shell command, and MCP call, policy-checked and journaled — locally.</w:t>
      </w:r>
    </w:p>
    <w:p>
      <w:pPr>
        <w:pStyle w:val="ListParagraph"/>
        <w:numPr>
          <w:ilvl w:val="0"/>
          <w:numId w:val="2"/>
        </w:numPr>
        <w:spacing w:after="80"/>
      </w:pPr>
      <w:r>
        <w:t xml:space="preserve">Rollback is a plan, not a wish. Snapshots are captured before the action runs.</w:t>
      </w:r>
    </w:p>
    <w:p>
      <w:pPr>
        <w:pStyle w:val="ListParagraph"/>
        <w:numPr>
          <w:ilvl w:val="0"/>
          <w:numId w:val="2"/>
        </w:numPr>
        <w:spacing w:after="80"/>
      </w:pPr>
      <w:r>
        <w:t xml:space="preserve">Your data never leaves your machine.</w:t>
      </w:r>
    </w:p>
    <w:p>
      <w:pPr>
        <w:pStyle w:val="ListParagraph"/>
        <w:numPr>
          <w:ilvl w:val="0"/>
          <w:numId w:val="2"/>
        </w:numPr>
        <w:spacing w:after="80"/>
      </w:pPr>
      <w:r>
        <w:t xml:space="preserve">Composes with LangGraph, OpenAI Agents SDK, Claude Agent SDK, and any runtime that can talk to a socket.</w:t>
      </w:r>
    </w:p>
    <w:p>
      <w:pPr>
        <w:pStyle w:val="Heading2"/>
      </w:pPr>
      <w:r>
        <w:t xml:space="preserve">Elevator pitches</w:t>
      </w:r>
    </w:p>
    <w:p>
      <w:pPr>
        <w:pStyle w:val="Heading3"/>
      </w:pPr>
      <w:r>
        <w:t xml:space="preserve">10 seconds</w:t>
      </w:r>
    </w:p>
    <w:p>
      <w:pPr>
        <w:spacing w:after="120"/>
      </w:pPr>
      <w:r>
        <w:t xml:space="preserve">AgentGit is a local daemon that sits between your agent and the OS. Every action the agent takes is policy-checked, snapshot-backed, and journaled. You get real autonomy with real control.</w:t>
      </w:r>
    </w:p>
    <w:p>
      <w:pPr>
        <w:pStyle w:val="Heading3"/>
      </w:pPr>
      <w:r>
        <w:t xml:space="preserve">30 seconds</w:t>
      </w:r>
    </w:p>
    <w:p>
      <w:pPr>
        <w:spacing w:after="120"/>
      </w:pPr>
      <w:r>
        <w:t xml:space="preserve">Running autonomous agents in production breaks the moment you ask 'what did it actually do, and how do I roll that back?' AgentGit is the local-first execution authority that answers both questions. Every action flows through deterministic policy, captures a rollback snapshot when it needs one, runs in a governed adapter, and lands in an append-only audit journal. It composes with any runtime, ships on npm, and is MIT-licensed. No cloud, no telemetry, no agent is allowed to touch your OS directly.</w:t>
      </w:r>
    </w:p>
    <w:p>
      <w:pPr>
        <w:pStyle w:val="Heading3"/>
      </w:pPr>
      <w:r>
        <w:t xml:space="preserve">2 minutes</w:t>
      </w:r>
    </w:p>
    <w:p>
      <w:pPr>
        <w:spacing w:after="120"/>
      </w:pPr>
      <w:r>
        <w:t xml:space="preserve">Agent runtimes like LangGraph and OpenAI Agents SDK are great at orchestrating LLM calls and tool use. None of them answer the operational questions that matter once you let an agent touch a real codebase, a real shell, or a real MCP server. Four questions come up every time: what did the agent actually do; how do I roll back the bad parts without losing the good parts; how do I enforce operator rules like 'ask before deleting'; and how do I trust an MCP server I did not write.</w:t>
      </w:r>
    </w:p>
    <w:p>
      <w:pPr>
        <w:spacing w:after="120"/>
      </w:pPr>
      <w:r>
        <w:t xml:space="preserve">AgentGit answers all four. It is a local daemon your agent runtime calls into instead of calling the OS directly. Every action goes through eight subsystems: action normalization, deterministic policy, snapshot capture, governed execution, append-only journaling, recovery planning, timeline projection, and operator surfaces. Policy is deterministic, with five outcomes — allow, deny, ask, simulate, allow_with_snapshot. Snapshots are captured before risky actions, so recovery plans are pre-computed and drill-tested, not improvised after the fact. MCP is a first-class governed surface with OS-backed secrets, digest-pinned OCI containers, cosign and SLSA verification, and explicit host and tool allowlists. Unsupported surfaces fail closed with an explicit precondition failure rather than silently pretending to govern what we cannot govern yet.</w:t>
      </w:r>
    </w:p>
    <w:p>
      <w:pPr>
        <w:spacing w:after="120"/>
      </w:pPr>
      <w:r>
        <w:t xml:space="preserve">Everything is local-first. Your data never leaves the machine unless you explicitly export a tamper-detectable audit bundle. The packages are on npm today — authority-cli, authority-daemon, authority-sdk, schemas — and there is a Python SDK for agents written outside the Node ecosystem. It is MIT-licensed, reproducible builds, signed releases, and the repo includes golden-fixture policy tests, recovery drills, and a pre-launch adversarial audit plan. If you run agents in anger, AgentGit is the control plane you wish your runtime came with.</w:t>
      </w:r>
    </w:p>
    <w:p>
      <w:pPr>
        <w:pStyle w:val="Heading1"/>
      </w:pPr>
      <w:r>
        <w:t xml:space="preserve">7. Objections and responses</w:t>
      </w:r>
    </w:p>
    <w:p>
      <w:pPr>
        <w:pStyle w:val="Heading3"/>
      </w:pPr>
      <w:r>
        <w:t xml:space="preserve">"We already use LangGraph / OpenAI Agents SDK / Claude Agent SDK."</w:t>
      </w:r>
    </w:p>
    <w:p>
      <w:pPr>
        <w:spacing w:after="120"/>
      </w:pPr>
      <w:r>
        <w:t xml:space="preserve">Great — AgentGit sits underneath them. It is not a replacement for the runtime; it is the execution authority the runtime calls into. You keep your orchestration. You gain deterministic policy, rollback, and audit.</w:t>
      </w:r>
    </w:p>
    <w:p>
      <w:pPr>
        <w:pStyle w:val="Heading3"/>
      </w:pPr>
      <w:r>
        <w:t xml:space="preserve">"Isn't this just a guardrails framework?"</w:t>
      </w:r>
    </w:p>
    <w:p>
      <w:pPr>
        <w:spacing w:after="120"/>
      </w:pPr>
      <w:r>
        <w:t xml:space="preserve">Guardrails frameworks validate model outputs — the text the model generates. AgentGit governs what the agent actually does, with pre-execution policy and post-execution recovery and evidence. They compose well.</w:t>
      </w:r>
    </w:p>
    <w:p>
      <w:pPr>
        <w:pStyle w:val="Heading3"/>
      </w:pPr>
      <w:r>
        <w:t xml:space="preserve">"We can't run another daemon."</w:t>
      </w:r>
    </w:p>
    <w:p>
      <w:pPr>
        <w:spacing w:after="120"/>
      </w:pPr>
      <w:r>
        <w:t xml:space="preserve">It is one binary, one socket, one SQLite file. It runs on the operator's machine, not in your cluster. No orchestrator required.</w:t>
      </w:r>
    </w:p>
    <w:p>
      <w:pPr>
        <w:pStyle w:val="Heading3"/>
      </w:pPr>
      <w:r>
        <w:t xml:space="preserve">"Local-first means we can't use it across a fleet."</w:t>
      </w:r>
    </w:p>
    <w:p>
      <w:pPr>
        <w:spacing w:after="120"/>
      </w:pPr>
      <w:r>
        <w:t xml:space="preserve">At launch, yes, local-first is the scope. The export/verify/share bundle workflow is how you move evidence off the machine. A hosted phase is on the roadmap and will reuse the exact same journal spine.</w:t>
      </w:r>
    </w:p>
    <w:p>
      <w:pPr>
        <w:pStyle w:val="Heading3"/>
      </w:pPr>
      <w:r>
        <w:t xml:space="preserve">"We trust our LLM. We don't need governance."</w:t>
      </w:r>
    </w:p>
    <w:p>
      <w:pPr>
        <w:spacing w:after="120"/>
      </w:pPr>
      <w:r>
        <w:t xml:space="preserve">Agent autonomy goes wrong in two ways: the model does something you did not expect, and the tool surface does something the model did not realize. Deterministic policy and rollback catch both. Trust the model; verify the action.</w:t>
      </w:r>
    </w:p>
    <w:p>
      <w:pPr>
        <w:pStyle w:val="Heading3"/>
      </w:pPr>
      <w:r>
        <w:t xml:space="preserve">"Our agents are stateless and don't touch real files."</w:t>
      </w:r>
    </w:p>
    <w:p>
      <w:pPr>
        <w:spacing w:after="120"/>
      </w:pPr>
      <w:r>
        <w:t xml:space="preserve">Then you probably don't need AgentGit yet. We only sell to teams whose agents can break something. If your agents can't break anything, come back when they can.</w:t>
      </w:r>
    </w:p>
    <w:p>
      <w:pPr>
        <w:pStyle w:val="Heading1"/>
      </w:pPr>
      <w:r>
        <w:t xml:space="preserve">8. Feature → benefit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5DAE1" w:sz="4"/>
              <w:left w:val="single" w:color="D5DAE1" w:sz="4"/>
              <w:bottom w:val="single" w:color="D5DAE1" w:sz="4"/>
              <w:right w:val="single" w:color="D5DAE1" w:sz="4"/>
            </w:tcBorders>
            <w:shd w:fill="0B0F14" w:val="clear"/>
            <w:tcMar>
              <w:top w:type="dxa" w:w="120"/>
              <w:left w:type="dxa" w:w="160"/>
              <w:bottom w:type="dxa" w:w="120"/>
              <w:right w:type="dxa" w:w="160"/>
            </w:tcMar>
          </w:tcPr>
          <w:p>
            <w:r>
              <w:rPr>
                <w:b/>
                <w:bCs/>
                <w:color w:val="FFFFFF"/>
              </w:rPr>
              <w:t xml:space="preserve">Feature</w:t>
            </w:r>
          </w:p>
        </w:tc>
        <w:tc>
          <w:tcPr>
            <w:tcW w:type="dxa" w:w="6240"/>
            <w:tcBorders>
              <w:top w:val="single" w:color="D5DAE1" w:sz="4"/>
              <w:left w:val="single" w:color="D5DAE1" w:sz="4"/>
              <w:bottom w:val="single" w:color="D5DAE1" w:sz="4"/>
              <w:right w:val="single" w:color="D5DAE1" w:sz="4"/>
            </w:tcBorders>
            <w:shd w:fill="0B0F14" w:val="clear"/>
            <w:tcMar>
              <w:top w:type="dxa" w:w="120"/>
              <w:left w:type="dxa" w:w="160"/>
              <w:bottom w:type="dxa" w:w="120"/>
              <w:right w:type="dxa" w:w="160"/>
            </w:tcMar>
          </w:tcPr>
          <w:p>
            <w:r>
              <w:rPr>
                <w:b/>
                <w:bCs/>
                <w:color w:val="FFFFFF"/>
              </w:rPr>
              <w:t xml:space="preserve">Benefit to operator</w:t>
            </w:r>
          </w:p>
        </w:tc>
      </w:tr>
      <w:tr>
        <w:tc>
          <w:tcPr>
            <w:tcW w:type="dxa" w:w="3120"/>
            <w:tcBorders>
              <w:top w:val="single" w:color="D5DAE1" w:sz="4"/>
              <w:left w:val="single" w:color="D5DAE1" w:sz="4"/>
              <w:bottom w:val="single" w:color="D5DAE1" w:sz="4"/>
              <w:right w:val="single" w:color="D5DAE1" w:sz="4"/>
            </w:tcBorders>
            <w:shd w:fill="FFFFFF" w:val="clear"/>
            <w:tcMar>
              <w:top w:type="dxa" w:w="120"/>
              <w:left w:type="dxa" w:w="160"/>
              <w:bottom w:type="dxa" w:w="120"/>
              <w:right w:type="dxa" w:w="160"/>
            </w:tcMar>
          </w:tcPr>
          <w:p>
            <w:r>
              <w:rPr>
                <w:b w:val="false"/>
                <w:bCs w:val="false"/>
                <w:color w:val="000000"/>
              </w:rPr>
              <w:t xml:space="preserve">Deterministic policy engine</w:t>
            </w:r>
          </w:p>
        </w:tc>
        <w:tc>
          <w:tcPr>
            <w:tcW w:type="dxa" w:w="6240"/>
            <w:tcBorders>
              <w:top w:val="single" w:color="D5DAE1" w:sz="4"/>
              <w:left w:val="single" w:color="D5DAE1" w:sz="4"/>
              <w:bottom w:val="single" w:color="D5DAE1" w:sz="4"/>
              <w:right w:val="single" w:color="D5DAE1" w:sz="4"/>
            </w:tcBorders>
            <w:shd w:fill="FFFFFF" w:val="clear"/>
            <w:tcMar>
              <w:top w:type="dxa" w:w="120"/>
              <w:left w:type="dxa" w:w="160"/>
              <w:bottom w:type="dxa" w:w="120"/>
              <w:right w:type="dxa" w:w="160"/>
            </w:tcMar>
          </w:tcPr>
          <w:p>
            <w:r>
              <w:rPr>
                <w:b w:val="false"/>
                <w:bCs w:val="false"/>
                <w:color w:val="000000"/>
              </w:rPr>
              <w:t xml:space="preserve">You can review, test, and diff the policy as code. No 'why did the model approve that?' moments.</w:t>
            </w:r>
          </w:p>
        </w:tc>
      </w:tr>
      <w:tr>
        <w:tc>
          <w:tcPr>
            <w:tcW w:type="dxa" w:w="3120"/>
            <w:tcBorders>
              <w:top w:val="single" w:color="D5DAE1" w:sz="4"/>
              <w:left w:val="single" w:color="D5DAE1" w:sz="4"/>
              <w:bottom w:val="single" w:color="D5DAE1" w:sz="4"/>
              <w:right w:val="single" w:color="D5DAE1" w:sz="4"/>
            </w:tcBorders>
            <w:shd w:fill="FFFFFF" w:val="clear"/>
            <w:tcMar>
              <w:top w:type="dxa" w:w="120"/>
              <w:left w:type="dxa" w:w="160"/>
              <w:bottom w:type="dxa" w:w="120"/>
              <w:right w:type="dxa" w:w="160"/>
            </w:tcMar>
          </w:tcPr>
          <w:p>
            <w:r>
              <w:rPr>
                <w:b w:val="false"/>
                <w:bCs w:val="false"/>
                <w:color w:val="000000"/>
              </w:rPr>
              <w:t xml:space="preserve">Snapshot-backed recovery</w:t>
            </w:r>
          </w:p>
        </w:tc>
        <w:tc>
          <w:tcPr>
            <w:tcW w:type="dxa" w:w="6240"/>
            <w:tcBorders>
              <w:top w:val="single" w:color="D5DAE1" w:sz="4"/>
              <w:left w:val="single" w:color="D5DAE1" w:sz="4"/>
              <w:bottom w:val="single" w:color="D5DAE1" w:sz="4"/>
              <w:right w:val="single" w:color="D5DAE1" w:sz="4"/>
            </w:tcBorders>
            <w:shd w:fill="FFFFFF" w:val="clear"/>
            <w:tcMar>
              <w:top w:type="dxa" w:w="120"/>
              <w:left w:type="dxa" w:w="160"/>
              <w:bottom w:type="dxa" w:w="120"/>
              <w:right w:type="dxa" w:w="160"/>
            </w:tcMar>
          </w:tcPr>
          <w:p>
            <w:r>
              <w:rPr>
                <w:b w:val="false"/>
                <w:bCs w:val="false"/>
                <w:color w:val="000000"/>
              </w:rPr>
              <w:t xml:space="preserve">When something goes wrong, you run a pre-computed plan instead of reconstructing history.</w:t>
            </w:r>
          </w:p>
        </w:tc>
      </w:tr>
      <w:tr>
        <w:tc>
          <w:tcPr>
            <w:tcW w:type="dxa" w:w="3120"/>
            <w:tcBorders>
              <w:top w:val="single" w:color="D5DAE1" w:sz="4"/>
              <w:left w:val="single" w:color="D5DAE1" w:sz="4"/>
              <w:bottom w:val="single" w:color="D5DAE1" w:sz="4"/>
              <w:right w:val="single" w:color="D5DAE1" w:sz="4"/>
            </w:tcBorders>
            <w:shd w:fill="FFFFFF" w:val="clear"/>
            <w:tcMar>
              <w:top w:type="dxa" w:w="120"/>
              <w:left w:type="dxa" w:w="160"/>
              <w:bottom w:type="dxa" w:w="120"/>
              <w:right w:type="dxa" w:w="160"/>
            </w:tcMar>
          </w:tcPr>
          <w:p>
            <w:r>
              <w:rPr>
                <w:b w:val="false"/>
                <w:bCs w:val="false"/>
                <w:color w:val="000000"/>
              </w:rPr>
              <w:t xml:space="preserve">Append-only SQLite journal</w:t>
            </w:r>
          </w:p>
        </w:tc>
        <w:tc>
          <w:tcPr>
            <w:tcW w:type="dxa" w:w="6240"/>
            <w:tcBorders>
              <w:top w:val="single" w:color="D5DAE1" w:sz="4"/>
              <w:left w:val="single" w:color="D5DAE1" w:sz="4"/>
              <w:bottom w:val="single" w:color="D5DAE1" w:sz="4"/>
              <w:right w:val="single" w:color="D5DAE1" w:sz="4"/>
            </w:tcBorders>
            <w:shd w:fill="FFFFFF" w:val="clear"/>
            <w:tcMar>
              <w:top w:type="dxa" w:w="120"/>
              <w:left w:type="dxa" w:w="160"/>
              <w:bottom w:type="dxa" w:w="120"/>
              <w:right w:type="dxa" w:w="160"/>
            </w:tcMar>
          </w:tcPr>
          <w:p>
            <w:r>
              <w:rPr>
                <w:b w:val="false"/>
                <w:bCs w:val="false"/>
                <w:color w:val="000000"/>
              </w:rPr>
              <w:t xml:space="preserve">Every action is accounted for, in order, with full context. No lost timeline.</w:t>
            </w:r>
          </w:p>
        </w:tc>
      </w:tr>
      <w:tr>
        <w:tc>
          <w:tcPr>
            <w:tcW w:type="dxa" w:w="3120"/>
            <w:tcBorders>
              <w:top w:val="single" w:color="D5DAE1" w:sz="4"/>
              <w:left w:val="single" w:color="D5DAE1" w:sz="4"/>
              <w:bottom w:val="single" w:color="D5DAE1" w:sz="4"/>
              <w:right w:val="single" w:color="D5DAE1" w:sz="4"/>
            </w:tcBorders>
            <w:shd w:fill="FFFFFF" w:val="clear"/>
            <w:tcMar>
              <w:top w:type="dxa" w:w="120"/>
              <w:left w:type="dxa" w:w="160"/>
              <w:bottom w:type="dxa" w:w="120"/>
              <w:right w:type="dxa" w:w="160"/>
            </w:tcMar>
          </w:tcPr>
          <w:p>
            <w:r>
              <w:rPr>
                <w:b w:val="false"/>
                <w:bCs w:val="false"/>
                <w:color w:val="000000"/>
              </w:rPr>
              <w:t xml:space="preserve">Tamper-detectable audit bundles</w:t>
            </w:r>
          </w:p>
        </w:tc>
        <w:tc>
          <w:tcPr>
            <w:tcW w:type="dxa" w:w="6240"/>
            <w:tcBorders>
              <w:top w:val="single" w:color="D5DAE1" w:sz="4"/>
              <w:left w:val="single" w:color="D5DAE1" w:sz="4"/>
              <w:bottom w:val="single" w:color="D5DAE1" w:sz="4"/>
              <w:right w:val="single" w:color="D5DAE1" w:sz="4"/>
            </w:tcBorders>
            <w:shd w:fill="FFFFFF" w:val="clear"/>
            <w:tcMar>
              <w:top w:type="dxa" w:w="120"/>
              <w:left w:type="dxa" w:w="160"/>
              <w:bottom w:type="dxa" w:w="120"/>
              <w:right w:type="dxa" w:w="160"/>
            </w:tcMar>
          </w:tcPr>
          <w:p>
            <w:r>
              <w:rPr>
                <w:b w:val="false"/>
                <w:bCs w:val="false"/>
                <w:color w:val="000000"/>
              </w:rPr>
              <w:t xml:space="preserve">Hand security a single verified artifact. Sleep during audits.</w:t>
            </w:r>
          </w:p>
        </w:tc>
      </w:tr>
      <w:tr>
        <w:tc>
          <w:tcPr>
            <w:tcW w:type="dxa" w:w="3120"/>
            <w:tcBorders>
              <w:top w:val="single" w:color="D5DAE1" w:sz="4"/>
              <w:left w:val="single" w:color="D5DAE1" w:sz="4"/>
              <w:bottom w:val="single" w:color="D5DAE1" w:sz="4"/>
              <w:right w:val="single" w:color="D5DAE1" w:sz="4"/>
            </w:tcBorders>
            <w:shd w:fill="FFFFFF" w:val="clear"/>
            <w:tcMar>
              <w:top w:type="dxa" w:w="120"/>
              <w:left w:type="dxa" w:w="160"/>
              <w:bottom w:type="dxa" w:w="120"/>
              <w:right w:type="dxa" w:w="160"/>
            </w:tcMar>
          </w:tcPr>
          <w:p>
            <w:r>
              <w:rPr>
                <w:b w:val="false"/>
                <w:bCs w:val="false"/>
                <w:color w:val="000000"/>
              </w:rPr>
              <w:t xml:space="preserve">OS-backed MCP secrets</w:t>
            </w:r>
          </w:p>
        </w:tc>
        <w:tc>
          <w:tcPr>
            <w:tcW w:type="dxa" w:w="6240"/>
            <w:tcBorders>
              <w:top w:val="single" w:color="D5DAE1" w:sz="4"/>
              <w:left w:val="single" w:color="D5DAE1" w:sz="4"/>
              <w:bottom w:val="single" w:color="D5DAE1" w:sz="4"/>
              <w:right w:val="single" w:color="D5DAE1" w:sz="4"/>
            </w:tcBorders>
            <w:shd w:fill="FFFFFF" w:val="clear"/>
            <w:tcMar>
              <w:top w:type="dxa" w:w="120"/>
              <w:left w:type="dxa" w:w="160"/>
              <w:bottom w:type="dxa" w:w="120"/>
              <w:right w:type="dxa" w:w="160"/>
            </w:tcMar>
          </w:tcPr>
          <w:p>
            <w:r>
              <w:rPr>
                <w:b w:val="false"/>
                <w:bCs w:val="false"/>
                <w:color w:val="000000"/>
              </w:rPr>
              <w:t xml:space="preserve">No credentials in env vars or dotfiles. Secrets are per-server and rotatable.</w:t>
            </w:r>
          </w:p>
        </w:tc>
      </w:tr>
      <w:tr>
        <w:tc>
          <w:tcPr>
            <w:tcW w:type="dxa" w:w="3120"/>
            <w:tcBorders>
              <w:top w:val="single" w:color="D5DAE1" w:sz="4"/>
              <w:left w:val="single" w:color="D5DAE1" w:sz="4"/>
              <w:bottom w:val="single" w:color="D5DAE1" w:sz="4"/>
              <w:right w:val="single" w:color="D5DAE1" w:sz="4"/>
            </w:tcBorders>
            <w:shd w:fill="FFFFFF" w:val="clear"/>
            <w:tcMar>
              <w:top w:type="dxa" w:w="120"/>
              <w:left w:type="dxa" w:w="160"/>
              <w:bottom w:type="dxa" w:w="120"/>
              <w:right w:type="dxa" w:w="160"/>
            </w:tcMar>
          </w:tcPr>
          <w:p>
            <w:r>
              <w:rPr>
                <w:b w:val="false"/>
                <w:bCs w:val="false"/>
                <w:color w:val="000000"/>
              </w:rPr>
              <w:t xml:space="preserve">Digest-pinned OCI containers for stdio MCP</w:t>
            </w:r>
          </w:p>
        </w:tc>
        <w:tc>
          <w:tcPr>
            <w:tcW w:type="dxa" w:w="6240"/>
            <w:tcBorders>
              <w:top w:val="single" w:color="D5DAE1" w:sz="4"/>
              <w:left w:val="single" w:color="D5DAE1" w:sz="4"/>
              <w:bottom w:val="single" w:color="D5DAE1" w:sz="4"/>
              <w:right w:val="single" w:color="D5DAE1" w:sz="4"/>
            </w:tcBorders>
            <w:shd w:fill="FFFFFF" w:val="clear"/>
            <w:tcMar>
              <w:top w:type="dxa" w:w="120"/>
              <w:left w:type="dxa" w:w="160"/>
              <w:bottom w:type="dxa" w:w="120"/>
              <w:right w:type="dxa" w:w="160"/>
            </w:tcMar>
          </w:tcPr>
          <w:p>
            <w:r>
              <w:rPr>
                <w:b w:val="false"/>
                <w:bCs w:val="false"/>
                <w:color w:val="000000"/>
              </w:rPr>
              <w:t xml:space="preserve">No 'latest' tag surprises. Every run uses a known-good image.</w:t>
            </w:r>
          </w:p>
        </w:tc>
      </w:tr>
      <w:tr>
        <w:tc>
          <w:tcPr>
            <w:tcW w:type="dxa" w:w="3120"/>
            <w:tcBorders>
              <w:top w:val="single" w:color="D5DAE1" w:sz="4"/>
              <w:left w:val="single" w:color="D5DAE1" w:sz="4"/>
              <w:bottom w:val="single" w:color="D5DAE1" w:sz="4"/>
              <w:right w:val="single" w:color="D5DAE1" w:sz="4"/>
            </w:tcBorders>
            <w:shd w:fill="FFFFFF" w:val="clear"/>
            <w:tcMar>
              <w:top w:type="dxa" w:w="120"/>
              <w:left w:type="dxa" w:w="160"/>
              <w:bottom w:type="dxa" w:w="120"/>
              <w:right w:type="dxa" w:w="160"/>
            </w:tcMar>
          </w:tcPr>
          <w:p>
            <w:r>
              <w:rPr>
                <w:b w:val="false"/>
                <w:bCs w:val="false"/>
                <w:color w:val="000000"/>
              </w:rPr>
              <w:t xml:space="preserve">Cosign + SLSA verification</w:t>
            </w:r>
          </w:p>
        </w:tc>
        <w:tc>
          <w:tcPr>
            <w:tcW w:type="dxa" w:w="6240"/>
            <w:tcBorders>
              <w:top w:val="single" w:color="D5DAE1" w:sz="4"/>
              <w:left w:val="single" w:color="D5DAE1" w:sz="4"/>
              <w:bottom w:val="single" w:color="D5DAE1" w:sz="4"/>
              <w:right w:val="single" w:color="D5DAE1" w:sz="4"/>
            </w:tcBorders>
            <w:shd w:fill="FFFFFF" w:val="clear"/>
            <w:tcMar>
              <w:top w:type="dxa" w:w="120"/>
              <w:left w:type="dxa" w:w="160"/>
              <w:bottom w:type="dxa" w:w="120"/>
              <w:right w:type="dxa" w:w="160"/>
            </w:tcMar>
          </w:tcPr>
          <w:p>
            <w:r>
              <w:rPr>
                <w:b w:val="false"/>
                <w:bCs w:val="false"/>
                <w:color w:val="000000"/>
              </w:rPr>
              <w:t xml:space="preserve">You know the container you are running is the one the publisher signed.</w:t>
            </w:r>
          </w:p>
        </w:tc>
      </w:tr>
      <w:tr>
        <w:tc>
          <w:tcPr>
            <w:tcW w:type="dxa" w:w="3120"/>
            <w:tcBorders>
              <w:top w:val="single" w:color="D5DAE1" w:sz="4"/>
              <w:left w:val="single" w:color="D5DAE1" w:sz="4"/>
              <w:bottom w:val="single" w:color="D5DAE1" w:sz="4"/>
              <w:right w:val="single" w:color="D5DAE1" w:sz="4"/>
            </w:tcBorders>
            <w:shd w:fill="FFFFFF" w:val="clear"/>
            <w:tcMar>
              <w:top w:type="dxa" w:w="120"/>
              <w:left w:type="dxa" w:w="160"/>
              <w:bottom w:type="dxa" w:w="120"/>
              <w:right w:type="dxa" w:w="160"/>
            </w:tcMar>
          </w:tcPr>
          <w:p>
            <w:r>
              <w:rPr>
                <w:b w:val="false"/>
                <w:bCs w:val="false"/>
                <w:color w:val="000000"/>
              </w:rPr>
              <w:t xml:space="preserve">Host / tool allowlists</w:t>
            </w:r>
          </w:p>
        </w:tc>
        <w:tc>
          <w:tcPr>
            <w:tcW w:type="dxa" w:w="6240"/>
            <w:tcBorders>
              <w:top w:val="single" w:color="D5DAE1" w:sz="4"/>
              <w:left w:val="single" w:color="D5DAE1" w:sz="4"/>
              <w:bottom w:val="single" w:color="D5DAE1" w:sz="4"/>
              <w:right w:val="single" w:color="D5DAE1" w:sz="4"/>
            </w:tcBorders>
            <w:shd w:fill="FFFFFF" w:val="clear"/>
            <w:tcMar>
              <w:top w:type="dxa" w:w="120"/>
              <w:left w:type="dxa" w:w="160"/>
              <w:bottom w:type="dxa" w:w="120"/>
              <w:right w:type="dxa" w:w="160"/>
            </w:tcMar>
          </w:tcPr>
          <w:p>
            <w:r>
              <w:rPr>
                <w:b w:val="false"/>
                <w:bCs w:val="false"/>
                <w:color w:val="000000"/>
              </w:rPr>
              <w:t xml:space="preserve">Scope enforcement at the network layer and the tool layer, not just in prompt instructions.</w:t>
            </w:r>
          </w:p>
        </w:tc>
      </w:tr>
      <w:tr>
        <w:tc>
          <w:tcPr>
            <w:tcW w:type="dxa" w:w="3120"/>
            <w:tcBorders>
              <w:top w:val="single" w:color="D5DAE1" w:sz="4"/>
              <w:left w:val="single" w:color="D5DAE1" w:sz="4"/>
              <w:bottom w:val="single" w:color="D5DAE1" w:sz="4"/>
              <w:right w:val="single" w:color="D5DAE1" w:sz="4"/>
            </w:tcBorders>
            <w:shd w:fill="FFFFFF" w:val="clear"/>
            <w:tcMar>
              <w:top w:type="dxa" w:w="120"/>
              <w:left w:type="dxa" w:w="160"/>
              <w:bottom w:type="dxa" w:w="120"/>
              <w:right w:type="dxa" w:w="160"/>
            </w:tcMar>
          </w:tcPr>
          <w:p>
            <w:r>
              <w:rPr>
                <w:b w:val="false"/>
                <w:bCs w:val="false"/>
                <w:color w:val="000000"/>
              </w:rPr>
              <w:t xml:space="preserve">Fail-closed on unsupported surfaces</w:t>
            </w:r>
          </w:p>
        </w:tc>
        <w:tc>
          <w:tcPr>
            <w:tcW w:type="dxa" w:w="6240"/>
            <w:tcBorders>
              <w:top w:val="single" w:color="D5DAE1" w:sz="4"/>
              <w:left w:val="single" w:color="D5DAE1" w:sz="4"/>
              <w:bottom w:val="single" w:color="D5DAE1" w:sz="4"/>
              <w:right w:val="single" w:color="D5DAE1" w:sz="4"/>
            </w:tcBorders>
            <w:shd w:fill="FFFFFF" w:val="clear"/>
            <w:tcMar>
              <w:top w:type="dxa" w:w="120"/>
              <w:left w:type="dxa" w:w="160"/>
              <w:bottom w:type="dxa" w:w="120"/>
              <w:right w:type="dxa" w:w="160"/>
            </w:tcMar>
          </w:tcPr>
          <w:p>
            <w:r>
              <w:rPr>
                <w:b w:val="false"/>
                <w:bCs w:val="false"/>
                <w:color w:val="000000"/>
              </w:rPr>
              <w:t xml:space="preserve">No silent 'we'll pretend' — you always know what AgentGit actually covers.</w:t>
            </w:r>
          </w:p>
        </w:tc>
      </w:tr>
      <w:tr>
        <w:tc>
          <w:tcPr>
            <w:tcW w:type="dxa" w:w="3120"/>
            <w:tcBorders>
              <w:top w:val="single" w:color="D5DAE1" w:sz="4"/>
              <w:left w:val="single" w:color="D5DAE1" w:sz="4"/>
              <w:bottom w:val="single" w:color="D5DAE1" w:sz="4"/>
              <w:right w:val="single" w:color="D5DAE1" w:sz="4"/>
            </w:tcBorders>
            <w:shd w:fill="FFFFFF" w:val="clear"/>
            <w:tcMar>
              <w:top w:type="dxa" w:w="120"/>
              <w:left w:type="dxa" w:w="160"/>
              <w:bottom w:type="dxa" w:w="120"/>
              <w:right w:type="dxa" w:w="160"/>
            </w:tcMar>
          </w:tcPr>
          <w:p>
            <w:r>
              <w:rPr>
                <w:b w:val="false"/>
                <w:bCs w:val="false"/>
                <w:color w:val="000000"/>
              </w:rPr>
              <w:t xml:space="preserve">Policy calibration loop</w:t>
            </w:r>
          </w:p>
        </w:tc>
        <w:tc>
          <w:tcPr>
            <w:tcW w:type="dxa" w:w="6240"/>
            <w:tcBorders>
              <w:top w:val="single" w:color="D5DAE1" w:sz="4"/>
              <w:left w:val="single" w:color="D5DAE1" w:sz="4"/>
              <w:bottom w:val="single" w:color="D5DAE1" w:sz="4"/>
              <w:right w:val="single" w:color="D5DAE1" w:sz="4"/>
            </w:tcBorders>
            <w:shd w:fill="FFFFFF" w:val="clear"/>
            <w:tcMar>
              <w:top w:type="dxa" w:w="120"/>
              <w:left w:type="dxa" w:w="160"/>
              <w:bottom w:type="dxa" w:w="120"/>
              <w:right w:type="dxa" w:w="160"/>
            </w:tcMar>
          </w:tcPr>
          <w:p>
            <w:r>
              <w:rPr>
                <w:b w:val="false"/>
                <w:bCs w:val="false"/>
                <w:color w:val="000000"/>
              </w:rPr>
              <w:t xml:space="preserve">Data-driven threshold tuning, operator-reviewed, no self-mutation.</w:t>
            </w:r>
          </w:p>
        </w:tc>
      </w:tr>
      <w:tr>
        <w:tc>
          <w:tcPr>
            <w:tcW w:type="dxa" w:w="3120"/>
            <w:tcBorders>
              <w:top w:val="single" w:color="D5DAE1" w:sz="4"/>
              <w:left w:val="single" w:color="D5DAE1" w:sz="4"/>
              <w:bottom w:val="single" w:color="D5DAE1" w:sz="4"/>
              <w:right w:val="single" w:color="D5DAE1" w:sz="4"/>
            </w:tcBorders>
            <w:shd w:fill="FFFFFF" w:val="clear"/>
            <w:tcMar>
              <w:top w:type="dxa" w:w="120"/>
              <w:left w:type="dxa" w:w="160"/>
              <w:bottom w:type="dxa" w:w="120"/>
              <w:right w:type="dxa" w:w="160"/>
            </w:tcMar>
          </w:tcPr>
          <w:p>
            <w:r>
              <w:rPr>
                <w:b w:val="false"/>
                <w:bCs w:val="false"/>
                <w:color w:val="000000"/>
              </w:rPr>
              <w:t xml:space="preserve">Local-first architecture</w:t>
            </w:r>
          </w:p>
        </w:tc>
        <w:tc>
          <w:tcPr>
            <w:tcW w:type="dxa" w:w="6240"/>
            <w:tcBorders>
              <w:top w:val="single" w:color="D5DAE1" w:sz="4"/>
              <w:left w:val="single" w:color="D5DAE1" w:sz="4"/>
              <w:bottom w:val="single" w:color="D5DAE1" w:sz="4"/>
              <w:right w:val="single" w:color="D5DAE1" w:sz="4"/>
            </w:tcBorders>
            <w:shd w:fill="FFFFFF" w:val="clear"/>
            <w:tcMar>
              <w:top w:type="dxa" w:w="120"/>
              <w:left w:type="dxa" w:w="160"/>
              <w:bottom w:type="dxa" w:w="120"/>
              <w:right w:type="dxa" w:w="160"/>
            </w:tcMar>
          </w:tcPr>
          <w:p>
            <w:r>
              <w:rPr>
                <w:b w:val="false"/>
                <w:bCs w:val="false"/>
                <w:color w:val="000000"/>
              </w:rPr>
              <w:t xml:space="preserve">No telemetry. No cloud. Your data stays on your machine.</w:t>
            </w:r>
          </w:p>
        </w:tc>
      </w:tr>
    </w:tbl>
    <w:p>
      <w:pPr>
        <w:pStyle w:val="Heading1"/>
      </w:pPr>
      <w:r>
        <w:t xml:space="preserve">9. Voice and tone</w:t>
      </w:r>
    </w:p>
    <w:p>
      <w:pPr>
        <w:pStyle w:val="ListParagraph"/>
        <w:numPr>
          <w:ilvl w:val="0"/>
          <w:numId w:val="2"/>
        </w:numPr>
        <w:spacing w:after="80"/>
      </w:pPr>
      <w:r>
        <w:t xml:space="preserve">Direct. One idea per sentence where possible.</w:t>
      </w:r>
    </w:p>
    <w:p>
      <w:pPr>
        <w:pStyle w:val="ListParagraph"/>
        <w:numPr>
          <w:ilvl w:val="0"/>
          <w:numId w:val="2"/>
        </w:numPr>
        <w:spacing w:after="80"/>
      </w:pPr>
      <w:r>
        <w:t xml:space="preserve">Developer-peer, not marketing-to-dev. Respect the reader's time and competence.</w:t>
      </w:r>
    </w:p>
    <w:p>
      <w:pPr>
        <w:pStyle w:val="ListParagraph"/>
        <w:numPr>
          <w:ilvl w:val="0"/>
          <w:numId w:val="2"/>
        </w:numPr>
        <w:spacing w:after="80"/>
      </w:pPr>
      <w:r>
        <w:t xml:space="preserve">Proof over promise. Link to the repo, the wiki, the test file, the exact CLI command.</w:t>
      </w:r>
    </w:p>
    <w:p>
      <w:pPr>
        <w:pStyle w:val="ListParagraph"/>
        <w:numPr>
          <w:ilvl w:val="0"/>
          <w:numId w:val="2"/>
        </w:numPr>
        <w:spacing w:after="80"/>
      </w:pPr>
      <w:r>
        <w:t xml:space="preserve">Calm confidence. Avoid hype words: revolutionary, magical, game-changing, etc.</w:t>
      </w:r>
    </w:p>
    <w:p>
      <w:pPr>
        <w:pStyle w:val="ListParagraph"/>
        <w:numPr>
          <w:ilvl w:val="0"/>
          <w:numId w:val="2"/>
        </w:numPr>
        <w:spacing w:after="80"/>
      </w:pPr>
      <w:r>
        <w:t xml:space="preserve">Own the gaps. Say what is not supported. Say it is MVP. The product is strong enough to survive honesty.</w:t>
      </w:r>
    </w:p>
    <w:p>
      <w:pPr>
        <w:pStyle w:val="ListParagraph"/>
        <w:numPr>
          <w:ilvl w:val="0"/>
          <w:numId w:val="2"/>
        </w:numPr>
        <w:spacing w:after="80"/>
      </w:pPr>
      <w:r>
        <w:t xml:space="preserve">Product name is always 'AgentGit' (mixed case, one word). Wordmark renders 'Agent' in primary color + 'Git' in Agent Teal; in running text, use 'AgentGit'. Never 'agentgit', 'Agent Git', or 'AGENTGIT'.</w:t>
      </w:r>
    </w:p>
    <w:p>
      <w:pPr>
        <w:pStyle w:val="ListParagraph"/>
        <w:numPr>
          <w:ilvl w:val="0"/>
          <w:numId w:val="2"/>
        </w:numPr>
        <w:spacing w:after="80"/>
      </w:pPr>
      <w:r>
        <w:t xml:space="preserve">Primary tagline: 'Autonomous DevOps. Human control.' Use on hero, pitch, launch posts, and deck chrome.</w:t>
      </w:r>
    </w:p>
    <w:p>
      <w:pPr>
        <w:pStyle w:val="ListParagraph"/>
        <w:numPr>
          <w:ilvl w:val="0"/>
          <w:numId w:val="2"/>
        </w:numPr>
        <w:spacing w:after="80"/>
      </w:pPr>
      <w:r>
        <w:t xml:space="preserve">Sentence case for all titles, headlines, and slide titles. No Title Case Headlines. Periods allowed at the end of short punchy headlines.</w:t>
      </w:r>
    </w:p>
    <w:p>
      <w:pPr>
        <w:pStyle w:val="ListParagraph"/>
        <w:numPr>
          <w:ilvl w:val="0"/>
          <w:numId w:val="2"/>
        </w:numPr>
        <w:spacing w:after="80"/>
      </w:pPr>
      <w:r>
        <w:t xml:space="preserve">Voice: operator-first, technical, proof-over-promise. No hype words ('revolutionary', 'magical', 'next-gen', 'game-changing').</w:t>
      </w:r>
    </w:p>
    <w:p>
      <w:pPr>
        <w:pStyle w:val="ListParagraph"/>
        <w:numPr>
          <w:ilvl w:val="0"/>
          <w:numId w:val="2"/>
        </w:numPr>
        <w:spacing w:after="80"/>
      </w:pPr>
      <w:r>
        <w:t xml:space="preserve">Lime accent (#A7F432) is reserved exclusively for agent-initiated actions in product UI. Never use lime in marketing, hero, or CTA surfaces.</w:t>
      </w:r>
    </w:p>
    <w:p>
      <w:pPr>
        <w:pStyle w:val="Heading2"/>
      </w:pPr>
      <w:r>
        <w:t xml:space="preserve">Do / don't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5DAE1" w:sz="4"/>
              <w:left w:val="single" w:color="D5DAE1" w:sz="4"/>
              <w:bottom w:val="single" w:color="D5DAE1" w:sz="4"/>
              <w:right w:val="single" w:color="D5DAE1" w:sz="4"/>
            </w:tcBorders>
            <w:shd w:fill="0B0F14" w:val="clear"/>
            <w:tcMar>
              <w:top w:type="dxa" w:w="120"/>
              <w:left w:type="dxa" w:w="160"/>
              <w:bottom w:type="dxa" w:w="120"/>
              <w:right w:type="dxa" w:w="160"/>
            </w:tcMar>
          </w:tcPr>
          <w:p>
            <w:r>
              <w:rPr>
                <w:b/>
                <w:bCs/>
                <w:color w:val="FFFFFF"/>
              </w:rPr>
              <w:t xml:space="preserve">Say this</w:t>
            </w:r>
          </w:p>
        </w:tc>
        <w:tc>
          <w:tcPr>
            <w:tcW w:type="dxa" w:w="6240"/>
            <w:tcBorders>
              <w:top w:val="single" w:color="D5DAE1" w:sz="4"/>
              <w:left w:val="single" w:color="D5DAE1" w:sz="4"/>
              <w:bottom w:val="single" w:color="D5DAE1" w:sz="4"/>
              <w:right w:val="single" w:color="D5DAE1" w:sz="4"/>
            </w:tcBorders>
            <w:shd w:fill="0B0F14" w:val="clear"/>
            <w:tcMar>
              <w:top w:type="dxa" w:w="120"/>
              <w:left w:type="dxa" w:w="160"/>
              <w:bottom w:type="dxa" w:w="120"/>
              <w:right w:type="dxa" w:w="160"/>
            </w:tcMar>
          </w:tcPr>
          <w:p>
            <w:r>
              <w:rPr>
                <w:b/>
                <w:bCs/>
                <w:color w:val="FFFFFF"/>
              </w:rPr>
              <w:t xml:space="preserve">Not this</w:t>
            </w:r>
          </w:p>
        </w:tc>
      </w:tr>
      <w:tr>
        <w:tc>
          <w:tcPr>
            <w:tcW w:type="dxa" w:w="3120"/>
            <w:tcBorders>
              <w:top w:val="single" w:color="D5DAE1" w:sz="4"/>
              <w:left w:val="single" w:color="D5DAE1" w:sz="4"/>
              <w:bottom w:val="single" w:color="D5DAE1" w:sz="4"/>
              <w:right w:val="single" w:color="D5DAE1" w:sz="4"/>
            </w:tcBorders>
            <w:shd w:fill="FFFFFF" w:val="clear"/>
            <w:tcMar>
              <w:top w:type="dxa" w:w="120"/>
              <w:left w:type="dxa" w:w="160"/>
              <w:bottom w:type="dxa" w:w="120"/>
              <w:right w:type="dxa" w:w="160"/>
            </w:tcMar>
          </w:tcPr>
          <w:p>
            <w:r>
              <w:rPr>
                <w:b w:val="false"/>
                <w:bCs w:val="false"/>
                <w:color w:val="000000"/>
              </w:rPr>
              <w:t xml:space="preserve">Local-first execution authority</w:t>
            </w:r>
          </w:p>
        </w:tc>
        <w:tc>
          <w:tcPr>
            <w:tcW w:type="dxa" w:w="6240"/>
            <w:tcBorders>
              <w:top w:val="single" w:color="D5DAE1" w:sz="4"/>
              <w:left w:val="single" w:color="D5DAE1" w:sz="4"/>
              <w:bottom w:val="single" w:color="D5DAE1" w:sz="4"/>
              <w:right w:val="single" w:color="D5DAE1" w:sz="4"/>
            </w:tcBorders>
            <w:shd w:fill="FFFFFF" w:val="clear"/>
            <w:tcMar>
              <w:top w:type="dxa" w:w="120"/>
              <w:left w:type="dxa" w:w="160"/>
              <w:bottom w:type="dxa" w:w="120"/>
              <w:right w:type="dxa" w:w="160"/>
            </w:tcMar>
          </w:tcPr>
          <w:p>
            <w:r>
              <w:rPr>
                <w:b w:val="false"/>
                <w:bCs w:val="false"/>
                <w:color w:val="000000"/>
              </w:rPr>
              <w:t xml:space="preserve">AI security platform</w:t>
            </w:r>
          </w:p>
        </w:tc>
      </w:tr>
      <w:tr>
        <w:tc>
          <w:tcPr>
            <w:tcW w:type="dxa" w:w="3120"/>
            <w:tcBorders>
              <w:top w:val="single" w:color="D5DAE1" w:sz="4"/>
              <w:left w:val="single" w:color="D5DAE1" w:sz="4"/>
              <w:bottom w:val="single" w:color="D5DAE1" w:sz="4"/>
              <w:right w:val="single" w:color="D5DAE1" w:sz="4"/>
            </w:tcBorders>
            <w:shd w:fill="FFFFFF" w:val="clear"/>
            <w:tcMar>
              <w:top w:type="dxa" w:w="120"/>
              <w:left w:type="dxa" w:w="160"/>
              <w:bottom w:type="dxa" w:w="120"/>
              <w:right w:type="dxa" w:w="160"/>
            </w:tcMar>
          </w:tcPr>
          <w:p>
            <w:r>
              <w:rPr>
                <w:b w:val="false"/>
                <w:bCs w:val="false"/>
                <w:color w:val="000000"/>
              </w:rPr>
              <w:t xml:space="preserve">Deterministic policy</w:t>
            </w:r>
          </w:p>
        </w:tc>
        <w:tc>
          <w:tcPr>
            <w:tcW w:type="dxa" w:w="6240"/>
            <w:tcBorders>
              <w:top w:val="single" w:color="D5DAE1" w:sz="4"/>
              <w:left w:val="single" w:color="D5DAE1" w:sz="4"/>
              <w:bottom w:val="single" w:color="D5DAE1" w:sz="4"/>
              <w:right w:val="single" w:color="D5DAE1" w:sz="4"/>
            </w:tcBorders>
            <w:shd w:fill="FFFFFF" w:val="clear"/>
            <w:tcMar>
              <w:top w:type="dxa" w:w="120"/>
              <w:left w:type="dxa" w:w="160"/>
              <w:bottom w:type="dxa" w:w="120"/>
              <w:right w:type="dxa" w:w="160"/>
            </w:tcMar>
          </w:tcPr>
          <w:p>
            <w:r>
              <w:rPr>
                <w:b w:val="false"/>
                <w:bCs w:val="false"/>
                <w:color w:val="000000"/>
              </w:rPr>
              <w:t xml:space="preserve">Smart safety AI</w:t>
            </w:r>
          </w:p>
        </w:tc>
      </w:tr>
      <w:tr>
        <w:tc>
          <w:tcPr>
            <w:tcW w:type="dxa" w:w="3120"/>
            <w:tcBorders>
              <w:top w:val="single" w:color="D5DAE1" w:sz="4"/>
              <w:left w:val="single" w:color="D5DAE1" w:sz="4"/>
              <w:bottom w:val="single" w:color="D5DAE1" w:sz="4"/>
              <w:right w:val="single" w:color="D5DAE1" w:sz="4"/>
            </w:tcBorders>
            <w:shd w:fill="FFFFFF" w:val="clear"/>
            <w:tcMar>
              <w:top w:type="dxa" w:w="120"/>
              <w:left w:type="dxa" w:w="160"/>
              <w:bottom w:type="dxa" w:w="120"/>
              <w:right w:type="dxa" w:w="160"/>
            </w:tcMar>
          </w:tcPr>
          <w:p>
            <w:r>
              <w:rPr>
                <w:b w:val="false"/>
                <w:bCs w:val="false"/>
                <w:color w:val="000000"/>
              </w:rPr>
              <w:t xml:space="preserve">Snapshot-backed recovery</w:t>
            </w:r>
          </w:p>
        </w:tc>
        <w:tc>
          <w:tcPr>
            <w:tcW w:type="dxa" w:w="6240"/>
            <w:tcBorders>
              <w:top w:val="single" w:color="D5DAE1" w:sz="4"/>
              <w:left w:val="single" w:color="D5DAE1" w:sz="4"/>
              <w:bottom w:val="single" w:color="D5DAE1" w:sz="4"/>
              <w:right w:val="single" w:color="D5DAE1" w:sz="4"/>
            </w:tcBorders>
            <w:shd w:fill="FFFFFF" w:val="clear"/>
            <w:tcMar>
              <w:top w:type="dxa" w:w="120"/>
              <w:left w:type="dxa" w:w="160"/>
              <w:bottom w:type="dxa" w:w="120"/>
              <w:right w:type="dxa" w:w="160"/>
            </w:tcMar>
          </w:tcPr>
          <w:p>
            <w:r>
              <w:rPr>
                <w:b w:val="false"/>
                <w:bCs w:val="false"/>
                <w:color w:val="000000"/>
              </w:rPr>
              <w:t xml:space="preserve">Rollback magic</w:t>
            </w:r>
          </w:p>
        </w:tc>
      </w:tr>
      <w:tr>
        <w:tc>
          <w:tcPr>
            <w:tcW w:type="dxa" w:w="3120"/>
            <w:tcBorders>
              <w:top w:val="single" w:color="D5DAE1" w:sz="4"/>
              <w:left w:val="single" w:color="D5DAE1" w:sz="4"/>
              <w:bottom w:val="single" w:color="D5DAE1" w:sz="4"/>
              <w:right w:val="single" w:color="D5DAE1" w:sz="4"/>
            </w:tcBorders>
            <w:shd w:fill="FFFFFF" w:val="clear"/>
            <w:tcMar>
              <w:top w:type="dxa" w:w="120"/>
              <w:left w:type="dxa" w:w="160"/>
              <w:bottom w:type="dxa" w:w="120"/>
              <w:right w:type="dxa" w:w="160"/>
            </w:tcMar>
          </w:tcPr>
          <w:p>
            <w:r>
              <w:rPr>
                <w:b w:val="false"/>
                <w:bCs w:val="false"/>
                <w:color w:val="000000"/>
              </w:rPr>
              <w:t xml:space="preserve">Fail closed on unsupported surfaces</w:t>
            </w:r>
          </w:p>
        </w:tc>
        <w:tc>
          <w:tcPr>
            <w:tcW w:type="dxa" w:w="6240"/>
            <w:tcBorders>
              <w:top w:val="single" w:color="D5DAE1" w:sz="4"/>
              <w:left w:val="single" w:color="D5DAE1" w:sz="4"/>
              <w:bottom w:val="single" w:color="D5DAE1" w:sz="4"/>
              <w:right w:val="single" w:color="D5DAE1" w:sz="4"/>
            </w:tcBorders>
            <w:shd w:fill="FFFFFF" w:val="clear"/>
            <w:tcMar>
              <w:top w:type="dxa" w:w="120"/>
              <w:left w:type="dxa" w:w="160"/>
              <w:bottom w:type="dxa" w:w="120"/>
              <w:right w:type="dxa" w:w="160"/>
            </w:tcMar>
          </w:tcPr>
          <w:p>
            <w:r>
              <w:rPr>
                <w:b w:val="false"/>
                <w:bCs w:val="false"/>
                <w:color w:val="000000"/>
              </w:rPr>
              <w:t xml:space="preserve">Blocks everything by default (too negative)</w:t>
            </w:r>
          </w:p>
        </w:tc>
      </w:tr>
      <w:tr>
        <w:tc>
          <w:tcPr>
            <w:tcW w:type="dxa" w:w="3120"/>
            <w:tcBorders>
              <w:top w:val="single" w:color="D5DAE1" w:sz="4"/>
              <w:left w:val="single" w:color="D5DAE1" w:sz="4"/>
              <w:bottom w:val="single" w:color="D5DAE1" w:sz="4"/>
              <w:right w:val="single" w:color="D5DAE1" w:sz="4"/>
            </w:tcBorders>
            <w:shd w:fill="FFFFFF" w:val="clear"/>
            <w:tcMar>
              <w:top w:type="dxa" w:w="120"/>
              <w:left w:type="dxa" w:w="160"/>
              <w:bottom w:type="dxa" w:w="120"/>
              <w:right w:type="dxa" w:w="160"/>
            </w:tcMar>
          </w:tcPr>
          <w:p>
            <w:r>
              <w:rPr>
                <w:b w:val="false"/>
                <w:bCs w:val="false"/>
                <w:color w:val="000000"/>
              </w:rPr>
              <w:t xml:space="preserve">Agents can run with real autonomy</w:t>
            </w:r>
          </w:p>
        </w:tc>
        <w:tc>
          <w:tcPr>
            <w:tcW w:type="dxa" w:w="6240"/>
            <w:tcBorders>
              <w:top w:val="single" w:color="D5DAE1" w:sz="4"/>
              <w:left w:val="single" w:color="D5DAE1" w:sz="4"/>
              <w:bottom w:val="single" w:color="D5DAE1" w:sz="4"/>
              <w:right w:val="single" w:color="D5DAE1" w:sz="4"/>
            </w:tcBorders>
            <w:shd w:fill="FFFFFF" w:val="clear"/>
            <w:tcMar>
              <w:top w:type="dxa" w:w="120"/>
              <w:left w:type="dxa" w:w="160"/>
              <w:bottom w:type="dxa" w:w="120"/>
              <w:right w:type="dxa" w:w="160"/>
            </w:tcMar>
          </w:tcPr>
          <w:p>
            <w:r>
              <w:rPr>
                <w:b w:val="false"/>
                <w:bCs w:val="false"/>
                <w:color w:val="000000"/>
              </w:rPr>
              <w:t xml:space="preserve">AgentGit controls your agents</w:t>
            </w:r>
          </w:p>
        </w:tc>
      </w:tr>
      <w:tr>
        <w:tc>
          <w:tcPr>
            <w:tcW w:type="dxa" w:w="3120"/>
            <w:tcBorders>
              <w:top w:val="single" w:color="D5DAE1" w:sz="4"/>
              <w:left w:val="single" w:color="D5DAE1" w:sz="4"/>
              <w:bottom w:val="single" w:color="D5DAE1" w:sz="4"/>
              <w:right w:val="single" w:color="D5DAE1" w:sz="4"/>
            </w:tcBorders>
            <w:shd w:fill="FFFFFF" w:val="clear"/>
            <w:tcMar>
              <w:top w:type="dxa" w:w="120"/>
              <w:left w:type="dxa" w:w="160"/>
              <w:bottom w:type="dxa" w:w="120"/>
              <w:right w:type="dxa" w:w="160"/>
            </w:tcMar>
          </w:tcPr>
          <w:p>
            <w:r>
              <w:rPr>
                <w:b w:val="false"/>
                <w:bCs w:val="false"/>
                <w:color w:val="000000"/>
              </w:rPr>
              <w:t xml:space="preserve">Audit bundle you can verify</w:t>
            </w:r>
          </w:p>
        </w:tc>
        <w:tc>
          <w:tcPr>
            <w:tcW w:type="dxa" w:w="6240"/>
            <w:tcBorders>
              <w:top w:val="single" w:color="D5DAE1" w:sz="4"/>
              <w:left w:val="single" w:color="D5DAE1" w:sz="4"/>
              <w:bottom w:val="single" w:color="D5DAE1" w:sz="4"/>
              <w:right w:val="single" w:color="D5DAE1" w:sz="4"/>
            </w:tcBorders>
            <w:shd w:fill="FFFFFF" w:val="clear"/>
            <w:tcMar>
              <w:top w:type="dxa" w:w="120"/>
              <w:left w:type="dxa" w:w="160"/>
              <w:bottom w:type="dxa" w:w="120"/>
              <w:right w:type="dxa" w:w="160"/>
            </w:tcMar>
          </w:tcPr>
          <w:p>
            <w:r>
              <w:rPr>
                <w:b w:val="false"/>
                <w:bCs w:val="false"/>
                <w:color w:val="000000"/>
              </w:rPr>
              <w:t xml:space="preserve">Compliance-grade reporting (jargon)</w:t>
            </w:r>
          </w:p>
        </w:tc>
      </w:tr>
    </w:tbl>
    <w:p>
      <w:pPr>
        <w:pStyle w:val="Heading1"/>
      </w:pPr>
      <w:r>
        <w:t xml:space="preserve">10. How to talk about AgentGit to convert</w:t>
      </w:r>
    </w:p>
    <w:p>
      <w:pPr>
        <w:spacing w:after="120"/>
      </w:pPr>
      <w:r>
        <w:t xml:space="preserve">Every conversion moment — landing page hero, HN comment, sales call, tweet — should do four things in order. Most marketing fails because it mixes the order or skips a step.</w:t>
      </w:r>
    </w:p>
    <w:p>
      <w:pPr>
        <w:pStyle w:val="ListParagraph"/>
        <w:numPr>
          <w:ilvl w:val="0"/>
          <w:numId w:val="3"/>
        </w:numPr>
        <w:spacing w:after="80"/>
      </w:pPr>
      <w:r>
        <w:t xml:space="preserve">Name the pain specifically. 'Your agent wrote to a real file and you do not know what it touched.' Do not open with what we do; open with what breaks today.</w:t>
      </w:r>
    </w:p>
    <w:p>
      <w:pPr>
        <w:pStyle w:val="ListParagraph"/>
        <w:numPr>
          <w:ilvl w:val="0"/>
          <w:numId w:val="3"/>
        </w:numPr>
        <w:spacing w:after="80"/>
      </w:pPr>
      <w:r>
        <w:t xml:space="preserve">State the one-liner. 'AgentGit is the local-first execution authority for autonomous agents.' Concrete, falsifiable, memorable.</w:t>
      </w:r>
    </w:p>
    <w:p>
      <w:pPr>
        <w:pStyle w:val="ListParagraph"/>
        <w:numPr>
          <w:ilvl w:val="0"/>
          <w:numId w:val="3"/>
        </w:numPr>
        <w:spacing w:after="80"/>
      </w:pPr>
      <w:r>
        <w:t xml:space="preserve">Show the pipeline in one beat. Normalize → policy → snapshot → execute → journal → recover. Prove it is more than marketing.</w:t>
      </w:r>
    </w:p>
    <w:p>
      <w:pPr>
        <w:pStyle w:val="ListParagraph"/>
        <w:numPr>
          <w:ilvl w:val="0"/>
          <w:numId w:val="3"/>
        </w:numPr>
        <w:spacing w:after="80"/>
      </w:pPr>
      <w:r>
        <w:t xml:space="preserve">Hand them the install command. 'npm i -g @agentgit/authority-cli' with a copy button. The path from interest to 'it is running' must be under 60 seconds.</w:t>
      </w:r>
    </w:p>
    <w:p>
      <w:pPr>
        <w:spacing w:after="120"/>
      </w:pPr>
      <w:r>
        <w:t xml:space="preserve">Anything else — MCP trust, calibration loop, audit bundles — is proof, not premise. Lead with pain, land on install.</w:t>
      </w:r>
    </w:p>
    <w:p>
      <w:pPr>
        <w:pStyle w:val="Heading1"/>
      </w:pPr>
      <w:r>
        <w:t xml:space="preserve">11. Proof points and credibility signals</w:t>
      </w:r>
    </w:p>
    <w:p>
      <w:pPr>
        <w:pStyle w:val="ListParagraph"/>
        <w:numPr>
          <w:ilvl w:val="0"/>
          <w:numId w:val="2"/>
        </w:numPr>
        <w:spacing w:after="80"/>
      </w:pPr>
      <w:r>
        <w:t xml:space="preserve">Packages live on npm: @agentgit/authority-cli, @agentgit/authority-daemon, @agentgit/authority-sdk, @agentgit/schemas.</w:t>
      </w:r>
    </w:p>
    <w:p>
      <w:pPr>
        <w:pStyle w:val="ListParagraph"/>
        <w:numPr>
          <w:ilvl w:val="0"/>
          <w:numId w:val="2"/>
        </w:numPr>
        <w:spacing w:after="80"/>
      </w:pPr>
      <w:r>
        <w:t xml:space="preserve">Python SDK shipping source-only for the alpha, with a PyPI path planned.</w:t>
      </w:r>
    </w:p>
    <w:p>
      <w:pPr>
        <w:pStyle w:val="ListParagraph"/>
        <w:numPr>
          <w:ilvl w:val="0"/>
          <w:numId w:val="2"/>
        </w:numPr>
        <w:spacing w:after="80"/>
      </w:pPr>
      <w:r>
        <w:t xml:space="preserve">MIT-licensed monorepo with CI-enforced lint, typecheck, coverage ratchet, security audit (Node and Python), and artifact signing.</w:t>
      </w:r>
    </w:p>
    <w:p>
      <w:pPr>
        <w:pStyle w:val="ListParagraph"/>
        <w:numPr>
          <w:ilvl w:val="0"/>
          <w:numId w:val="2"/>
        </w:numPr>
        <w:spacing w:after="80"/>
      </w:pPr>
      <w:r>
        <w:t xml:space="preserve">Golden-fixture tests for deterministic policy outcomes.</w:t>
      </w:r>
    </w:p>
    <w:p>
      <w:pPr>
        <w:pStyle w:val="ListParagraph"/>
        <w:numPr>
          <w:ilvl w:val="0"/>
          <w:numId w:val="2"/>
        </w:numPr>
        <w:spacing w:after="80"/>
      </w:pPr>
      <w:r>
        <w:t xml:space="preserve">Recovery drill runbook and archived drill evidence in the engineering docs.</w:t>
      </w:r>
    </w:p>
    <w:p>
      <w:pPr>
        <w:pStyle w:val="ListParagraph"/>
        <w:numPr>
          <w:ilvl w:val="0"/>
          <w:numId w:val="2"/>
        </w:numPr>
        <w:spacing w:after="80"/>
      </w:pPr>
      <w:r>
        <w:t xml:space="preserve">Pre-launch adversarial audit plan and live MVP stress harness (pnpm stress:autonomy).</w:t>
      </w:r>
    </w:p>
    <w:p>
      <w:pPr>
        <w:pStyle w:val="ListParagraph"/>
        <w:numPr>
          <w:ilvl w:val="0"/>
          <w:numId w:val="2"/>
        </w:numPr>
        <w:spacing w:after="80"/>
      </w:pPr>
      <w:r>
        <w:t xml:space="preserve">Operator runbooks, release checklist, and SECURITY-BASELINE.md in-repo.</w:t>
      </w:r>
    </w:p>
    <w:p>
      <w:pPr>
        <w:pStyle w:val="Heading1"/>
      </w:pPr>
      <w:r>
        <w:t xml:space="preserve">12. One-sentence summary for every surface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5DAE1" w:sz="4"/>
              <w:left w:val="single" w:color="D5DAE1" w:sz="4"/>
              <w:bottom w:val="single" w:color="D5DAE1" w:sz="4"/>
              <w:right w:val="single" w:color="D5DAE1" w:sz="4"/>
            </w:tcBorders>
            <w:shd w:fill="0B0F14" w:val="clear"/>
            <w:tcMar>
              <w:top w:type="dxa" w:w="120"/>
              <w:left w:type="dxa" w:w="160"/>
              <w:bottom w:type="dxa" w:w="120"/>
              <w:right w:type="dxa" w:w="160"/>
            </w:tcMar>
          </w:tcPr>
          <w:p>
            <w:r>
              <w:rPr>
                <w:b/>
                <w:bCs/>
                <w:color w:val="FFFFFF"/>
              </w:rPr>
              <w:t xml:space="preserve">Surface</w:t>
            </w:r>
          </w:p>
        </w:tc>
        <w:tc>
          <w:tcPr>
            <w:tcW w:type="dxa" w:w="6860"/>
            <w:tcBorders>
              <w:top w:val="single" w:color="D5DAE1" w:sz="4"/>
              <w:left w:val="single" w:color="D5DAE1" w:sz="4"/>
              <w:bottom w:val="single" w:color="D5DAE1" w:sz="4"/>
              <w:right w:val="single" w:color="D5DAE1" w:sz="4"/>
            </w:tcBorders>
            <w:shd w:fill="0B0F14" w:val="clear"/>
            <w:tcMar>
              <w:top w:type="dxa" w:w="120"/>
              <w:left w:type="dxa" w:w="160"/>
              <w:bottom w:type="dxa" w:w="120"/>
              <w:right w:type="dxa" w:w="160"/>
            </w:tcMar>
          </w:tcPr>
          <w:p>
            <w:r>
              <w:rPr>
                <w:b/>
                <w:bCs/>
                <w:color w:val="FFFFFF"/>
              </w:rPr>
              <w:t xml:space="preserve">One-liner</w:t>
            </w:r>
          </w:p>
        </w:tc>
      </w:tr>
      <w:tr>
        <w:tc>
          <w:tcPr>
            <w:tcW w:type="dxa" w:w="2500"/>
            <w:tcBorders>
              <w:top w:val="single" w:color="D5DAE1" w:sz="4"/>
              <w:left w:val="single" w:color="D5DAE1" w:sz="4"/>
              <w:bottom w:val="single" w:color="D5DAE1" w:sz="4"/>
              <w:right w:val="single" w:color="D5DAE1" w:sz="4"/>
            </w:tcBorders>
            <w:shd w:fill="FFFFFF" w:val="clear"/>
            <w:tcMar>
              <w:top w:type="dxa" w:w="120"/>
              <w:left w:type="dxa" w:w="160"/>
              <w:bottom w:type="dxa" w:w="120"/>
              <w:right w:type="dxa" w:w="160"/>
            </w:tcMar>
          </w:tcPr>
          <w:p>
            <w:r>
              <w:rPr>
                <w:b w:val="false"/>
                <w:bCs w:val="false"/>
                <w:color w:val="000000"/>
              </w:rPr>
              <w:t xml:space="preserve">Homepage hero</w:t>
            </w:r>
          </w:p>
        </w:tc>
        <w:tc>
          <w:tcPr>
            <w:tcW w:type="dxa" w:w="6860"/>
            <w:tcBorders>
              <w:top w:val="single" w:color="D5DAE1" w:sz="4"/>
              <w:left w:val="single" w:color="D5DAE1" w:sz="4"/>
              <w:bottom w:val="single" w:color="D5DAE1" w:sz="4"/>
              <w:right w:val="single" w:color="D5DAE1" w:sz="4"/>
            </w:tcBorders>
            <w:shd w:fill="FFFFFF" w:val="clear"/>
            <w:tcMar>
              <w:top w:type="dxa" w:w="120"/>
              <w:left w:type="dxa" w:w="160"/>
              <w:bottom w:type="dxa" w:w="120"/>
              <w:right w:type="dxa" w:w="160"/>
            </w:tcMar>
          </w:tcPr>
          <w:p>
            <w:r>
              <w:rPr>
                <w:b w:val="false"/>
                <w:bCs w:val="false"/>
                <w:color w:val="000000"/>
              </w:rPr>
              <w:t xml:space="preserve">Let your agents run. Just never run blind.</w:t>
            </w:r>
          </w:p>
        </w:tc>
      </w:tr>
      <w:tr>
        <w:tc>
          <w:tcPr>
            <w:tcW w:type="dxa" w:w="2500"/>
            <w:tcBorders>
              <w:top w:val="single" w:color="D5DAE1" w:sz="4"/>
              <w:left w:val="single" w:color="D5DAE1" w:sz="4"/>
              <w:bottom w:val="single" w:color="D5DAE1" w:sz="4"/>
              <w:right w:val="single" w:color="D5DAE1" w:sz="4"/>
            </w:tcBorders>
            <w:shd w:fill="FFFFFF" w:val="clear"/>
            <w:tcMar>
              <w:top w:type="dxa" w:w="120"/>
              <w:left w:type="dxa" w:w="160"/>
              <w:bottom w:type="dxa" w:w="120"/>
              <w:right w:type="dxa" w:w="160"/>
            </w:tcMar>
          </w:tcPr>
          <w:p>
            <w:r>
              <w:rPr>
                <w:b w:val="false"/>
                <w:bCs w:val="false"/>
                <w:color w:val="000000"/>
              </w:rPr>
              <w:t xml:space="preserve">npm package description</w:t>
            </w:r>
          </w:p>
        </w:tc>
        <w:tc>
          <w:tcPr>
            <w:tcW w:type="dxa" w:w="6860"/>
            <w:tcBorders>
              <w:top w:val="single" w:color="D5DAE1" w:sz="4"/>
              <w:left w:val="single" w:color="D5DAE1" w:sz="4"/>
              <w:bottom w:val="single" w:color="D5DAE1" w:sz="4"/>
              <w:right w:val="single" w:color="D5DAE1" w:sz="4"/>
            </w:tcBorders>
            <w:shd w:fill="FFFFFF" w:val="clear"/>
            <w:tcMar>
              <w:top w:type="dxa" w:w="120"/>
              <w:left w:type="dxa" w:w="160"/>
              <w:bottom w:type="dxa" w:w="120"/>
              <w:right w:type="dxa" w:w="160"/>
            </w:tcMar>
          </w:tcPr>
          <w:p>
            <w:r>
              <w:rPr>
                <w:b w:val="false"/>
                <w:bCs w:val="false"/>
                <w:color w:val="000000"/>
              </w:rPr>
              <w:t xml:space="preserve">Local-first execution authority for autonomous agents.</w:t>
            </w:r>
          </w:p>
        </w:tc>
      </w:tr>
      <w:tr>
        <w:tc>
          <w:tcPr>
            <w:tcW w:type="dxa" w:w="2500"/>
            <w:tcBorders>
              <w:top w:val="single" w:color="D5DAE1" w:sz="4"/>
              <w:left w:val="single" w:color="D5DAE1" w:sz="4"/>
              <w:bottom w:val="single" w:color="D5DAE1" w:sz="4"/>
              <w:right w:val="single" w:color="D5DAE1" w:sz="4"/>
            </w:tcBorders>
            <w:shd w:fill="FFFFFF" w:val="clear"/>
            <w:tcMar>
              <w:top w:type="dxa" w:w="120"/>
              <w:left w:type="dxa" w:w="160"/>
              <w:bottom w:type="dxa" w:w="120"/>
              <w:right w:type="dxa" w:w="160"/>
            </w:tcMar>
          </w:tcPr>
          <w:p>
            <w:r>
              <w:rPr>
                <w:b w:val="false"/>
                <w:bCs w:val="false"/>
                <w:color w:val="000000"/>
              </w:rPr>
              <w:t xml:space="preserve">HN Show HN title</w:t>
            </w:r>
          </w:p>
        </w:tc>
        <w:tc>
          <w:tcPr>
            <w:tcW w:type="dxa" w:w="6860"/>
            <w:tcBorders>
              <w:top w:val="single" w:color="D5DAE1" w:sz="4"/>
              <w:left w:val="single" w:color="D5DAE1" w:sz="4"/>
              <w:bottom w:val="single" w:color="D5DAE1" w:sz="4"/>
              <w:right w:val="single" w:color="D5DAE1" w:sz="4"/>
            </w:tcBorders>
            <w:shd w:fill="FFFFFF" w:val="clear"/>
            <w:tcMar>
              <w:top w:type="dxa" w:w="120"/>
              <w:left w:type="dxa" w:w="160"/>
              <w:bottom w:type="dxa" w:w="120"/>
              <w:right w:type="dxa" w:w="160"/>
            </w:tcMar>
          </w:tcPr>
          <w:p>
            <w:r>
              <w:rPr>
                <w:b w:val="false"/>
                <w:bCs w:val="false"/>
                <w:color w:val="000000"/>
              </w:rPr>
              <w:t xml:space="preserve">Show HN: AgentGit — a local-first execution authority for autonomous agents</w:t>
            </w:r>
          </w:p>
        </w:tc>
      </w:tr>
      <w:tr>
        <w:tc>
          <w:tcPr>
            <w:tcW w:type="dxa" w:w="2500"/>
            <w:tcBorders>
              <w:top w:val="single" w:color="D5DAE1" w:sz="4"/>
              <w:left w:val="single" w:color="D5DAE1" w:sz="4"/>
              <w:bottom w:val="single" w:color="D5DAE1" w:sz="4"/>
              <w:right w:val="single" w:color="D5DAE1" w:sz="4"/>
            </w:tcBorders>
            <w:shd w:fill="FFFFFF" w:val="clear"/>
            <w:tcMar>
              <w:top w:type="dxa" w:w="120"/>
              <w:left w:type="dxa" w:w="160"/>
              <w:bottom w:type="dxa" w:w="120"/>
              <w:right w:type="dxa" w:w="160"/>
            </w:tcMar>
          </w:tcPr>
          <w:p>
            <w:r>
              <w:rPr>
                <w:b w:val="false"/>
                <w:bCs w:val="false"/>
                <w:color w:val="000000"/>
              </w:rPr>
              <w:t xml:space="preserve">Twitter / X bio line</w:t>
            </w:r>
          </w:p>
        </w:tc>
        <w:tc>
          <w:tcPr>
            <w:tcW w:type="dxa" w:w="6860"/>
            <w:tcBorders>
              <w:top w:val="single" w:color="D5DAE1" w:sz="4"/>
              <w:left w:val="single" w:color="D5DAE1" w:sz="4"/>
              <w:bottom w:val="single" w:color="D5DAE1" w:sz="4"/>
              <w:right w:val="single" w:color="D5DAE1" w:sz="4"/>
            </w:tcBorders>
            <w:shd w:fill="FFFFFF" w:val="clear"/>
            <w:tcMar>
              <w:top w:type="dxa" w:w="120"/>
              <w:left w:type="dxa" w:w="160"/>
              <w:bottom w:type="dxa" w:w="120"/>
              <w:right w:type="dxa" w:w="160"/>
            </w:tcMar>
          </w:tcPr>
          <w:p>
            <w:r>
              <w:rPr>
                <w:b w:val="false"/>
                <w:bCs w:val="false"/>
                <w:color w:val="000000"/>
              </w:rPr>
              <w:t xml:space="preserve">The control plane your agent runtime forgot to ship with.</w:t>
            </w:r>
          </w:p>
        </w:tc>
      </w:tr>
      <w:tr>
        <w:tc>
          <w:tcPr>
            <w:tcW w:type="dxa" w:w="2500"/>
            <w:tcBorders>
              <w:top w:val="single" w:color="D5DAE1" w:sz="4"/>
              <w:left w:val="single" w:color="D5DAE1" w:sz="4"/>
              <w:bottom w:val="single" w:color="D5DAE1" w:sz="4"/>
              <w:right w:val="single" w:color="D5DAE1" w:sz="4"/>
            </w:tcBorders>
            <w:shd w:fill="FFFFFF" w:val="clear"/>
            <w:tcMar>
              <w:top w:type="dxa" w:w="120"/>
              <w:left w:type="dxa" w:w="160"/>
              <w:bottom w:type="dxa" w:w="120"/>
              <w:right w:type="dxa" w:w="160"/>
            </w:tcMar>
          </w:tcPr>
          <w:p>
            <w:r>
              <w:rPr>
                <w:b w:val="false"/>
                <w:bCs w:val="false"/>
                <w:color w:val="000000"/>
              </w:rPr>
              <w:t xml:space="preserve">Sales email subject</w:t>
            </w:r>
          </w:p>
        </w:tc>
        <w:tc>
          <w:tcPr>
            <w:tcW w:type="dxa" w:w="6860"/>
            <w:tcBorders>
              <w:top w:val="single" w:color="D5DAE1" w:sz="4"/>
              <w:left w:val="single" w:color="D5DAE1" w:sz="4"/>
              <w:bottom w:val="single" w:color="D5DAE1" w:sz="4"/>
              <w:right w:val="single" w:color="D5DAE1" w:sz="4"/>
            </w:tcBorders>
            <w:shd w:fill="FFFFFF" w:val="clear"/>
            <w:tcMar>
              <w:top w:type="dxa" w:w="120"/>
              <w:left w:type="dxa" w:w="160"/>
              <w:bottom w:type="dxa" w:w="120"/>
              <w:right w:type="dxa" w:w="160"/>
            </w:tcMar>
          </w:tcPr>
          <w:p>
            <w:r>
              <w:rPr>
                <w:b w:val="false"/>
                <w:bCs w:val="false"/>
                <w:color w:val="000000"/>
              </w:rPr>
              <w:t xml:space="preserve">Who owns your agent control plane?</w:t>
            </w:r>
          </w:p>
        </w:tc>
      </w:tr>
      <w:tr>
        <w:tc>
          <w:tcPr>
            <w:tcW w:type="dxa" w:w="2500"/>
            <w:tcBorders>
              <w:top w:val="single" w:color="D5DAE1" w:sz="4"/>
              <w:left w:val="single" w:color="D5DAE1" w:sz="4"/>
              <w:bottom w:val="single" w:color="D5DAE1" w:sz="4"/>
              <w:right w:val="single" w:color="D5DAE1" w:sz="4"/>
            </w:tcBorders>
            <w:shd w:fill="FFFFFF" w:val="clear"/>
            <w:tcMar>
              <w:top w:type="dxa" w:w="120"/>
              <w:left w:type="dxa" w:w="160"/>
              <w:bottom w:type="dxa" w:w="120"/>
              <w:right w:type="dxa" w:w="160"/>
            </w:tcMar>
          </w:tcPr>
          <w:p>
            <w:r>
              <w:rPr>
                <w:b w:val="false"/>
                <w:bCs w:val="false"/>
                <w:color w:val="000000"/>
              </w:rPr>
              <w:t xml:space="preserve">Security team pitch</w:t>
            </w:r>
          </w:p>
        </w:tc>
        <w:tc>
          <w:tcPr>
            <w:tcW w:type="dxa" w:w="6860"/>
            <w:tcBorders>
              <w:top w:val="single" w:color="D5DAE1" w:sz="4"/>
              <w:left w:val="single" w:color="D5DAE1" w:sz="4"/>
              <w:bottom w:val="single" w:color="D5DAE1" w:sz="4"/>
              <w:right w:val="single" w:color="D5DAE1" w:sz="4"/>
            </w:tcBorders>
            <w:shd w:fill="FFFFFF" w:val="clear"/>
            <w:tcMar>
              <w:top w:type="dxa" w:w="120"/>
              <w:left w:type="dxa" w:w="160"/>
              <w:bottom w:type="dxa" w:w="120"/>
              <w:right w:type="dxa" w:w="160"/>
            </w:tcMar>
          </w:tcPr>
          <w:p>
            <w:r>
              <w:rPr>
                <w:b w:val="false"/>
                <w:bCs w:val="false"/>
                <w:color w:val="000000"/>
              </w:rPr>
              <w:t xml:space="preserve">Deterministic policy, snapshot-backed rollback, tamper-detectable audit — all local.</w:t>
            </w:r>
          </w:p>
        </w:tc>
      </w:tr>
      <w:tr>
        <w:tc>
          <w:tcPr>
            <w:tcW w:type="dxa" w:w="2500"/>
            <w:tcBorders>
              <w:top w:val="single" w:color="D5DAE1" w:sz="4"/>
              <w:left w:val="single" w:color="D5DAE1" w:sz="4"/>
              <w:bottom w:val="single" w:color="D5DAE1" w:sz="4"/>
              <w:right w:val="single" w:color="D5DAE1" w:sz="4"/>
            </w:tcBorders>
            <w:shd w:fill="FFFFFF" w:val="clear"/>
            <w:tcMar>
              <w:top w:type="dxa" w:w="120"/>
              <w:left w:type="dxa" w:w="160"/>
              <w:bottom w:type="dxa" w:w="120"/>
              <w:right w:type="dxa" w:w="160"/>
            </w:tcMar>
          </w:tcPr>
          <w:p>
            <w:r>
              <w:rPr>
                <w:b w:val="false"/>
                <w:bCs w:val="false"/>
                <w:color w:val="000000"/>
              </w:rPr>
              <w:t xml:space="preserve">Internal elevator</w:t>
            </w:r>
          </w:p>
        </w:tc>
        <w:tc>
          <w:tcPr>
            <w:tcW w:type="dxa" w:w="6860"/>
            <w:tcBorders>
              <w:top w:val="single" w:color="D5DAE1" w:sz="4"/>
              <w:left w:val="single" w:color="D5DAE1" w:sz="4"/>
              <w:bottom w:val="single" w:color="D5DAE1" w:sz="4"/>
              <w:right w:val="single" w:color="D5DAE1" w:sz="4"/>
            </w:tcBorders>
            <w:shd w:fill="FFFFFF" w:val="clear"/>
            <w:tcMar>
              <w:top w:type="dxa" w:w="120"/>
              <w:left w:type="dxa" w:w="160"/>
              <w:bottom w:type="dxa" w:w="120"/>
              <w:right w:type="dxa" w:w="160"/>
            </w:tcMar>
          </w:tcPr>
          <w:p>
            <w:r>
              <w:rPr>
                <w:b w:val="false"/>
                <w:bCs w:val="false"/>
                <w:color w:val="000000"/>
              </w:rPr>
              <w:t xml:space="preserve">The layer frameworks skip, so autonomy does not mean blind trust.</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Pr>
      <w:t xml:space="preserve">AgentGit — Core Messaging &amp; Positioning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BM Plex Sans" w:cs="IBM Plex Sans" w:eastAsia="IBM Plex Sans" w:hAnsi="IBM Plex Sans"/>
        <w:color w:val="0E142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80" w:before="0"/>
    </w:pPr>
    <w:rPr>
      <w:rFonts w:ascii="IBM Plex Sans" w:cs="IBM Plex Sans" w:eastAsia="IBM Plex Sans" w:hAnsi="IBM Plex Sans"/>
      <w:b/>
      <w:bCs/>
      <w:color w:val="0B0F14"/>
      <w:sz w:val="52"/>
      <w:szCs w:val="52"/>
    </w:rPr>
  </w:style>
  <w:style w:type="paragraph" w:styleId="Subtitle">
    <w:name w:val="Subtitle"/>
    <w:basedOn w:val="Normal"/>
    <w:next w:val="Normal"/>
    <w:qFormat/>
    <w:pPr>
      <w:spacing w:after="480" w:before="0"/>
    </w:pPr>
    <w:rPr>
      <w:rFonts w:ascii="IBM Plex Sans" w:cs="IBM Plex Sans" w:eastAsia="IBM Plex Sans" w:hAnsi="IBM Plex Sans"/>
      <w:i/>
      <w:iCs/>
      <w:color w:val="475569"/>
      <w:sz w:val="26"/>
      <w:szCs w:val="26"/>
    </w:rPr>
  </w:style>
  <w:style w:type="paragraph" w:styleId="Heading1">
    <w:name w:val="Heading 1"/>
    <w:basedOn w:val="Normal"/>
    <w:next w:val="Normal"/>
    <w:qFormat/>
    <w:pPr>
      <w:spacing w:after="200" w:before="360"/>
      <w:outlineLvl w:val="0"/>
    </w:pPr>
    <w:rPr>
      <w:rFonts w:ascii="IBM Plex Sans" w:cs="IBM Plex Sans" w:eastAsia="IBM Plex Sans" w:hAnsi="IBM Plex Sans"/>
      <w:b/>
      <w:bCs/>
      <w:color w:val="0B0F14"/>
      <w:sz w:val="32"/>
      <w:szCs w:val="32"/>
    </w:rPr>
  </w:style>
  <w:style w:type="paragraph" w:styleId="Heading2">
    <w:name w:val="Heading 2"/>
    <w:basedOn w:val="Normal"/>
    <w:next w:val="Normal"/>
    <w:qFormat/>
    <w:pPr>
      <w:spacing w:after="140" w:before="280"/>
      <w:outlineLvl w:val="1"/>
    </w:pPr>
    <w:rPr>
      <w:rFonts w:ascii="IBM Plex Sans" w:cs="IBM Plex Sans" w:eastAsia="IBM Plex Sans" w:hAnsi="IBM Plex Sans"/>
      <w:b/>
      <w:bCs/>
      <w:color w:val="089496"/>
      <w:sz w:val="26"/>
      <w:szCs w:val="26"/>
    </w:rPr>
  </w:style>
  <w:style w:type="paragraph" w:styleId="Heading3">
    <w:name w:val="Heading 3"/>
    <w:basedOn w:val="Normal"/>
    <w:next w:val="Normal"/>
    <w:qFormat/>
    <w:pPr>
      <w:spacing w:after="100" w:before="200"/>
      <w:outlineLvl w:val="2"/>
    </w:pPr>
    <w:rPr>
      <w:rFonts w:ascii="IBM Plex Sans" w:cs="IBM Plex Sans" w:eastAsia="IBM Plex Sans" w:hAnsi="IBM Plex Sans"/>
      <w:b/>
      <w:bCs/>
      <w:color w:val="0E142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2026-04-08T13:32:27.786Z</dcterms:created>
  <dcterms:modified xsi:type="dcterms:W3CDTF">2026-04-08T13:32:27.787Z</dcterms:modified>
</cp:coreProperties>
</file>

<file path=docProps/custom.xml><?xml version="1.0" encoding="utf-8"?>
<Properties xmlns="http://schemas.openxmlformats.org/officeDocument/2006/custom-properties" xmlns:vt="http://schemas.openxmlformats.org/officeDocument/2006/docPropsVTypes"/>
</file>