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200"/>
        <w:jc w:val="center"/>
      </w:pPr>
      <w:r>
        <w:rPr>
          <w:rFonts w:ascii="Arial" w:cs="Arial" w:eastAsia="Arial" w:hAnsi="Arial"/>
          <w:b/>
          <w:bCs/>
          <w:color w:val="1F4E79"/>
          <w:sz w:val="52"/>
          <w:szCs w:val="52"/>
        </w:rPr>
        <w:t xml:space="preserve">THREAT INTELLIGENCE REPORT</w:t>
      </w:r>
    </w:p>
    <w:p>
      <w:pPr>
        <w:spacing w:after="160"/>
        <w:jc w:val="center"/>
      </w:pPr>
      <w:r>
        <w:rPr>
          <w:rFonts w:ascii="Arial" w:cs="Arial" w:eastAsia="Arial" w:hAnsi="Arial"/>
          <w:color w:val="2E75B6"/>
          <w:sz w:val="28"/>
          <w:szCs w:val="28"/>
        </w:rPr>
        <w:t xml:space="preserve">Cybersecurity Analyst Internship — Task 1</w:t>
      </w:r>
    </w:p>
    <w:p>
      <w:pPr>
        <w:spacing w:after="800"/>
        <w:jc w:val="center"/>
      </w:pPr>
      <w:r>
        <w:rPr>
          <w:rFonts w:ascii="Arial" w:cs="Arial" w:eastAsia="Arial" w:hAnsi="Arial"/>
          <w:color w:val="555555"/>
          <w:sz w:val="24"/>
          <w:szCs w:val="24"/>
        </w:rPr>
        <w:t xml:space="preserve">Maincrafts Technology | 2024–2025</w:t>
      </w:r>
    </w:p>
    <w:p>
      <w:pPr>
        <w:pBdr>
          <w:bottom w:val="single" w:color="1F4E79" w:sz="6" w:space="1"/>
        </w:pBdr>
        <w:spacing w:after="200"/>
      </w:pPr>
    </w:p>
    <w:p>
      <w:pPr>
        <w:spacing w:after="120"/>
        <w:jc w:val="center"/>
      </w:pPr>
      <w:r>
        <w:rPr>
          <w:rFonts w:ascii="Arial" w:cs="Arial" w:eastAsia="Arial" w:hAnsi="Arial"/>
          <w:sz w:val="22"/>
          <w:szCs w:val="22"/>
        </w:rPr>
        <w:t xml:space="preserve">Prepared by: Cybersecurity Analyst Intern</w:t>
      </w:r>
    </w:p>
    <w:p>
      <w:pPr>
        <w:spacing w:after="120"/>
        <w:jc w:val="center"/>
      </w:pPr>
      <w:r>
        <w:rPr>
          <w:rFonts w:ascii="Arial" w:cs="Arial" w:eastAsia="Arial" w:hAnsi="Arial"/>
          <w:sz w:val="22"/>
          <w:szCs w:val="22"/>
        </w:rPr>
        <w:t xml:space="preserve">Report Date: 2025</w:t>
      </w:r>
    </w:p>
    <w:p>
      <w:pPr>
        <w:spacing w:after="120"/>
        <w:jc w:val="center"/>
      </w:pPr>
      <w:r>
        <w:rPr>
          <w:rFonts w:ascii="Arial" w:cs="Arial" w:eastAsia="Arial" w:hAnsi="Arial"/>
          <w:i/>
          <w:iCs/>
          <w:sz w:val="22"/>
          <w:szCs w:val="22"/>
        </w:rPr>
        <w:t xml:space="preserve">Classification: Internal — For Training Purposes</w:t>
      </w:r>
    </w:p>
    <w:p>
      <w:r>
        <w:br w:type="page"/>
      </w:r>
    </w:p>
    <w:p>
      <w:pPr>
        <w:pStyle w:val="Heading1"/>
      </w:pPr>
      <w:r>
        <w:rPr>
          <w:rFonts w:ascii="Arial" w:cs="Arial" w:eastAsia="Arial" w:hAnsi="Arial"/>
          <w:b/>
          <w:bCs/>
          <w:sz w:val="32"/>
          <w:szCs w:val="32"/>
        </w:rPr>
        <w:t xml:space="preserve">Executive Summary</w:t>
      </w:r>
    </w:p>
    <w:p>
      <w:pPr>
        <w:spacing w:after="160"/>
      </w:pPr>
      <w:r>
        <w:rPr>
          <w:rFonts w:ascii="Arial" w:cs="Arial" w:eastAsia="Arial" w:hAnsi="Arial"/>
          <w:sz w:val="22"/>
          <w:szCs w:val="22"/>
        </w:rPr>
        <w:t xml:space="preserve">This Threat Intelligence Report has been prepared as part of the Cybersecurity Analyst Internship simulation at Maincrafts Technology. It provides an in-depth analysis of the five most significant cybersecurity threats observed in 2024–2025, with real-world case studies, impact assessments, and actionable defense recommendations.</w:t>
      </w:r>
    </w:p>
    <w:p>
      <w:pPr>
        <w:spacing w:after="160"/>
      </w:pPr>
      <w:r>
        <w:rPr>
          <w:rFonts w:ascii="Arial" w:cs="Arial" w:eastAsia="Arial" w:hAnsi="Arial"/>
          <w:sz w:val="22"/>
          <w:szCs w:val="22"/>
        </w:rPr>
        <w:t xml:space="preserve">As digital transformation accelerates across industries, the attack surface available to malicious actors continues to expand. This report is designed to equip stakeholders with the awareness needed to prioritize security investments and mitigate risks before they materialize into costly incidents.</w:t>
      </w:r>
    </w:p>
    <w:p>
      <w:r>
        <w:br w:type="page"/>
      </w:r>
    </w:p>
    <w:p>
      <w:pPr>
        <w:pStyle w:val="Heading1"/>
      </w:pPr>
      <w:r>
        <w:rPr>
          <w:rFonts w:ascii="Arial" w:cs="Arial" w:eastAsia="Arial" w:hAnsi="Arial"/>
          <w:b/>
          <w:bCs/>
          <w:sz w:val="32"/>
          <w:szCs w:val="32"/>
        </w:rPr>
        <w:t xml:space="preserve">1. Introduction to Cybersecurity</w:t>
      </w:r>
    </w:p>
    <w:p>
      <w:pPr>
        <w:pStyle w:val="Heading2"/>
      </w:pPr>
      <w:r>
        <w:rPr>
          <w:rFonts w:ascii="Arial" w:cs="Arial" w:eastAsia="Arial" w:hAnsi="Arial"/>
          <w:b/>
          <w:bCs/>
          <w:sz w:val="28"/>
          <w:szCs w:val="28"/>
        </w:rPr>
        <w:t xml:space="preserve">1.1 What is Cybersecurity?</w:t>
      </w:r>
    </w:p>
    <w:p>
      <w:pPr>
        <w:spacing w:after="160"/>
      </w:pPr>
      <w:r>
        <w:rPr>
          <w:rFonts w:ascii="Arial" w:cs="Arial" w:eastAsia="Arial" w:hAnsi="Arial"/>
          <w:sz w:val="22"/>
          <w:szCs w:val="22"/>
        </w:rPr>
        <w:t xml:space="preserve">Cybersecurity is the practice of protecting systems, networks, and programs from digital attacks, unauthorized access, damage, and data theft. It encompasses a broad range of technologies, processes, and practices designed to defend computers, servers, mobile devices, electronic systems, and data from adversarial actors. Cybersecurity operates across multiple domains including network security, application security, information security, operational security, and end-user education.</w:t>
      </w:r>
    </w:p>
    <w:p>
      <w:pPr>
        <w:pStyle w:val="Heading2"/>
      </w:pPr>
      <w:r>
        <w:rPr>
          <w:rFonts w:ascii="Arial" w:cs="Arial" w:eastAsia="Arial" w:hAnsi="Arial"/>
          <w:b/>
          <w:bCs/>
          <w:sz w:val="28"/>
          <w:szCs w:val="28"/>
        </w:rPr>
        <w:t xml:space="preserve">1.2 Why Cybersecurity Matters</w:t>
      </w:r>
    </w:p>
    <w:p>
      <w:pPr>
        <w:spacing w:after="160"/>
      </w:pPr>
      <w:r>
        <w:rPr>
          <w:rFonts w:ascii="Arial" w:cs="Arial" w:eastAsia="Arial" w:hAnsi="Arial"/>
          <w:sz w:val="22"/>
          <w:szCs w:val="22"/>
        </w:rPr>
        <w:t xml:space="preserve">For individuals, a successful cyberattack can result in identity theft, financial losses, invasion of privacy, and reputational harm. For businesses, the stakes are even higher. A single breach can disrupt operations, expose sensitive customer data, invite regulatory penalties, and permanently damage brand trust. According to IBM's Cost of a Data Breach Report, the global average cost of a data breach reached $4.88 million in 2024 — a record high.</w:t>
      </w:r>
    </w:p>
    <w:p>
      <w:pPr>
        <w:spacing w:after="160"/>
      </w:pPr>
      <w:r>
        <w:rPr>
          <w:rFonts w:ascii="Arial" w:cs="Arial" w:eastAsia="Arial" w:hAnsi="Arial"/>
          <w:sz w:val="22"/>
          <w:szCs w:val="22"/>
        </w:rPr>
        <w:t xml:space="preserve">Beyond financial loss, cybersecurity failures can have national security implications when critical infrastructure such as power grids, hospitals, or financial systems are targeted.</w:t>
      </w:r>
    </w:p>
    <w:p>
      <w:pPr>
        <w:pStyle w:val="Heading2"/>
      </w:pPr>
      <w:r>
        <w:rPr>
          <w:rFonts w:ascii="Arial" w:cs="Arial" w:eastAsia="Arial" w:hAnsi="Arial"/>
          <w:b/>
          <w:bCs/>
          <w:sz w:val="28"/>
          <w:szCs w:val="28"/>
        </w:rPr>
        <w:t xml:space="preserve">1.3 Current Relevance</w:t>
      </w:r>
    </w:p>
    <w:p>
      <w:pPr>
        <w:spacing w:after="160"/>
      </w:pPr>
      <w:r>
        <w:rPr>
          <w:rFonts w:ascii="Arial" w:cs="Arial" w:eastAsia="Arial" w:hAnsi="Arial"/>
          <w:sz w:val="22"/>
          <w:szCs w:val="22"/>
        </w:rPr>
        <w:t xml:space="preserve">Several converging trends are making the cybersecurity landscape more dangerous than ever before. The widespread adoption of cloud computing, remote work, and IoT devices has dramatically expanded the attack surface. Simultaneously, the rise of Artificial Intelligence (AI) is a double-edged sword: while defenders use AI for threat detection, adversaries leverage it to craft more convincing phishing lures, generate deepfake audio and video for social engineering, and automate attacks at scale. Cybercrime is projected to cost the global economy over $10.5 trillion annually by 2025, underscoring the urgent need for robust cybersecurity postures across all sectors.</w:t>
      </w:r>
    </w:p>
    <w:p>
      <w:r>
        <w:br w:type="page"/>
      </w:r>
    </w:p>
    <w:p>
      <w:pPr>
        <w:pStyle w:val="Heading1"/>
      </w:pPr>
      <w:r>
        <w:rPr>
          <w:rFonts w:ascii="Arial" w:cs="Arial" w:eastAsia="Arial" w:hAnsi="Arial"/>
          <w:b/>
          <w:bCs/>
          <w:sz w:val="32"/>
          <w:szCs w:val="32"/>
        </w:rPr>
        <w:t xml:space="preserve">2. Threat Profiles: Analysis, Impact &amp; Case Studies</w:t>
      </w:r>
    </w:p>
    <w:p>
      <w:pPr>
        <w:spacing w:after="160"/>
      </w:pPr>
      <w:r>
        <w:rPr>
          <w:rFonts w:ascii="Arial" w:cs="Arial" w:eastAsia="Arial" w:hAnsi="Arial"/>
          <w:sz w:val="22"/>
          <w:szCs w:val="22"/>
        </w:rPr>
        <w:t xml:space="preserve">The following five threats represent the most significant and prevalent attack vectors observed in 2024–2025. Each profile includes an explanation of the threat, its impact on individuals and organizations, a real-world case study, and recommended defensive measures.</w:t>
      </w:r>
    </w:p>
    <w:p>
      <w:pPr>
        <w:pStyle w:val="Heading2"/>
      </w:pPr>
      <w:r>
        <w:rPr>
          <w:rFonts w:ascii="Arial" w:cs="Arial" w:eastAsia="Arial" w:hAnsi="Arial"/>
          <w:b/>
          <w:bCs/>
          <w:sz w:val="28"/>
          <w:szCs w:val="28"/>
        </w:rPr>
        <w:t xml:space="preserve">Threat 1: AI-Powered Phishing Attacks</w:t>
      </w:r>
    </w:p>
    <w:p>
      <w:pPr>
        <w:pStyle w:val="Heading3"/>
      </w:pPr>
      <w:r>
        <w:rPr>
          <w:rFonts w:ascii="Arial" w:cs="Arial" w:eastAsia="Arial" w:hAnsi="Arial"/>
          <w:b/>
          <w:bCs/>
          <w:sz w:val="24"/>
          <w:szCs w:val="24"/>
        </w:rPr>
        <w:t xml:space="preserve">Overview</w:t>
      </w:r>
    </w:p>
    <w:p>
      <w:pPr>
        <w:spacing w:after="160"/>
      </w:pPr>
      <w:r>
        <w:rPr>
          <w:rFonts w:ascii="Arial" w:cs="Arial" w:eastAsia="Arial" w:hAnsi="Arial"/>
          <w:sz w:val="22"/>
          <w:szCs w:val="22"/>
        </w:rPr>
        <w:t xml:space="preserve">Phishing has long been one of the most effective cyberattack methods — and AI has supercharged it. AI-powered phishing attacks use large language models (LLMs), generative AI, and deepfake technology to craft highly personalized, grammatically perfect lures that bypass traditional spam filters and human skepticism. Attackers can now generate thousands of individualized spear-phishing emails in minutes, impersonate executives via voice cloning (vishing), or create deepfake video calls to authorize fraudulent wire transfers — a technique known as Business Email Compromise (BEC) 2.0.</w:t>
      </w:r>
    </w:p>
    <w:p>
      <w:pPr>
        <w:spacing w:after="160"/>
      </w:pPr>
      <w:r>
        <w:rPr>
          <w:rFonts w:ascii="Arial" w:cs="Arial" w:eastAsia="Arial" w:hAnsi="Arial"/>
          <w:sz w:val="22"/>
          <w:szCs w:val="22"/>
        </w:rPr>
        <w:t xml:space="preserve">Social engineering tactics are also evolving. AI tools analyze publicly available social media data to tailor messages that reference real events, colleagues, and interests, making them far more convincing than generic phishing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Individual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Credential theft, account takeover, financial fraud, identity theft. A single click can give attackers full access to email, banking, and personal accounts.</w:t>
            </w:r>
          </w:p>
        </w:tc>
      </w:tr>
      <w:tr>
        <w:tc>
          <w:tcPr>
            <w:tcW w:type="dxa" w:w="2200"/>
            <w:tcBorders>
              <w:top w:val="single" w:color="CCCCCC" w:sz="1"/>
              <w:left w:val="single" w:color="CCCCCC" w:sz="1"/>
              <w:bottom w:val="single" w:color="CCCCCC" w:sz="1"/>
              <w:right w:val="single" w:color="CCCCCC" w:sz="1"/>
            </w:tcBorders>
            <w:shd w:fill="EAF2FF" w:val="clear"/>
            <w:tcMar>
              <w:top w:type="dxa" w:w="80"/>
              <w:left w:type="dxa" w:w="120"/>
              <w:bottom w:type="dxa" w:w="80"/>
              <w:right w:type="dxa" w:w="120"/>
            </w:tcMar>
          </w:tcPr>
          <w:p>
            <w:r>
              <w:rPr>
                <w:rFonts w:ascii="Arial" w:cs="Arial" w:eastAsia="Arial" w:hAnsi="Arial"/>
                <w:b/>
                <w:bCs/>
                <w:sz w:val="20"/>
                <w:szCs w:val="20"/>
              </w:rPr>
              <w:t xml:space="preserve">Org.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breaches, financial losses from wire fraud, ransomware deployment post-compromise, regulatory fines (GDPR, HIPAA), and severe reputational damage.</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Case Study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 early 2024, a finance employee at a multinational firm in Hong Kong was tricked into transferring HK$200 million (~$25.6M USD) after attending a deepfake video conference call that impersonated the company's CFO and other executives — all AI-generated.</w:t>
            </w:r>
          </w:p>
        </w:tc>
      </w:tr>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Defenses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Security Awareness Training with simulated phishing exercises.
2. Multi-Factor Authentication (MFA) on all critical accounts.
3. AI-based email security gateways (e.g., Proofpoint, Mimecast).
4. Strict wire-transfer verification protocols with out-of-band confirmation.</w:t>
            </w:r>
          </w:p>
        </w:tc>
      </w:tr>
    </w:tbl>
    <w:p>
      <w:pPr>
        <w:pStyle w:val="Heading2"/>
      </w:pPr>
      <w:r>
        <w:rPr>
          <w:rFonts w:ascii="Arial" w:cs="Arial" w:eastAsia="Arial" w:hAnsi="Arial"/>
          <w:b/>
          <w:bCs/>
          <w:sz w:val="28"/>
          <w:szCs w:val="28"/>
        </w:rPr>
        <w:t xml:space="preserve">Threat 2: Ransomware-as-a-Service (RaaS)</w:t>
      </w:r>
    </w:p>
    <w:p>
      <w:pPr>
        <w:pStyle w:val="Heading3"/>
      </w:pPr>
      <w:r>
        <w:rPr>
          <w:rFonts w:ascii="Arial" w:cs="Arial" w:eastAsia="Arial" w:hAnsi="Arial"/>
          <w:b/>
          <w:bCs/>
          <w:sz w:val="24"/>
          <w:szCs w:val="24"/>
        </w:rPr>
        <w:t xml:space="preserve">Overview</w:t>
      </w:r>
    </w:p>
    <w:p>
      <w:pPr>
        <w:spacing w:after="160"/>
      </w:pPr>
      <w:r>
        <w:rPr>
          <w:rFonts w:ascii="Arial" w:cs="Arial" w:eastAsia="Arial" w:hAnsi="Arial"/>
          <w:sz w:val="22"/>
          <w:szCs w:val="22"/>
        </w:rPr>
        <w:t xml:space="preserve">Ransomware-as-a-Service (RaaS) is a criminal business model where ransomware developers lease their malware infrastructure to affiliates in exchange for a percentage of ransom payments. This has democratized cybercrime, enabling individuals with minimal technical skill to launch sophisticated ransomware campaigns. RaaS platforms provide affiliates with dashboards, customer support for victims, and automated payment processing — mirroring legitimate SaaS businesses.</w:t>
      </w:r>
    </w:p>
    <w:p>
      <w:pPr>
        <w:spacing w:after="160"/>
      </w:pPr>
      <w:r>
        <w:rPr>
          <w:rFonts w:ascii="Arial" w:cs="Arial" w:eastAsia="Arial" w:hAnsi="Arial"/>
          <w:sz w:val="22"/>
          <w:szCs w:val="22"/>
        </w:rPr>
        <w:t xml:space="preserve">Notable RaaS groups operating in 2024–2025 include LockBit, BlackCat (ALPHV), and Cl0p. Tactics include double extortion (encrypting data and threatening to leak it) and triple extortion (also targeting the victim's customers and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Individual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Personal files, photos, and documents become inaccessible. Ransom demands on individuals typically range from hundreds to thousands of dollars. Payment does not guarantee file recovery.</w:t>
            </w:r>
          </w:p>
        </w:tc>
      </w:tr>
      <w:tr>
        <w:tc>
          <w:tcPr>
            <w:tcW w:type="dxa" w:w="2200"/>
            <w:tcBorders>
              <w:top w:val="single" w:color="CCCCCC" w:sz="1"/>
              <w:left w:val="single" w:color="CCCCCC" w:sz="1"/>
              <w:bottom w:val="single" w:color="CCCCCC" w:sz="1"/>
              <w:right w:val="single" w:color="CCCCCC" w:sz="1"/>
            </w:tcBorders>
            <w:shd w:fill="EAF2FF" w:val="clear"/>
            <w:tcMar>
              <w:top w:type="dxa" w:w="80"/>
              <w:left w:type="dxa" w:w="120"/>
              <w:bottom w:type="dxa" w:w="80"/>
              <w:right w:type="dxa" w:w="120"/>
            </w:tcMar>
          </w:tcPr>
          <w:p>
            <w:r>
              <w:rPr>
                <w:rFonts w:ascii="Arial" w:cs="Arial" w:eastAsia="Arial" w:hAnsi="Arial"/>
                <w:b/>
                <w:bCs/>
                <w:sz w:val="20"/>
                <w:szCs w:val="20"/>
              </w:rPr>
              <w:t xml:space="preserve">Org.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Critical operational systems go offline, causing costly downtime. Average ransom demands for enterprises now exceed $2 million. Data theft adds regulatory exposure. Recovery costs — including forensics, legal fees, and IT restoration — often dwarf the ransom itself.</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Case Study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Change Healthcare ransomware attack (Feb 2024) by the ALPHV/BlackCat RaaS group caused a weeks-long outage affecting prescription processing across thousands of U.S. pharmacies. UnitedHealth Group paid a $22 million ransom. The total financial impact exceeded $870 million.</w:t>
            </w:r>
          </w:p>
        </w:tc>
      </w:tr>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Defenses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Offline, immutable, and tested backups (3-2-1 backup strategy).
2. Network segmentation to contain lateral movement.
3. Endpoint Detection and Response (EDR) solutions.
4. Zero Trust Architecture — least-privilege access for all users and systems.</w:t>
            </w:r>
          </w:p>
        </w:tc>
      </w:tr>
    </w:tbl>
    <w:p>
      <w:pPr>
        <w:pStyle w:val="Heading2"/>
      </w:pPr>
      <w:r>
        <w:rPr>
          <w:rFonts w:ascii="Arial" w:cs="Arial" w:eastAsia="Arial" w:hAnsi="Arial"/>
          <w:b/>
          <w:bCs/>
          <w:sz w:val="28"/>
          <w:szCs w:val="28"/>
        </w:rPr>
        <w:t xml:space="preserve">Threat 3: Cloud Security Misconfigurations</w:t>
      </w:r>
    </w:p>
    <w:p>
      <w:pPr>
        <w:pStyle w:val="Heading3"/>
      </w:pPr>
      <w:r>
        <w:rPr>
          <w:rFonts w:ascii="Arial" w:cs="Arial" w:eastAsia="Arial" w:hAnsi="Arial"/>
          <w:b/>
          <w:bCs/>
          <w:sz w:val="24"/>
          <w:szCs w:val="24"/>
        </w:rPr>
        <w:t xml:space="preserve">Overview</w:t>
      </w:r>
    </w:p>
    <w:p>
      <w:pPr>
        <w:spacing w:after="160"/>
      </w:pPr>
      <w:r>
        <w:rPr>
          <w:rFonts w:ascii="Arial" w:cs="Arial" w:eastAsia="Arial" w:hAnsi="Arial"/>
          <w:sz w:val="22"/>
          <w:szCs w:val="22"/>
        </w:rPr>
        <w:t xml:space="preserve">As organizations migrate to cloud platforms such as AWS, Microsoft Azure, and Google Cloud Platform (GCP), misconfigurations have emerged as the leading cause of cloud data breaches. Common misconfigurations include publicly accessible S3 buckets, overly permissive IAM roles, disabled logging, unencrypted storage, and exposed management ports. The shared responsibility model means cloud providers secure the infrastructure, but customers are responsible for securing their data and configurations — a responsibility that is frequently misunderstood or neglected.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Individual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Exposure of personal data including names, addresses, SSNs, financial records, and medical information. Victims face identity theft, credit fraud, and emotional distress with little warning.</w:t>
            </w:r>
          </w:p>
        </w:tc>
      </w:tr>
      <w:tr>
        <w:tc>
          <w:tcPr>
            <w:tcW w:type="dxa" w:w="2200"/>
            <w:tcBorders>
              <w:top w:val="single" w:color="CCCCCC" w:sz="1"/>
              <w:left w:val="single" w:color="CCCCCC" w:sz="1"/>
              <w:bottom w:val="single" w:color="CCCCCC" w:sz="1"/>
              <w:right w:val="single" w:color="CCCCCC" w:sz="1"/>
            </w:tcBorders>
            <w:shd w:fill="EAF2FF" w:val="clear"/>
            <w:tcMar>
              <w:top w:type="dxa" w:w="80"/>
              <w:left w:type="dxa" w:w="120"/>
              <w:bottom w:type="dxa" w:w="80"/>
              <w:right w:type="dxa" w:w="120"/>
            </w:tcMar>
          </w:tcPr>
          <w:p>
            <w:r>
              <w:rPr>
                <w:rFonts w:ascii="Arial" w:cs="Arial" w:eastAsia="Arial" w:hAnsi="Arial"/>
                <w:b/>
                <w:bCs/>
                <w:sz w:val="20"/>
                <w:szCs w:val="20"/>
              </w:rPr>
              <w:t xml:space="preserve">Org.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fines (GDPR penalties up to 4% of global turnover), class-action lawsuits, loss of customer trust, and direct remediation costs. High-profile breaches result in executive resignations and long-term stock price decline.</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Case Study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Microsoft Power Apps data exposure (2021) saw 38 million records — including COVID-19 contact tracing data, vaccination statuses, and employee records from organizations including American Airlines and the Indiana Department of Health — left publicly accessible due to default misconfigured portal settings.</w:t>
            </w:r>
          </w:p>
        </w:tc>
      </w:tr>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Defenses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Cloud Security Posture Management (CSPM) tools (e.g., Wiz, Prisma Cloud) for continuous misconfiguration detection.
2. Infrastructure-as-Code (IaC) security scanning in CI/CD pipelines.
3. Enforce least-privilege IAM policies and regular access reviews.
4. Enable cloud-native logging (AWS CloudTrail, Azure Monitor) and set alerts for anomalous access.</w:t>
            </w:r>
          </w:p>
        </w:tc>
      </w:tr>
    </w:tbl>
    <w:p>
      <w:pPr>
        <w:pStyle w:val="Heading2"/>
      </w:pPr>
      <w:r>
        <w:rPr>
          <w:rFonts w:ascii="Arial" w:cs="Arial" w:eastAsia="Arial" w:hAnsi="Arial"/>
          <w:b/>
          <w:bCs/>
          <w:sz w:val="28"/>
          <w:szCs w:val="28"/>
        </w:rPr>
        <w:t xml:space="preserve">Threat 4: IoT Vulnerabilities</w:t>
      </w:r>
    </w:p>
    <w:p>
      <w:pPr>
        <w:pStyle w:val="Heading3"/>
      </w:pPr>
      <w:r>
        <w:rPr>
          <w:rFonts w:ascii="Arial" w:cs="Arial" w:eastAsia="Arial" w:hAnsi="Arial"/>
          <w:b/>
          <w:bCs/>
          <w:sz w:val="24"/>
          <w:szCs w:val="24"/>
        </w:rPr>
        <w:t xml:space="preserve">Overview</w:t>
      </w:r>
    </w:p>
    <w:p>
      <w:pPr>
        <w:spacing w:after="160"/>
      </w:pPr>
      <w:r>
        <w:rPr>
          <w:rFonts w:ascii="Arial" w:cs="Arial" w:eastAsia="Arial" w:hAnsi="Arial"/>
          <w:sz w:val="22"/>
          <w:szCs w:val="22"/>
        </w:rPr>
        <w:t xml:space="preserve">The Internet of Things (IoT) refers to the billions of internet-connected devices — smart home appliances, industrial control systems, medical devices, cameras, and more — that collect and transmit data. Most IoT devices are designed with convenience and cost-efficiency as priorities, often at the expense of security. They frequently ship with default credentials, lack firmware update mechanisms, use unencrypted communications, and run outdated software. Compromised IoT devices can be weaponized into botnets for DDoS attacks, used as pivot points into corporate networks, or exploited to cause physical harm (e.g., tampering with medical devices or industrial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Individual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Smart home intrusions (cameras, locks, baby monitors), privacy violations, and stalking. Compromised wearables can expose sensitive health data.</w:t>
            </w:r>
          </w:p>
        </w:tc>
      </w:tr>
      <w:tr>
        <w:tc>
          <w:tcPr>
            <w:tcW w:type="dxa" w:w="2200"/>
            <w:tcBorders>
              <w:top w:val="single" w:color="CCCCCC" w:sz="1"/>
              <w:left w:val="single" w:color="CCCCCC" w:sz="1"/>
              <w:bottom w:val="single" w:color="CCCCCC" w:sz="1"/>
              <w:right w:val="single" w:color="CCCCCC" w:sz="1"/>
            </w:tcBorders>
            <w:shd w:fill="EAF2FF" w:val="clear"/>
            <w:tcMar>
              <w:top w:type="dxa" w:w="80"/>
              <w:left w:type="dxa" w:w="120"/>
              <w:bottom w:type="dxa" w:w="80"/>
              <w:right w:type="dxa" w:w="120"/>
            </w:tcMar>
          </w:tcPr>
          <w:p>
            <w:r>
              <w:rPr>
                <w:rFonts w:ascii="Arial" w:cs="Arial" w:eastAsia="Arial" w:hAnsi="Arial"/>
                <w:b/>
                <w:bCs/>
                <w:sz w:val="20"/>
                <w:szCs w:val="20"/>
              </w:rPr>
              <w:t xml:space="preserve">Org.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IoT devices on corporate networks serve as entry points for lateral movement. Operational Technology (OT) breaches in manufacturing or utilities can halt production or cause physical damage. Healthcare IoT attacks can endanger patient safety.</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Case Study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Mirai botnet (2016) — though earlier, its successors remain active — compromised hundreds of thousands of IoT devices with default credentials to launch one of history's largest DDoS attacks, taking down major services including Twitter, Netflix, and PayPal. Mirai variants continued causing disruption through 2024.</w:t>
            </w:r>
          </w:p>
        </w:tc>
      </w:tr>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Defenses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Change default credentials immediately upon device deployment.
2. Implement network segmentation — place IoT devices on isolated VLANs.
3. Regular firmware updates and automated patch management.
4. Network Access Control (NAC) solutions to monitor and restrict IoT device behavior.</w:t>
            </w:r>
          </w:p>
        </w:tc>
      </w:tr>
    </w:tbl>
    <w:p>
      <w:pPr>
        <w:pStyle w:val="Heading2"/>
      </w:pPr>
      <w:r>
        <w:rPr>
          <w:rFonts w:ascii="Arial" w:cs="Arial" w:eastAsia="Arial" w:hAnsi="Arial"/>
          <w:b/>
          <w:bCs/>
          <w:sz w:val="28"/>
          <w:szCs w:val="28"/>
        </w:rPr>
        <w:t xml:space="preserve">Threat 5: Zero-Day Exploits</w:t>
      </w:r>
    </w:p>
    <w:p>
      <w:pPr>
        <w:pStyle w:val="Heading3"/>
      </w:pPr>
      <w:r>
        <w:rPr>
          <w:rFonts w:ascii="Arial" w:cs="Arial" w:eastAsia="Arial" w:hAnsi="Arial"/>
          <w:b/>
          <w:bCs/>
          <w:sz w:val="24"/>
          <w:szCs w:val="24"/>
        </w:rPr>
        <w:t xml:space="preserve">Overview</w:t>
      </w:r>
    </w:p>
    <w:p>
      <w:pPr>
        <w:spacing w:after="160"/>
      </w:pPr>
      <w:r>
        <w:rPr>
          <w:rFonts w:ascii="Arial" w:cs="Arial" w:eastAsia="Arial" w:hAnsi="Arial"/>
          <w:sz w:val="22"/>
          <w:szCs w:val="22"/>
        </w:rPr>
        <w:t xml:space="preserve">A zero-day exploit targets a software vulnerability that is unknown to the vendor and therefore has no available patch. These vulnerabilities are extremely valuable — nation-state actors and sophisticated criminal groups pay millions of dollars for exclusive zero-days on the exploit market. Once a zero-day is discovered and weaponized, defenders have zero days to respond before attacks begin. Zero-days frequently target widely-used software (browsers, operating systems, enterprise applications) to maximize reach. In 2024, major zero-days were discovered in products from Ivanti, Palo Alto Networks, and Microsoft, highlighting the breadth of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sz w:val="20"/>
                <w:szCs w:val="20"/>
              </w:rPr>
              <w:t xml:space="preserve">Individual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Malware installation, surveillance, and data theft with no warning. Zero-days used in targeted attacks against activists or dissidents can result in physical harm.</w:t>
            </w:r>
          </w:p>
        </w:tc>
      </w:tr>
      <w:tr>
        <w:tc>
          <w:tcPr>
            <w:tcW w:type="dxa" w:w="2200"/>
            <w:tcBorders>
              <w:top w:val="single" w:color="CCCCCC" w:sz="1"/>
              <w:left w:val="single" w:color="CCCCCC" w:sz="1"/>
              <w:bottom w:val="single" w:color="CCCCCC" w:sz="1"/>
              <w:right w:val="single" w:color="CCCCCC" w:sz="1"/>
            </w:tcBorders>
            <w:shd w:fill="EAF2FF" w:val="clear"/>
            <w:tcMar>
              <w:top w:type="dxa" w:w="80"/>
              <w:left w:type="dxa" w:w="120"/>
              <w:bottom w:type="dxa" w:w="80"/>
              <w:right w:type="dxa" w:w="120"/>
            </w:tcMar>
          </w:tcPr>
          <w:p>
            <w:r>
              <w:rPr>
                <w:rFonts w:ascii="Arial" w:cs="Arial" w:eastAsia="Arial" w:hAnsi="Arial"/>
                <w:b/>
                <w:bCs/>
                <w:sz w:val="20"/>
                <w:szCs w:val="20"/>
              </w:rPr>
              <w:t xml:space="preserve">Org. Impact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system compromise before detection is possible. Attackers can establish persistent backdoors, exfiltrate sensitive data, or deploy ransomware. Supply chain zero-days can affect thousands of downstream organizations simultaneously.</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r>
              <w:rPr>
                <w:rFonts w:ascii="Arial" w:cs="Arial" w:eastAsia="Arial" w:hAnsi="Arial"/>
                <w:b/>
                <w:bCs/>
                <w:sz w:val="20"/>
                <w:szCs w:val="20"/>
              </w:rPr>
              <w:t xml:space="preserve">Case Study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MOVEit Transfer zero-day (CVE-2023-34362) exploited by the Cl0p ransomware group in 2023 affected over 2,000 organizations worldwide including the BBC, British Airways, and multiple U.S. government agencies, exposing the data of approximately 62 million individuals.</w:t>
            </w:r>
          </w:p>
        </w:tc>
      </w:tr>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sz w:val="20"/>
                <w:szCs w:val="20"/>
              </w:rPr>
              <w:t xml:space="preserve">Defenses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Regular and prioritized patch management — apply vendor patches immediately upon release.
2. Intrusion Detection/Prevention Systems (IDS/IPS) with behavioral anomaly detection.
3. Application allow-listing and attack surface reduction.
4. Threat intelligence subscriptions (CISA KEV catalog, vendor advisories) for early warning.</w:t>
            </w:r>
          </w:p>
        </w:tc>
      </w:tr>
    </w:tbl>
    <w:p>
      <w:r>
        <w:br w:type="page"/>
      </w:r>
    </w:p>
    <w:p>
      <w:pPr>
        <w:pStyle w:val="Heading1"/>
      </w:pPr>
      <w:r>
        <w:rPr>
          <w:rFonts w:ascii="Arial" w:cs="Arial" w:eastAsia="Arial" w:hAnsi="Arial"/>
          <w:b/>
          <w:bCs/>
          <w:sz w:val="32"/>
          <w:szCs w:val="32"/>
        </w:rPr>
        <w:t xml:space="preserve">3. Preventive Measures: Unified Defense Framework</w:t>
      </w:r>
    </w:p>
    <w:p>
      <w:pPr>
        <w:spacing w:after="160"/>
      </w:pPr>
      <w:r>
        <w:rPr>
          <w:rFonts w:ascii="Arial" w:cs="Arial" w:eastAsia="Arial" w:hAnsi="Arial"/>
          <w:sz w:val="22"/>
          <w:szCs w:val="22"/>
        </w:rPr>
        <w:t xml:space="preserve">While each threat requires specific countermeasures (detailed in the profiles above), the following overarching security principles provide a foundational defense posture applicable across all threat categories.</w:t>
      </w:r>
    </w:p>
    <w:p>
      <w:pPr>
        <w:pStyle w:val="ListParagraph"/>
        <w:numPr>
          <w:ilvl w:val="0"/>
          <w:numId w:val="2"/>
        </w:numPr>
        <w:spacing w:after="100"/>
      </w:pPr>
      <w:r>
        <w:rPr>
          <w:rFonts w:ascii="Arial" w:cs="Arial" w:eastAsia="Arial" w:hAnsi="Arial"/>
          <w:sz w:val="22"/>
          <w:szCs w:val="22"/>
        </w:rPr>
        <w:t xml:space="preserve">Zero Trust Architecture: Never trust, always verify. Eliminate implicit trust based on network location and enforce strict identity verification for every user, device, and application.</w:t>
      </w:r>
    </w:p>
    <w:p>
      <w:pPr>
        <w:pStyle w:val="ListParagraph"/>
        <w:numPr>
          <w:ilvl w:val="0"/>
          <w:numId w:val="2"/>
        </w:numPr>
        <w:spacing w:after="100"/>
      </w:pPr>
      <w:r>
        <w:rPr>
          <w:rFonts w:ascii="Arial" w:cs="Arial" w:eastAsia="Arial" w:hAnsi="Arial"/>
          <w:sz w:val="22"/>
          <w:szCs w:val="22"/>
        </w:rPr>
        <w:t xml:space="preserve">Multi-Factor Authentication (MFA): Require at least two forms of authentication for all user accounts, especially for privileged access and remote connections.</w:t>
      </w:r>
    </w:p>
    <w:p>
      <w:pPr>
        <w:pStyle w:val="ListParagraph"/>
        <w:numPr>
          <w:ilvl w:val="0"/>
          <w:numId w:val="2"/>
        </w:numPr>
        <w:spacing w:after="100"/>
      </w:pPr>
      <w:r>
        <w:rPr>
          <w:rFonts w:ascii="Arial" w:cs="Arial" w:eastAsia="Arial" w:hAnsi="Arial"/>
          <w:sz w:val="22"/>
          <w:szCs w:val="22"/>
        </w:rPr>
        <w:t xml:space="preserve">Security Awareness Training: Regular, mandatory training for all employees. Human error remains the leading cause of successful breaches.</w:t>
      </w:r>
    </w:p>
    <w:p>
      <w:pPr>
        <w:pStyle w:val="ListParagraph"/>
        <w:numPr>
          <w:ilvl w:val="0"/>
          <w:numId w:val="2"/>
        </w:numPr>
        <w:spacing w:after="100"/>
      </w:pPr>
      <w:r>
        <w:rPr>
          <w:rFonts w:ascii="Arial" w:cs="Arial" w:eastAsia="Arial" w:hAnsi="Arial"/>
          <w:sz w:val="22"/>
          <w:szCs w:val="22"/>
        </w:rPr>
        <w:t xml:space="preserve">Vulnerability Management: Maintain a complete asset inventory and implement a risk-based patching program. Prioritize using frameworks like CVSS scores and the CISA Known Exploited Vulnerabilities (KEV) catalog.</w:t>
      </w:r>
    </w:p>
    <w:p>
      <w:pPr>
        <w:pStyle w:val="ListParagraph"/>
        <w:numPr>
          <w:ilvl w:val="0"/>
          <w:numId w:val="2"/>
        </w:numPr>
        <w:spacing w:after="100"/>
      </w:pPr>
      <w:r>
        <w:rPr>
          <w:rFonts w:ascii="Arial" w:cs="Arial" w:eastAsia="Arial" w:hAnsi="Arial"/>
          <w:sz w:val="22"/>
          <w:szCs w:val="22"/>
        </w:rPr>
        <w:t xml:space="preserve">Incident Response Planning: Develop, document, and rehearse an Incident Response (IR) plan. Conduct tabletop exercises to ensure all stakeholders know their roles during a breach.</w:t>
      </w:r>
    </w:p>
    <w:p>
      <w:pPr>
        <w:pStyle w:val="ListParagraph"/>
        <w:numPr>
          <w:ilvl w:val="0"/>
          <w:numId w:val="2"/>
        </w:numPr>
        <w:spacing w:after="100"/>
      </w:pPr>
      <w:r>
        <w:rPr>
          <w:rFonts w:ascii="Arial" w:cs="Arial" w:eastAsia="Arial" w:hAnsi="Arial"/>
          <w:sz w:val="22"/>
          <w:szCs w:val="22"/>
        </w:rPr>
        <w:t xml:space="preserve">Security Information and Event Management (SIEM): Centralize log collection and enable real-time alerting for suspicious activity across all systems.</w:t>
      </w:r>
    </w:p>
    <w:p>
      <w:r>
        <w:br w:type="page"/>
      </w:r>
    </w:p>
    <w:p>
      <w:pPr>
        <w:pStyle w:val="Heading1"/>
      </w:pPr>
      <w:r>
        <w:rPr>
          <w:rFonts w:ascii="Arial" w:cs="Arial" w:eastAsia="Arial" w:hAnsi="Arial"/>
          <w:b/>
          <w:bCs/>
          <w:sz w:val="32"/>
          <w:szCs w:val="32"/>
        </w:rPr>
        <w:t xml:space="preserve">4. Conclusion &amp; Future Outlook</w:t>
      </w:r>
    </w:p>
    <w:p>
      <w:pPr>
        <w:spacing w:after="160"/>
      </w:pPr>
      <w:r>
        <w:rPr>
          <w:rFonts w:ascii="Arial" w:cs="Arial" w:eastAsia="Arial" w:hAnsi="Arial"/>
          <w:sz w:val="22"/>
          <w:szCs w:val="22"/>
        </w:rPr>
        <w:t xml:space="preserve">The cybersecurity threat landscape of 2024–2025 is characterized by increasing sophistication, automation, and scale. The commoditization of cybercrime through platforms like RaaS, combined with the offensive use of AI, means that high-capability attacks are no longer the exclusive domain of nation-states — they are accessible to virtually any motivated actor.</w:t>
      </w:r>
    </w:p>
    <w:p>
      <w:pPr>
        <w:spacing w:after="160"/>
      </w:pPr>
      <w:r>
        <w:rPr>
          <w:rFonts w:ascii="Arial" w:cs="Arial" w:eastAsia="Arial" w:hAnsi="Arial"/>
          <w:sz w:val="22"/>
          <w:szCs w:val="22"/>
        </w:rPr>
        <w:t xml:space="preserve">Organizations and individuals cannot afford to treat cybersecurity as a one-time investment or a compliance checkbox. It must be understood as a continuous, adaptive process. Threats evolve daily, and defenses must evolve alongside them. The incidents documented in this report — from the $25.6 million deepfake fraud to the Change Healthcare ransomware attack — demonstrate that the consequences of inadequate preparation are severe and wide-reaching.</w:t>
      </w:r>
    </w:p>
    <w:p>
      <w:pPr>
        <w:spacing w:after="160"/>
      </w:pPr>
      <w:r>
        <w:rPr>
          <w:rFonts w:ascii="Arial" w:cs="Arial" w:eastAsia="Arial" w:hAnsi="Arial"/>
          <w:sz w:val="22"/>
          <w:szCs w:val="22"/>
        </w:rPr>
        <w:t xml:space="preserve">Proactive security — built on a culture of awareness, rigorous technical controls, and a tested incident response capability — remains the most effective strategy. As AI-driven threats, quantum computing risks, and increasingly interconnected supply chains define the next chapter of cyber risk, continuous learning and adaptation are not optional — they are essential.</w:t>
      </w:r>
    </w:p>
    <w:p>
      <w:r>
        <w:br w:type="page"/>
      </w:r>
    </w:p>
    <w:p>
      <w:pPr>
        <w:pStyle w:val="Heading1"/>
      </w:pPr>
      <w:r>
        <w:rPr>
          <w:rFonts w:ascii="Arial" w:cs="Arial" w:eastAsia="Arial" w:hAnsi="Arial"/>
          <w:b/>
          <w:bCs/>
          <w:sz w:val="32"/>
          <w:szCs w:val="32"/>
        </w:rPr>
        <w:t xml:space="preserve">5. References</w:t>
      </w:r>
    </w:p>
    <w:p>
      <w:pPr>
        <w:spacing w:after="160"/>
      </w:pPr>
      <w:r>
        <w:rPr>
          <w:rFonts w:ascii="Arial" w:cs="Arial" w:eastAsia="Arial" w:hAnsi="Arial"/>
          <w:sz w:val="22"/>
          <w:szCs w:val="22"/>
        </w:rPr>
        <w:t xml:space="preserve">1. IBM Security. (2024). Cost of a Data Breach Report 2024. https://www.ibm.com/reports/data-breach</w:t>
      </w:r>
    </w:p>
    <w:p>
      <w:pPr>
        <w:spacing w:after="160"/>
      </w:pPr>
      <w:r>
        <w:rPr>
          <w:rFonts w:ascii="Arial" w:cs="Arial" w:eastAsia="Arial" w:hAnsi="Arial"/>
          <w:sz w:val="22"/>
          <w:szCs w:val="22"/>
        </w:rPr>
        <w:t xml:space="preserve">2. CISA. (2024). Known Exploited Vulnerabilities Catalog. https://www.cisa.gov/known-exploited-vulnerabilities-catalog</w:t>
      </w:r>
    </w:p>
    <w:p>
      <w:pPr>
        <w:spacing w:after="160"/>
      </w:pPr>
      <w:r>
        <w:rPr>
          <w:rFonts w:ascii="Arial" w:cs="Arial" w:eastAsia="Arial" w:hAnsi="Arial"/>
          <w:sz w:val="22"/>
          <w:szCs w:val="22"/>
        </w:rPr>
        <w:t xml:space="preserve">3. KrebsOnSecurity. (2024). Various threat intelligence reports. https://krebsonsecurity.com</w:t>
      </w:r>
    </w:p>
    <w:p>
      <w:pPr>
        <w:spacing w:after="160"/>
      </w:pPr>
      <w:r>
        <w:rPr>
          <w:rFonts w:ascii="Arial" w:cs="Arial" w:eastAsia="Arial" w:hAnsi="Arial"/>
          <w:sz w:val="22"/>
          <w:szCs w:val="22"/>
        </w:rPr>
        <w:t xml:space="preserve">4. OWASP. (2024). OWASP Top 10. https://owasp.org/www-project-top-ten/</w:t>
      </w:r>
    </w:p>
    <w:p>
      <w:pPr>
        <w:spacing w:after="160"/>
      </w:pPr>
      <w:r>
        <w:rPr>
          <w:rFonts w:ascii="Arial" w:cs="Arial" w:eastAsia="Arial" w:hAnsi="Arial"/>
          <w:sz w:val="22"/>
          <w:szCs w:val="22"/>
        </w:rPr>
        <w:t xml:space="preserve">5. Verizon. (2024). Data Breach Investigations Report (DBIR). https://www.verizon.com/business/resources/reports/dbir/</w:t>
      </w:r>
    </w:p>
    <w:p>
      <w:pPr>
        <w:spacing w:after="160"/>
      </w:pPr>
      <w:r>
        <w:rPr>
          <w:rFonts w:ascii="Arial" w:cs="Arial" w:eastAsia="Arial" w:hAnsi="Arial"/>
          <w:sz w:val="22"/>
          <w:szCs w:val="22"/>
        </w:rPr>
        <w:t xml:space="preserve">6. ENISA. (2024). ENISA Threat Landscape Report. https://www.enisa.europa.eu/publications/enisa-threat-landscape-2024</w:t>
      </w:r>
    </w:p>
    <w:p>
      <w:pPr>
        <w:spacing w:after="160"/>
      </w:pPr>
      <w:r>
        <w:rPr>
          <w:rFonts w:ascii="Arial" w:cs="Arial" w:eastAsia="Arial" w:hAnsi="Arial"/>
          <w:sz w:val="22"/>
          <w:szCs w:val="22"/>
        </w:rPr>
        <w:t xml:space="preserve">7. Hong Kong Police Force. (2024). Deepfake video conference fraud case. https://www.scmp.com/news/hong-kong/law-and-crime</w:t>
      </w:r>
    </w:p>
    <w:p>
      <w:pPr>
        <w:spacing w:after="160"/>
      </w:pPr>
      <w:r>
        <w:rPr>
          <w:rFonts w:ascii="Arial" w:cs="Arial" w:eastAsia="Arial" w:hAnsi="Arial"/>
          <w:sz w:val="22"/>
          <w:szCs w:val="22"/>
        </w:rPr>
        <w:t xml:space="preserve">8. HHS Office for Civil Rights. (2024). Change Healthcare breach report.</w:t>
      </w:r>
    </w:p>
    <w:p>
      <w:pPr>
        <w:spacing w:after="160"/>
      </w:pPr>
      <w:r>
        <w:rPr>
          <w:rFonts w:ascii="Arial" w:cs="Arial" w:eastAsia="Arial" w:hAnsi="Arial"/>
          <w:sz w:val="22"/>
          <w:szCs w:val="22"/>
        </w:rPr>
        <w:t xml:space="preserve">9. Microsoft Security Response Center. (2021). Power Apps portal default settings advisory.</w:t>
      </w:r>
    </w:p>
    <w:p>
      <w:pPr>
        <w:spacing w:after="160"/>
      </w:pPr>
      <w:r>
        <w:rPr>
          <w:rFonts w:ascii="Arial" w:cs="Arial" w:eastAsia="Arial" w:hAnsi="Arial"/>
          <w:sz w:val="22"/>
          <w:szCs w:val="22"/>
        </w:rPr>
        <w:t xml:space="preserve">10. Cl0p Ransomware Group / CISA Advisory. (2023). MOVEit Transfer critical vulnerability — CVE-2023-34362.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2026-02-18T20:49:01.916Z</dcterms:created>
  <dcterms:modified xsi:type="dcterms:W3CDTF">2026-02-18T20:49:01.917Z</dcterms:modified>
</cp:coreProperties>
</file>

<file path=docProps/custom.xml><?xml version="1.0" encoding="utf-8"?>
<Properties xmlns="http://schemas.openxmlformats.org/officeDocument/2006/custom-properties" xmlns:vt="http://schemas.openxmlformats.org/officeDocument/2006/docPropsVTypes"/>
</file>