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By appointment</w:t>
      </w:r>
    </w:p>
    <w:p>
      <w:pPr>
        <w:pStyle w:val="BodyText"/>
      </w:pPr>
      <w:r>
        <w:rPr>
          <w:bCs/>
          <w:b/>
        </w:rPr>
        <w:t xml:space="preserve">Course website:</w:t>
      </w:r>
      <w:r>
        <w:t xml:space="preserve"> </w:t>
      </w:r>
      <w:r>
        <w:t xml:space="preserve">Davide’s part: https://github.com/dadepro/mkt699</w:t>
      </w:r>
    </w:p>
    <w:bookmarkStart w:id="20" w:name="class-hours-and-locations"/>
    <w:p>
      <w:pPr>
        <w:pStyle w:val="Heading2"/>
      </w:pPr>
      <w:r>
        <w:t xml:space="preserve">Class Hours and Locations</w:t>
      </w:r>
    </w:p>
    <w:p>
      <w:pPr>
        <w:pStyle w:val="FirstParagraph"/>
      </w:pPr>
      <w:r>
        <w:rPr>
          <w:bCs/>
          <w:b/>
        </w:rPr>
        <w:t xml:space="preserve">Wednesdays, 1:00–4:00 pm, HOH 706.</w:t>
      </w:r>
      <w:r>
        <w:t xml:space="preserve"> </w:t>
      </w:r>
      <w:r>
        <w:t xml:space="preserve">First meeting August 26, 2026.</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MIT Department of Economics (2025). Assuring an accurate research record. https://economics.mit.edu/news/assuring-accurate-research-record — and the arXiv withdrawal record for Toner-Rodgers,</w:t>
      </w:r>
      <w:r>
        <w:t xml:space="preserve"> </w:t>
      </w:r>
      <w:r>
        <w:rPr>
          <w:iCs/>
          <w:i/>
        </w:rPr>
        <w:t xml:space="preserve">Artificial intelligence, scientific discovery, and product innovation</w:t>
      </w:r>
      <w:r>
        <w:t xml:space="preserve"> </w:t>
      </w:r>
      <w:r>
        <w:t xml:space="preserve">(arXiv:2412.17866), https://arxiv.org/abs/2412.17866. [Two pages. Read the retraction record, not the paper: the paper is withdrawn and its results are void. We discuss the case, not the findings.]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Measurement approach specified; prompt and model documented; validation sample designed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Validation complete; naive estimates reported</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Corrected estimates reported; identification argument revised; robustness plan</w:t>
            </w:r>
          </w:p>
        </w:tc>
      </w:tr>
      <w:tr>
        <w:tc>
          <w:tcPr/>
          <w:p>
            <w:pPr>
              <w:pStyle w:val="Compact"/>
              <w:jc w:val="left"/>
            </w:pPr>
            <w:r>
              <w:t xml:space="preserve">7</w:t>
            </w:r>
          </w:p>
        </w:tc>
        <w:tc>
          <w:tcPr/>
          <w:p>
            <w:pPr>
              <w:pStyle w:val="Compact"/>
              <w:jc w:val="left"/>
            </w:pPr>
            <w:r>
              <w:t xml:space="preserve">Oct 7</w:t>
            </w:r>
          </w:p>
        </w:tc>
        <w:tc>
          <w:tcPr/>
          <w:p>
            <w:pPr>
              <w:pStyle w:val="Compact"/>
              <w:jc w:val="left"/>
            </w:pPr>
            <w:r>
              <w:t xml:space="preserve">20-minute presentation + short written report</w:t>
            </w:r>
          </w:p>
        </w:tc>
      </w:tr>
    </w:tbl>
    <w:p>
      <w:pPr>
        <w:pStyle w:val="BodyText"/>
      </w:pPr>
      <w:r>
        <w:rPr>
          <w:bCs/>
          <w:b/>
        </w:rPr>
        <w:t xml:space="preserve">The identification memo.</w:t>
      </w:r>
      <w:r>
        <w:t xml:space="preserve"> </w:t>
      </w:r>
      <w:r>
        <w:t xml:space="preserve">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pPr>
        <w:pStyle w:val="BodyText"/>
      </w:pPr>
      <w:r>
        <w:rPr>
          <w:bCs/>
          <w:b/>
        </w:rPr>
        <w:t xml:space="preserve">The revision.</w:t>
      </w:r>
      <w:r>
        <w:t xml:space="preserve"> </w:t>
      </w:r>
      <w:r>
        <w:t xml:space="preserve">The Week 6 deliverable revisits the Week 3 memo in light of the validation study, and is due with the corrected estimates. The question it answers is whether measurement error changed what you are willing to claim. Mark changes from the Week 3 version so the revision is legible as a revision.</w:t>
      </w:r>
    </w:p>
    <w:p>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corrected estimates may support different conclusions. That case is the point of Weeks 4 and 5, and the revision should be a rewrite.</w:t>
      </w:r>
    </w:p>
    <w:p>
      <w:pPr>
        <w:pStyle w:val="BodyText"/>
      </w:pPr>
      <w:r>
        <w:rPr>
          <w:bCs/>
          <w:b/>
        </w:rPr>
        <w:t xml:space="preserve">Every project reports the naive and corrected estimates side by side, whether or not they differ.</w:t>
      </w:r>
      <w:r>
        <w:t xml:space="preserve"> </w:t>
      </w:r>
      <w:r>
        <w:t xml:space="preserve">This is the part that is not optional. If the two estimates agree, and validation shows measurement error that is modest and plausibly unrelated to the variation you exploit, then the Week 3 argument stands. Report the validation result, show both estimates, state that the identifying assumption is unchanged, and explain why. A paragraph or two is enough. Do not pad it. A short memo that documents a stable design is worth more than a long one that manufactures a revision the evidence does not support.</w:t>
      </w:r>
    </w:p>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is deliberately absent from the list above. In May 2025 MIT stated it had</w:t>
      </w:r>
      <w:r>
        <w:t xml:space="preserve"> </w:t>
      </w:r>
      <w:r>
        <w:t xml:space="preserve">“</w:t>
      </w:r>
      <w:r>
        <w:t xml:space="preserve">no confidence in the provenance, reliability or validity of the data,</w:t>
      </w:r>
      <w:r>
        <w:t xml:space="preserve">”</w:t>
      </w:r>
      <w:r>
        <w:t xml:space="preserve"> </w:t>
      </w:r>
      <w:r>
        <w:t xml:space="preserve">and arXiv withdrew it for data concerns and incomplete IRB requirements. It had been publicly endorsed by prominent economists first. We discuss it in Week 6 as a case study in why reproducible pipelines and data provenance are not bureaucratic overhead; the required reading there is the retraction record, not the paper.</w:t>
      </w:r>
    </w:p>
    <w:p>
      <w:r>
        <w:pict>
          <v:rect style="width:0;height:1.5pt" o:hralign="center" o:hrstd="t" o:hr="t"/>
        </w:pict>
      </w:r>
    </w:p>
    <w:bookmarkEnd w:id="32"/>
    <w:bookmarkStart w:id="33" w:name="course-outline-and-schedule-first-half"/>
    <w:p>
      <w:pPr>
        <w:pStyle w:val="Heading2"/>
      </w:pPr>
      <w:r>
        <w:t xml:space="preserve">Course Outline and Schedule (First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r>
        <w:pict>
          <v:rect style="width:0;height:1.5pt" o:hralign="center" o:hrstd="t" o:hr="t"/>
        </w:pict>
      </w:r>
    </w:p>
    <w:bookmarkEnd w:id="33"/>
    <w:bookmarkStart w:id="34"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4"/>
    <w:bookmarkStart w:id="35" w:name="course-outline-and-schedule-second-half"/>
    <w:p>
      <w:pPr>
        <w:pStyle w:val="Heading2"/>
      </w:pPr>
      <w:r>
        <w:t xml:space="preserve">Course Outline and Schedule (Second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8</w:t>
            </w:r>
          </w:p>
        </w:tc>
        <w:tc>
          <w:tcPr/>
          <w:p>
            <w:pPr>
              <w:pStyle w:val="Compact"/>
              <w:jc w:val="left"/>
            </w:pPr>
            <w:r>
              <w:t xml:space="preserve">Oct 14</w:t>
            </w:r>
          </w:p>
        </w:tc>
        <w:tc>
          <w:tcPr/>
          <w:p>
            <w:pPr>
              <w:pStyle w:val="Compact"/>
              <w:jc w:val="left"/>
            </w:pPr>
            <w:r>
              <w:t xml:space="preserve">Basics of Structural and Non-Structural Analysis: course overview; descriptive vs. reduced-form vs. structural; when and why structural analysis: benefits and limitations</w:t>
            </w:r>
          </w:p>
        </w:tc>
        <w:tc>
          <w:tcPr/>
          <w:p>
            <w:pPr>
              <w:pStyle w:val="Compact"/>
            </w:pPr>
          </w:p>
        </w:tc>
      </w:tr>
      <w:tr>
        <w:tc>
          <w:tcPr/>
          <w:p>
            <w:pPr>
              <w:pStyle w:val="Compact"/>
              <w:jc w:val="left"/>
            </w:pPr>
            <w:r>
              <w:t xml:space="preserve">9</w:t>
            </w:r>
          </w:p>
        </w:tc>
        <w:tc>
          <w:tcPr/>
          <w:p>
            <w:pPr>
              <w:pStyle w:val="Compact"/>
              <w:jc w:val="left"/>
            </w:pPr>
            <w:r>
              <w:t xml:space="preserve">Oct 21</w:t>
            </w:r>
          </w:p>
        </w:tc>
        <w:tc>
          <w:tcPr/>
          <w:p>
            <w:pPr>
              <w:pStyle w:val="Compact"/>
              <w:jc w:val="left"/>
            </w:pPr>
            <w:r>
              <w:t xml:space="preserve">Basics of Model Identification and Estimation: model identification; estimation methods: (S)MLE, (S)GMM, NNE; empirical identification: sensitivity of estimates to moments</w:t>
            </w:r>
          </w:p>
        </w:tc>
        <w:tc>
          <w:tcPr/>
          <w:p>
            <w:pPr>
              <w:pStyle w:val="Compact"/>
            </w:pPr>
          </w:p>
        </w:tc>
      </w:tr>
      <w:tr>
        <w:tc>
          <w:tcPr/>
          <w:p>
            <w:pPr>
              <w:pStyle w:val="Compact"/>
              <w:jc w:val="left"/>
            </w:pPr>
            <w:r>
              <w:t xml:space="preserve">10</w:t>
            </w:r>
          </w:p>
        </w:tc>
        <w:tc>
          <w:tcPr/>
          <w:p>
            <w:pPr>
              <w:pStyle w:val="Compact"/>
              <w:jc w:val="left"/>
            </w:pPr>
            <w:r>
              <w:t xml:space="preserve">Oct 28</w:t>
            </w:r>
          </w:p>
        </w:tc>
        <w:tc>
          <w:tcPr/>
          <w:p>
            <w:pPr>
              <w:pStyle w:val="Compact"/>
              <w:jc w:val="left"/>
            </w:pPr>
            <w:r>
              <w:t xml:space="preserve">Discrete Choice Models (Individual-Level Data): binary choices: logit, probit; multiple choices: (L)MNL, MNP, (L)Nested logit; ordered responses</w:t>
            </w:r>
          </w:p>
        </w:tc>
        <w:tc>
          <w:tcPr/>
          <w:p>
            <w:pPr>
              <w:pStyle w:val="Compact"/>
              <w:jc w:val="left"/>
            </w:pPr>
            <w:r>
              <w:t xml:space="preserve">Assignment 1</w:t>
            </w:r>
          </w:p>
        </w:tc>
      </w:tr>
      <w:tr>
        <w:tc>
          <w:tcPr/>
          <w:p>
            <w:pPr>
              <w:pStyle w:val="Compact"/>
              <w:jc w:val="left"/>
            </w:pPr>
            <w:r>
              <w:t xml:space="preserve">11</w:t>
            </w:r>
          </w:p>
        </w:tc>
        <w:tc>
          <w:tcPr/>
          <w:p>
            <w:pPr>
              <w:pStyle w:val="Compact"/>
              <w:jc w:val="left"/>
            </w:pPr>
            <w:r>
              <w:t xml:space="preserve">Nov 4</w:t>
            </w:r>
          </w:p>
        </w:tc>
        <w:tc>
          <w:tcPr/>
          <w:p>
            <w:pPr>
              <w:pStyle w:val="Compact"/>
              <w:jc w:val="left"/>
            </w:pPr>
            <w:r>
              <w:t xml:space="preserve">Selection Models (Individual-Level Data): Tobit Type I–V; censored data, Heckman selection. Unobserved Heterogeneity: latent class; random coefficients</w:t>
            </w:r>
          </w:p>
        </w:tc>
        <w:tc>
          <w:tcPr/>
          <w:p>
            <w:pPr>
              <w:pStyle w:val="Compact"/>
            </w:pPr>
          </w:p>
        </w:tc>
      </w:tr>
      <w:tr>
        <w:tc>
          <w:tcPr/>
          <w:p>
            <w:pPr>
              <w:pStyle w:val="Compact"/>
              <w:jc w:val="left"/>
            </w:pPr>
            <w:r>
              <w:t xml:space="preserve">12</w:t>
            </w:r>
          </w:p>
        </w:tc>
        <w:tc>
          <w:tcPr/>
          <w:p>
            <w:pPr>
              <w:pStyle w:val="Compact"/>
              <w:jc w:val="left"/>
            </w:pPr>
            <w:r>
              <w:t xml:space="preserve">Nov 11</w:t>
            </w:r>
          </w:p>
        </w:tc>
        <w:tc>
          <w:tcPr/>
          <w:p>
            <w:pPr>
              <w:pStyle w:val="Compact"/>
              <w:jc w:val="left"/>
            </w:pPr>
            <w:r>
              <w:t xml:space="preserve">Veterans Day Holiday (No Class)</w:t>
            </w:r>
          </w:p>
        </w:tc>
        <w:tc>
          <w:tcPr/>
          <w:p>
            <w:pPr>
              <w:pStyle w:val="Compact"/>
            </w:pPr>
          </w:p>
        </w:tc>
      </w:tr>
      <w:tr>
        <w:tc>
          <w:tcPr/>
          <w:p>
            <w:pPr>
              <w:pStyle w:val="Compact"/>
              <w:jc w:val="left"/>
            </w:pPr>
            <w:r>
              <w:t xml:space="preserve">13</w:t>
            </w:r>
          </w:p>
        </w:tc>
        <w:tc>
          <w:tcPr/>
          <w:p>
            <w:pPr>
              <w:pStyle w:val="Compact"/>
              <w:jc w:val="left"/>
            </w:pPr>
            <w:r>
              <w:t xml:space="preserve">Nov 18</w:t>
            </w:r>
          </w:p>
        </w:tc>
        <w:tc>
          <w:tcPr/>
          <w:p>
            <w:pPr>
              <w:pStyle w:val="Compact"/>
              <w:jc w:val="left"/>
            </w:pPr>
            <w:r>
              <w:t xml:space="preserve">Demand for Differentiated Products (Aggregate Data): BLP fundamentals; BLP extension: long-tail market</w:t>
            </w:r>
          </w:p>
        </w:tc>
        <w:tc>
          <w:tcPr/>
          <w:p>
            <w:pPr>
              <w:pStyle w:val="Compact"/>
              <w:jc w:val="left"/>
            </w:pPr>
            <w:r>
              <w:t xml:space="preserve">Assignment 2</w:t>
            </w:r>
          </w:p>
        </w:tc>
      </w:tr>
      <w:tr>
        <w:tc>
          <w:tcPr/>
          <w:p>
            <w:pPr>
              <w:pStyle w:val="Compact"/>
              <w:jc w:val="left"/>
            </w:pPr>
            <w:r>
              <w:t xml:space="preserve">14</w:t>
            </w:r>
          </w:p>
        </w:tc>
        <w:tc>
          <w:tcPr/>
          <w:p>
            <w:pPr>
              <w:pStyle w:val="Compact"/>
              <w:jc w:val="left"/>
            </w:pPr>
            <w:r>
              <w:t xml:space="preserve">Nov 25</w:t>
            </w:r>
          </w:p>
        </w:tc>
        <w:tc>
          <w:tcPr/>
          <w:p>
            <w:pPr>
              <w:pStyle w:val="Compact"/>
              <w:jc w:val="left"/>
            </w:pPr>
            <w:r>
              <w:t xml:space="preserve">Thanksgiving Holiday (No Class)</w:t>
            </w:r>
          </w:p>
        </w:tc>
        <w:tc>
          <w:tcPr/>
          <w:p>
            <w:pPr>
              <w:pStyle w:val="Compact"/>
            </w:pPr>
          </w:p>
        </w:tc>
      </w:tr>
      <w:tr>
        <w:tc>
          <w:tcPr/>
          <w:p>
            <w:pPr>
              <w:pStyle w:val="Compact"/>
              <w:jc w:val="left"/>
            </w:pPr>
            <w:r>
              <w:t xml:space="preserve">15</w:t>
            </w:r>
          </w:p>
        </w:tc>
        <w:tc>
          <w:tcPr/>
          <w:p>
            <w:pPr>
              <w:pStyle w:val="Compact"/>
              <w:jc w:val="left"/>
            </w:pPr>
            <w:r>
              <w:t xml:space="preserve">Dec 2</w:t>
            </w:r>
          </w:p>
        </w:tc>
        <w:tc>
          <w:tcPr/>
          <w:p>
            <w:pPr>
              <w:pStyle w:val="Compact"/>
              <w:jc w:val="left"/>
            </w:pPr>
            <w:r>
              <w:t xml:space="preserve">Consumer Search Models: simultaneous and sequential search; identification with/without observed search</w:t>
            </w:r>
          </w:p>
        </w:tc>
        <w:tc>
          <w:tcPr/>
          <w:p>
            <w:pPr>
              <w:pStyle w:val="Compact"/>
              <w:jc w:val="left"/>
            </w:pPr>
            <w:r>
              <w:t xml:space="preserve">Assignment 3</w:t>
            </w:r>
          </w:p>
        </w:tc>
      </w:tr>
    </w:tbl>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5"/>
    <w:bookmarkStart w:id="42" w:name="seminar-readings-second-half"/>
    <w:p>
      <w:pPr>
        <w:pStyle w:val="Heading2"/>
      </w:pPr>
      <w:r>
        <w:t xml:space="preserve">Seminar Readings (Second Half)</w:t>
      </w:r>
    </w:p>
    <w:bookmarkStart w:id="36"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6"/>
    <w:bookmarkStart w:id="37"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7"/>
    <w:bookmarkStart w:id="38"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8"/>
    <w:bookmarkStart w:id="39"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9"/>
    <w:bookmarkStart w:id="40"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40"/>
    <w:bookmarkStart w:id="41"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1"/>
    <w:bookmarkEnd w:id="42"/>
    <w:bookmarkStart w:id="43"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3"/>
    <w:bookmarkStart w:id="44"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4"/>
    <w:bookmarkStart w:id="45"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5"/>
    <w:bookmarkEnd w:id="46"/>
    <w:bookmarkStart w:id="55" w:name="marshall-guidelines"/>
    <w:p>
      <w:pPr>
        <w:pStyle w:val="Heading1"/>
      </w:pPr>
      <w:r>
        <w:t xml:space="preserve">MARSHALL GUIDELINES</w:t>
      </w:r>
    </w:p>
    <w:bookmarkStart w:id="47"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7"/>
    <w:bookmarkStart w:id="48"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8"/>
    <w:bookmarkStart w:id="49"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9"/>
    <w:bookmarkStart w:id="50"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50"/>
    <w:bookmarkStart w:id="51"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1"/>
    <w:bookmarkStart w:id="52"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2"/>
    <w:bookmarkStart w:id="53"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3"/>
    <w:bookmarkStart w:id="54"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2026-08-17T21:52:18Z</dcterms:created>
  <dcterms:modified xsi:type="dcterms:W3CDTF">2026-08-17T21:52:18Z</dcterms:modified>
</cp:coreProperties>
</file>

<file path=docProps/custom.xml><?xml version="1.0" encoding="utf-8"?>
<Properties xmlns="http://schemas.openxmlformats.org/officeDocument/2006/custom-properties" xmlns:vt="http://schemas.openxmlformats.org/officeDocument/2006/docPropsVTypes"/>
</file>