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each student presents one of the Week 5 papers, in class on Sep 23.</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Assignment 2: paper presentations in class, 15 minutes each.</w:t>
      </w:r>
    </w:p>
    <w:p>
      <w:pPr>
        <w:pStyle w:val="BodyText"/>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Dell, M., &amp; Rambachan, A. (2026). The measurement revolution? Credible measurement and inference in the age of AI. NBER Working Paper No. 35744.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rPr>
          <w:bCs/>
          <w:b/>
        </w:rPr>
        <w:t xml:space="preserve">Required:</w:t>
      </w:r>
      <w:r>
        <w:t xml:space="preserve"> </w:t>
      </w: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LLM run on the full corpus; validation sample designed, drawn, and labeled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rPr>
                <w:bCs/>
                <w:b/>
              </w:rPr>
              <w:t xml:space="preserve">Assignment 2: paper presentations</w:t>
            </w:r>
            <w:r>
              <w:t xml:space="preserve">; 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t xml:space="preserve">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Assignment 1, programming</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Assignment 2, 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2026-09-18T19:50:02Z</dcterms:created>
  <dcterms:modified xsi:type="dcterms:W3CDTF">2026-09-18T19:50:02Z</dcterms:modified>
</cp:coreProperties>
</file>

<file path=docProps/custom.xml><?xml version="1.0" encoding="utf-8"?>
<Properties xmlns="http://schemas.openxmlformats.org/officeDocument/2006/custom-properties" xmlns:vt="http://schemas.openxmlformats.org/officeDocument/2006/docPropsVTypes"/>
</file>