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each student presents one of the three Week 5 methods papers, in class on Sep 23.</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Assignment 2: paper presentations in class, 15 minutes each.</w:t>
      </w:r>
    </w:p>
    <w:p>
      <w:pPr>
        <w:pStyle w:val="BodyText"/>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Dell, M., &amp; Rambachan, A. (2026). The measurement revolution? Credible measurement and inference in the age of AI. NBER Working Paper No. 35744.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rPr>
          <w:bCs/>
          <w:b/>
        </w:rPr>
        <w:t xml:space="preserve">Required:</w:t>
      </w:r>
      <w:r>
        <w:t xml:space="preserve"> </w:t>
      </w: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LLM run on the full corpus; validation sample designed, drawn, and labeled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rPr>
                <w:bCs/>
                <w:b/>
              </w:rPr>
              <w:t xml:space="preserve">Assignment 2: paper presentations</w:t>
            </w:r>
            <w:r>
              <w:t xml:space="preserve">; 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t xml:space="preserve">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Assignment 1, programming</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Assignment 2, 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2026-09-19T20:02:31Z</dcterms:created>
  <dcterms:modified xsi:type="dcterms:W3CDTF">2026-09-19T20:02:31Z</dcterms:modified>
</cp:coreProperties>
</file>

<file path=docProps/custom.xml><?xml version="1.0" encoding="utf-8"?>
<Properties xmlns="http://schemas.openxmlformats.org/officeDocument/2006/custom-properties" xmlns:vt="http://schemas.openxmlformats.org/officeDocument/2006/docPropsVTypes"/>
</file>