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is due with the corrected estimates.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was withdrawn after MIT stated it had no confidence in the provenance or validity of the data. It was publicly endorsed by prominent economists before the fraud surfaced. We will discuss it in Week 6 as a case study in why reproducible pipelines and data provenance are not bureaucratic overhead.</w:t>
      </w:r>
    </w:p>
    <w:p>
      <w:r>
        <w:pict>
          <v:rect style="width:0;height:1.5pt" o:hralign="center" o:hrstd="t" o:hr="t"/>
        </w:pict>
      </w:r>
    </w:p>
    <w:bookmarkEnd w:id="32"/>
    <w:bookmarkStart w:id="33"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3"/>
    <w:bookmarkStart w:id="34" w:name="X8ceb92dbb9d929470f4e7a01ff00d448e63f1de"/>
    <w:p>
      <w:pPr>
        <w:pStyle w:val="Heading2"/>
      </w:pPr>
      <w:r>
        <w:t xml:space="preserve">Overall Course Outline and Proposed Schedule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pPr>
        <w:pStyle w:val="BodyText"/>
      </w:pPr>
      <w:r>
        <w:t xml:space="preserve">| |</w:t>
      </w:r>
      <w:r>
        <w:t xml:space="preserve"> </w:t>
      </w:r>
      <w:r>
        <w:rPr>
          <w:bCs/>
          <w:b/>
        </w:rPr>
        <w:t xml:space="preserve">SECOND PART</w:t>
      </w:r>
      <w:r>
        <w:t xml:space="preserve"> </w:t>
      </w:r>
      <w:r>
        <w:t xml:space="preserve">| |</w:t>
      </w:r>
      <w:r>
        <w:br/>
      </w:r>
      <w:r>
        <w:t xml:space="preserve">8 | Oct 14 | Basics of Structural and Non-Structural Analysis: course overview; descriptive vs. reduced-form vs. structural; when and why structural analysis: benefits and limitations | |</w:t>
      </w:r>
      <w:r>
        <w:br/>
      </w:r>
      <w:r>
        <w:t xml:space="preserve">9 | Oct 21 | Basics of Model Identification and Estimation: model identification; estimation methods: (S)MLE, (S)GMM, NNE; empirical identification: sensitivity of estimates to moments | |</w:t>
      </w:r>
      <w:r>
        <w:br/>
      </w:r>
      <w:r>
        <w:t xml:space="preserve">10 | Oct 28 | Discrete Choice Models (Individual-Level Data): binary choices: logit, probit; multiple choices: (L)MNL, MNP, (L)Nested logit; ordered responses | Assignment 1 |</w:t>
      </w:r>
      <w:r>
        <w:br/>
      </w:r>
      <w:r>
        <w:t xml:space="preserve">11 | Nov 4 | Selection Models (Individual-Level Data): Tobit Type I–V; censored data, Heckman selection. Unobserved Heterogeneity: latent class; random coefficients | |</w:t>
      </w:r>
      <w:r>
        <w:br/>
      </w:r>
      <w:r>
        <w:t xml:space="preserve">12 | Nov 11 | Veterans Day Holiday (No Class) | |</w:t>
      </w:r>
      <w:r>
        <w:br/>
      </w:r>
      <w:r>
        <w:t xml:space="preserve">13 | Nov 18 | Demand for Differentiated Products (Aggregate Data): BLP fundamentals; BLP extension: long-tail market | Assignment 2 |</w:t>
      </w:r>
      <w:r>
        <w:br/>
      </w:r>
      <w:r>
        <w:t xml:space="preserve">14 | Nov 25 | Thanksgiving Holiday (No Class) | |</w:t>
      </w:r>
      <w:r>
        <w:br/>
      </w:r>
      <w:r>
        <w:t xml:space="preserve">15 | Dec 2 | Consumer Search Models: simultaneous and sequential search; identification with/without observed search | Assignment 3 |</w:t>
      </w:r>
    </w:p>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4"/>
    <w:bookmarkStart w:id="41" w:name="seminar-readings-second-half"/>
    <w:p>
      <w:pPr>
        <w:pStyle w:val="Heading2"/>
      </w:pPr>
      <w:r>
        <w:t xml:space="preserve">Seminar Readings (Second Half)</w:t>
      </w:r>
    </w:p>
    <w:bookmarkStart w:id="35"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5"/>
    <w:bookmarkStart w:id="36"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6"/>
    <w:bookmarkStart w:id="37"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7"/>
    <w:bookmarkStart w:id="38"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8"/>
    <w:bookmarkStart w:id="39"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39"/>
    <w:bookmarkStart w:id="40"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0"/>
    <w:bookmarkEnd w:id="41"/>
    <w:bookmarkStart w:id="42"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2"/>
    <w:bookmarkStart w:id="43"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3"/>
    <w:bookmarkStart w:id="44"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4"/>
    <w:bookmarkEnd w:id="45"/>
    <w:bookmarkStart w:id="54" w:name="marshall-guidelines"/>
    <w:p>
      <w:pPr>
        <w:pStyle w:val="Heading1"/>
      </w:pPr>
      <w:r>
        <w:t xml:space="preserve">MARSHALL GUIDELINES</w:t>
      </w:r>
    </w:p>
    <w:bookmarkStart w:id="46"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6"/>
    <w:bookmarkStart w:id="47"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7"/>
    <w:bookmarkStart w:id="48"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8"/>
    <w:bookmarkStart w:id="49"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49"/>
    <w:bookmarkStart w:id="50"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0"/>
    <w:bookmarkStart w:id="51"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1"/>
    <w:bookmarkStart w:id="52"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2"/>
    <w:bookmarkStart w:id="53"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2026-08-01T00:08:31Z</dcterms:created>
  <dcterms:modified xsi:type="dcterms:W3CDTF">2026-08-01T00:08:31Z</dcterms:modified>
</cp:coreProperties>
</file>

<file path=docProps/custom.xml><?xml version="1.0" encoding="utf-8"?>
<Properties xmlns="http://schemas.openxmlformats.org/officeDocument/2006/custom-properties" xmlns:vt="http://schemas.openxmlformats.org/officeDocument/2006/docPropsVTypes"/>
</file>