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color w:val="0e0e0e"/>
          <w:sz w:val="23"/>
          <w:szCs w:val="23"/>
        </w:rPr>
      </w:pPr>
      <w:r w:rsidDel="00000000" w:rsidR="00000000" w:rsidRPr="00000000">
        <w:rPr>
          <w:b w:val="1"/>
          <w:color w:val="0e0e0e"/>
          <w:sz w:val="23"/>
          <w:szCs w:val="23"/>
          <w:rtl w:val="0"/>
        </w:rPr>
        <w:t xml:space="preserve">Sustainability Approach in Allianz Pensionskasse (SFDR Compliance)</w:t>
      </w:r>
    </w:p>
    <w:p w:rsidR="00000000" w:rsidDel="00000000" w:rsidP="00000000" w:rsidRDefault="00000000" w:rsidRPr="00000000" w14:paraId="00000002">
      <w:pPr>
        <w:rPr>
          <w:b w:val="1"/>
          <w:color w:val="0e0e0e"/>
          <w:sz w:val="20"/>
          <w:szCs w:val="20"/>
        </w:rPr>
      </w:pPr>
      <w:r w:rsidDel="00000000" w:rsidR="00000000" w:rsidRPr="00000000">
        <w:rPr>
          <w:b w:val="1"/>
          <w:color w:val="0e0e0e"/>
          <w:sz w:val="20"/>
          <w:szCs w:val="20"/>
          <w:rtl w:val="0"/>
        </w:rPr>
        <w:t xml:space="preserve">1. ESG Risk Management</w:t>
      </w:r>
    </w:p>
    <w:p w:rsidR="00000000" w:rsidDel="00000000" w:rsidP="00000000" w:rsidRDefault="00000000" w:rsidRPr="00000000" w14:paraId="00000003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</w: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Data Integration: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 ESG data from MSCI ESG Research is used to assess issuer-level risks and sustainability scores.</w:t>
      </w:r>
    </w:p>
    <w:p w:rsidR="00000000" w:rsidDel="00000000" w:rsidP="00000000" w:rsidRDefault="00000000" w:rsidRPr="00000000" w14:paraId="00000004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</w: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Exclusions: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 Investments are excluded from sectors like weapons, coal mining, fossil fuels, tobacco, and human rights violators.</w:t>
      </w:r>
    </w:p>
    <w:p w:rsidR="00000000" w:rsidDel="00000000" w:rsidP="00000000" w:rsidRDefault="00000000" w:rsidRPr="00000000" w14:paraId="00000005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</w: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Threshold Monitoring: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 Automated systems flag violations of ESG thresholds, prompting corrective actions.</w:t>
      </w:r>
    </w:p>
    <w:p w:rsidR="00000000" w:rsidDel="00000000" w:rsidP="00000000" w:rsidRDefault="00000000" w:rsidRPr="00000000" w14:paraId="00000006">
      <w:pPr>
        <w:rPr>
          <w:b w:val="1"/>
          <w:color w:val="0e0e0e"/>
          <w:sz w:val="20"/>
          <w:szCs w:val="20"/>
        </w:rPr>
      </w:pPr>
      <w:r w:rsidDel="00000000" w:rsidR="00000000" w:rsidRPr="00000000">
        <w:rPr>
          <w:b w:val="1"/>
          <w:color w:val="0e0e0e"/>
          <w:sz w:val="20"/>
          <w:szCs w:val="20"/>
          <w:rtl w:val="0"/>
        </w:rPr>
        <w:t xml:space="preserve">2. Climate Action and Decarbonization</w:t>
      </w:r>
    </w:p>
    <w:p w:rsidR="00000000" w:rsidDel="00000000" w:rsidP="00000000" w:rsidRDefault="00000000" w:rsidRPr="00000000" w14:paraId="00000007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</w: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Net-Zero Commitment: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 Aligns with the Paris Climate Agreement and aims for net-zero emissions by 2050.</w:t>
      </w:r>
    </w:p>
    <w:p w:rsidR="00000000" w:rsidDel="00000000" w:rsidP="00000000" w:rsidRDefault="00000000" w:rsidRPr="00000000" w14:paraId="00000008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</w: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Renewable Energy Focus: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 Investments target clean energy and low-carbon projects.</w:t>
      </w:r>
    </w:p>
    <w:p w:rsidR="00000000" w:rsidDel="00000000" w:rsidP="00000000" w:rsidRDefault="00000000" w:rsidRPr="00000000" w14:paraId="00000009">
      <w:pPr>
        <w:rPr>
          <w:b w:val="1"/>
          <w:color w:val="0e0e0e"/>
          <w:sz w:val="20"/>
          <w:szCs w:val="20"/>
        </w:rPr>
      </w:pPr>
      <w:r w:rsidDel="00000000" w:rsidR="00000000" w:rsidRPr="00000000">
        <w:rPr>
          <w:b w:val="1"/>
          <w:color w:val="0e0e0e"/>
          <w:sz w:val="20"/>
          <w:szCs w:val="20"/>
          <w:rtl w:val="0"/>
        </w:rPr>
        <w:t xml:space="preserve">3. Collaborative Governance</w:t>
      </w:r>
    </w:p>
    <w:p w:rsidR="00000000" w:rsidDel="00000000" w:rsidP="00000000" w:rsidRDefault="00000000" w:rsidRPr="00000000" w14:paraId="0000000A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</w: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Engagement: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 Works with companies to improve sustainability practices and uses voting rights to promote transparency and ESG standards.</w:t>
      </w:r>
    </w:p>
    <w:p w:rsidR="00000000" w:rsidDel="00000000" w:rsidP="00000000" w:rsidRDefault="00000000" w:rsidRPr="00000000" w14:paraId="0000000B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</w: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Transparent Reporting: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 Adheres to EU SFDR and Taxonomy regulations.</w:t>
      </w:r>
    </w:p>
    <w:p w:rsidR="00000000" w:rsidDel="00000000" w:rsidP="00000000" w:rsidRDefault="00000000" w:rsidRPr="00000000" w14:paraId="0000000C">
      <w:pPr>
        <w:rPr>
          <w:b w:val="1"/>
          <w:color w:val="0e0e0e"/>
          <w:sz w:val="20"/>
          <w:szCs w:val="20"/>
        </w:rPr>
      </w:pPr>
      <w:r w:rsidDel="00000000" w:rsidR="00000000" w:rsidRPr="00000000">
        <w:rPr>
          <w:b w:val="1"/>
          <w:color w:val="0e0e0e"/>
          <w:sz w:val="20"/>
          <w:szCs w:val="20"/>
          <w:rtl w:val="0"/>
        </w:rPr>
        <w:t xml:space="preserve">4. Social and Ethical Practices</w:t>
      </w:r>
    </w:p>
    <w:p w:rsidR="00000000" w:rsidDel="00000000" w:rsidP="00000000" w:rsidRDefault="00000000" w:rsidRPr="00000000" w14:paraId="0000000D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</w: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Human Rights: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 Excludes investments in entities violating labor standards or indigenous rights.</w:t>
      </w:r>
    </w:p>
    <w:p w:rsidR="00000000" w:rsidDel="00000000" w:rsidP="00000000" w:rsidRDefault="00000000" w:rsidRPr="00000000" w14:paraId="0000000E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</w: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Governance Standards: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 Ensures investments adhere to ethical governance practices.</w:t>
      </w:r>
    </w:p>
    <w:p w:rsidR="00000000" w:rsidDel="00000000" w:rsidP="00000000" w:rsidRDefault="00000000" w:rsidRPr="00000000" w14:paraId="0000000F">
      <w:pPr>
        <w:rPr>
          <w:b w:val="1"/>
          <w:color w:val="0e0e0e"/>
          <w:sz w:val="20"/>
          <w:szCs w:val="20"/>
        </w:rPr>
      </w:pPr>
      <w:r w:rsidDel="00000000" w:rsidR="00000000" w:rsidRPr="00000000">
        <w:rPr>
          <w:b w:val="1"/>
          <w:color w:val="0e0e0e"/>
          <w:sz w:val="20"/>
          <w:szCs w:val="20"/>
          <w:rtl w:val="0"/>
        </w:rPr>
        <w:t xml:space="preserve">5. Portfolio Diversification</w:t>
      </w:r>
    </w:p>
    <w:p w:rsidR="00000000" w:rsidDel="00000000" w:rsidP="00000000" w:rsidRDefault="00000000" w:rsidRPr="00000000" w14:paraId="00000010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</w: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Risk Mitigation: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 Diversifies assets to reduce ESG risk exposure.</w:t>
      </w:r>
    </w:p>
    <w:p w:rsidR="00000000" w:rsidDel="00000000" w:rsidP="00000000" w:rsidRDefault="00000000" w:rsidRPr="00000000" w14:paraId="00000011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</w: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Internal Risk Controls: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 Implements strict caps on asset classes and issuers.</w:t>
      </w:r>
    </w:p>
    <w:p w:rsidR="00000000" w:rsidDel="00000000" w:rsidP="00000000" w:rsidRDefault="00000000" w:rsidRPr="00000000" w14:paraId="00000012">
      <w:pPr>
        <w:rPr>
          <w:b w:val="1"/>
          <w:color w:val="0e0e0e"/>
          <w:sz w:val="20"/>
          <w:szCs w:val="20"/>
        </w:rPr>
      </w:pPr>
      <w:r w:rsidDel="00000000" w:rsidR="00000000" w:rsidRPr="00000000">
        <w:rPr>
          <w:b w:val="1"/>
          <w:color w:val="0e0e0e"/>
          <w:sz w:val="20"/>
          <w:szCs w:val="20"/>
          <w:rtl w:val="0"/>
        </w:rPr>
        <w:t xml:space="preserve">6. EU Taxonomy Alignment</w:t>
      </w:r>
    </w:p>
    <w:p w:rsidR="00000000" w:rsidDel="00000000" w:rsidP="00000000" w:rsidRDefault="00000000" w:rsidRPr="00000000" w14:paraId="00000013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</w: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Sustainability Goals: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 Aligns with the EU’s framework for sustainable economic activities.</w:t>
      </w:r>
    </w:p>
    <w:p w:rsidR="00000000" w:rsidDel="00000000" w:rsidP="00000000" w:rsidRDefault="00000000" w:rsidRPr="00000000" w14:paraId="00000014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</w: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Proportional Disclosure: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 Discloses sustainable investment shares where data is available.</w:t>
      </w:r>
    </w:p>
    <w:p w:rsidR="00000000" w:rsidDel="00000000" w:rsidP="00000000" w:rsidRDefault="00000000" w:rsidRPr="00000000" w14:paraId="00000015">
      <w:pPr>
        <w:rPr>
          <w:b w:val="1"/>
          <w:color w:val="0e0e0e"/>
          <w:sz w:val="20"/>
          <w:szCs w:val="20"/>
        </w:rPr>
      </w:pPr>
      <w:r w:rsidDel="00000000" w:rsidR="00000000" w:rsidRPr="00000000">
        <w:rPr>
          <w:b w:val="1"/>
          <w:color w:val="0e0e0e"/>
          <w:sz w:val="20"/>
          <w:szCs w:val="20"/>
          <w:rtl w:val="0"/>
        </w:rPr>
        <w:t xml:space="preserve">7. Executive Remuneration</w:t>
      </w:r>
    </w:p>
    <w:p w:rsidR="00000000" w:rsidDel="00000000" w:rsidP="00000000" w:rsidRDefault="00000000" w:rsidRPr="00000000" w14:paraId="00000016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</w: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ESG in Incentives: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 Performance evaluations include ESG indicators, discouraging excessive risk-taking.</w:t>
      </w:r>
    </w:p>
    <w:p w:rsidR="00000000" w:rsidDel="00000000" w:rsidP="00000000" w:rsidRDefault="00000000" w:rsidRPr="00000000" w14:paraId="00000017">
      <w:pPr>
        <w:rPr>
          <w:b w:val="1"/>
          <w:color w:val="0e0e0e"/>
          <w:sz w:val="20"/>
          <w:szCs w:val="20"/>
        </w:rPr>
      </w:pPr>
      <w:r w:rsidDel="00000000" w:rsidR="00000000" w:rsidRPr="00000000">
        <w:rPr>
          <w:b w:val="1"/>
          <w:color w:val="0e0e0e"/>
          <w:sz w:val="20"/>
          <w:szCs w:val="20"/>
          <w:rtl w:val="0"/>
        </w:rPr>
        <w:t xml:space="preserve">8. Adaptation to Data Challenges</w:t>
      </w:r>
    </w:p>
    <w:p w:rsidR="00000000" w:rsidDel="00000000" w:rsidP="00000000" w:rsidRDefault="00000000" w:rsidRPr="00000000" w14:paraId="00000018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</w: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PAI Monitoring: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 Addresses data gaps for Principal Adverse Impacts, restricting high-risk sectors while improving reporting.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0000ff"/>
          <w:sz w:val="21"/>
          <w:szCs w:val="21"/>
        </w:rPr>
      </w:pPr>
      <w:r w:rsidDel="00000000" w:rsidR="00000000" w:rsidRPr="00000000">
        <w:rPr>
          <w:color w:val="0000ff"/>
          <w:sz w:val="21"/>
          <w:szCs w:val="21"/>
          <w:rtl w:val="0"/>
        </w:rPr>
        <w:t xml:space="preserve">Allianz Pensionskasse integrates quantitative criteria to assess the sustainability of its investments, aligning with the Sustainable Finance Disclosure Regulation (SFDR) and the Allianz ESG Integration Framework. Key quantitative measures include:</w:t>
      </w:r>
    </w:p>
    <w:p w:rsidR="00000000" w:rsidDel="00000000" w:rsidP="00000000" w:rsidRDefault="00000000" w:rsidRPr="00000000" w14:paraId="0000001C">
      <w:pPr>
        <w:spacing w:before="180" w:lineRule="auto"/>
        <w:ind w:left="400" w:hanging="200"/>
        <w:rPr>
          <w:color w:val="0000ff"/>
          <w:sz w:val="21"/>
          <w:szCs w:val="21"/>
        </w:rPr>
      </w:pPr>
      <w:r w:rsidDel="00000000" w:rsidR="00000000" w:rsidRPr="00000000">
        <w:rPr>
          <w:color w:val="0000ff"/>
          <w:sz w:val="21"/>
          <w:szCs w:val="21"/>
          <w:rtl w:val="0"/>
        </w:rPr>
        <w:tab/>
        <w:t xml:space="preserve">•</w:t>
        <w:tab/>
      </w:r>
      <w:r w:rsidDel="00000000" w:rsidR="00000000" w:rsidRPr="00000000">
        <w:rPr>
          <w:b w:val="1"/>
          <w:color w:val="0000ff"/>
          <w:sz w:val="21"/>
          <w:szCs w:val="21"/>
          <w:rtl w:val="0"/>
        </w:rPr>
        <w:t xml:space="preserve">Carbon Intensity:</w:t>
      </w:r>
      <w:r w:rsidDel="00000000" w:rsidR="00000000" w:rsidRPr="00000000">
        <w:rPr>
          <w:color w:val="0000ff"/>
          <w:sz w:val="21"/>
          <w:szCs w:val="21"/>
          <w:rtl w:val="0"/>
        </w:rPr>
        <w:t xml:space="preserve"> Evaluating the carbon emissions per unit of output to ensure investments meet specific environmental thresholds.</w:t>
      </w:r>
    </w:p>
    <w:p w:rsidR="00000000" w:rsidDel="00000000" w:rsidP="00000000" w:rsidRDefault="00000000" w:rsidRPr="00000000" w14:paraId="0000001D">
      <w:pPr>
        <w:spacing w:before="180" w:lineRule="auto"/>
        <w:ind w:left="400" w:hanging="200"/>
        <w:rPr>
          <w:color w:val="0000ff"/>
          <w:sz w:val="21"/>
          <w:szCs w:val="21"/>
        </w:rPr>
      </w:pPr>
      <w:r w:rsidDel="00000000" w:rsidR="00000000" w:rsidRPr="00000000">
        <w:rPr>
          <w:color w:val="0000ff"/>
          <w:sz w:val="21"/>
          <w:szCs w:val="21"/>
          <w:rtl w:val="0"/>
        </w:rPr>
        <w:tab/>
        <w:t xml:space="preserve">•</w:t>
        <w:tab/>
      </w:r>
      <w:r w:rsidDel="00000000" w:rsidR="00000000" w:rsidRPr="00000000">
        <w:rPr>
          <w:b w:val="1"/>
          <w:color w:val="0000ff"/>
          <w:sz w:val="21"/>
          <w:szCs w:val="21"/>
          <w:rtl w:val="0"/>
        </w:rPr>
        <w:t xml:space="preserve">Energy Efficiency Gains:</w:t>
      </w:r>
      <w:r w:rsidDel="00000000" w:rsidR="00000000" w:rsidRPr="00000000">
        <w:rPr>
          <w:color w:val="0000ff"/>
          <w:sz w:val="21"/>
          <w:szCs w:val="21"/>
          <w:rtl w:val="0"/>
        </w:rPr>
        <w:t xml:space="preserve"> Assessing improvements in energy consumption per output unit, aiming for enhanced efficiency.</w:t>
      </w:r>
    </w:p>
    <w:p w:rsidR="00000000" w:rsidDel="00000000" w:rsidP="00000000" w:rsidRDefault="00000000" w:rsidRPr="00000000" w14:paraId="0000001E">
      <w:pPr>
        <w:spacing w:before="180" w:lineRule="auto"/>
        <w:ind w:left="400" w:hanging="200"/>
        <w:rPr>
          <w:color w:val="0000ff"/>
          <w:sz w:val="21"/>
          <w:szCs w:val="21"/>
        </w:rPr>
      </w:pPr>
      <w:r w:rsidDel="00000000" w:rsidR="00000000" w:rsidRPr="00000000">
        <w:rPr>
          <w:color w:val="0000ff"/>
          <w:sz w:val="21"/>
          <w:szCs w:val="21"/>
          <w:rtl w:val="0"/>
        </w:rPr>
        <w:tab/>
        <w:t xml:space="preserve">•</w:t>
        <w:tab/>
      </w:r>
      <w:r w:rsidDel="00000000" w:rsidR="00000000" w:rsidRPr="00000000">
        <w:rPr>
          <w:b w:val="1"/>
          <w:color w:val="0000ff"/>
          <w:sz w:val="21"/>
          <w:szCs w:val="21"/>
          <w:rtl w:val="0"/>
        </w:rPr>
        <w:t xml:space="preserve">Renewable Energy Usage:</w:t>
      </w:r>
      <w:r w:rsidDel="00000000" w:rsidR="00000000" w:rsidRPr="00000000">
        <w:rPr>
          <w:color w:val="0000ff"/>
          <w:sz w:val="21"/>
          <w:szCs w:val="21"/>
          <w:rtl w:val="0"/>
        </w:rPr>
        <w:t xml:space="preserve"> Measuring the percentage of energy sourced from renewable resources within projects.</w:t>
      </w:r>
    </w:p>
    <w:p w:rsidR="00000000" w:rsidDel="00000000" w:rsidP="00000000" w:rsidRDefault="00000000" w:rsidRPr="00000000" w14:paraId="0000001F">
      <w:pPr>
        <w:spacing w:before="180" w:lineRule="auto"/>
        <w:ind w:left="400" w:hanging="200"/>
        <w:rPr>
          <w:color w:val="0000ff"/>
          <w:sz w:val="21"/>
          <w:szCs w:val="21"/>
        </w:rPr>
      </w:pPr>
      <w:r w:rsidDel="00000000" w:rsidR="00000000" w:rsidRPr="00000000">
        <w:rPr>
          <w:color w:val="0000ff"/>
          <w:sz w:val="21"/>
          <w:szCs w:val="21"/>
          <w:rtl w:val="0"/>
        </w:rPr>
        <w:tab/>
        <w:t xml:space="preserve">•</w:t>
        <w:tab/>
      </w:r>
      <w:r w:rsidDel="00000000" w:rsidR="00000000" w:rsidRPr="00000000">
        <w:rPr>
          <w:b w:val="1"/>
          <w:color w:val="0000ff"/>
          <w:sz w:val="21"/>
          <w:szCs w:val="21"/>
          <w:rtl w:val="0"/>
        </w:rPr>
        <w:t xml:space="preserve">Waste Management Efficiency:</w:t>
      </w:r>
      <w:r w:rsidDel="00000000" w:rsidR="00000000" w:rsidRPr="00000000">
        <w:rPr>
          <w:color w:val="0000ff"/>
          <w:sz w:val="21"/>
          <w:szCs w:val="21"/>
          <w:rtl w:val="0"/>
        </w:rPr>
        <w:t xml:space="preserve"> Quantifying reductions in waste generation and increases in recycling rates.</w:t>
      </w:r>
    </w:p>
    <w:p w:rsidR="00000000" w:rsidDel="00000000" w:rsidP="00000000" w:rsidRDefault="00000000" w:rsidRPr="00000000" w14:paraId="00000020">
      <w:pPr>
        <w:rPr>
          <w:color w:val="0000ff"/>
          <w:sz w:val="21"/>
          <w:szCs w:val="21"/>
        </w:rPr>
      </w:pPr>
      <w:r w:rsidDel="00000000" w:rsidR="00000000" w:rsidRPr="00000000">
        <w:rPr>
          <w:color w:val="0000ff"/>
          <w:sz w:val="21"/>
          <w:szCs w:val="21"/>
          <w:rtl w:val="0"/>
        </w:rPr>
        <w:t xml:space="preserve">These metrics are part of Allianz’s comprehensive approach to integrating ESG factors into investment decisions, ensuring that the pension fund’s portfolio aligns with sustainability objectives and regulatory requirements.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