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A1A1A"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24"/>
                <w:szCs w:val="24"/>
              </w:rPr>
              <w:t xml:space="preserve">CHECKLIST DE HABILITAÇÃO DE FORNECEDORES</w:t>
            </w:r>
          </w:p>
          <w:p>
            <w:pPr>
              <w:spacing w:after="0" w:before="0" w:line="240"/>
              <w:jc w:val="center"/>
            </w:pPr>
            <w:r>
              <w:rPr>
                <w:rFonts w:ascii="Arial" w:cs="Arial" w:eastAsia="Arial" w:hAnsi="Arial"/>
                <w:b w:val="false"/>
                <w:bCs w:val="false"/>
                <w:i w:val="false"/>
                <w:iCs w:val="false"/>
                <w:color w:val="FFFFFF"/>
                <w:sz w:val="16"/>
                <w:szCs w:val="16"/>
              </w:rPr>
              <w:t xml:space="preserve">PGS-002-R Rev. B · PEOTRAM Elemento 8 — Aquisição de Bens e Serviços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20"/>
                <w:szCs w:val="20"/>
              </w:rPr>
              <w:t xml:space="preserve">TIPO 14 · EQUIPAMENTOS DE PROPULSÃO E POSICIONAMENTO DINÂMICO (DP)</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8"/>
                <w:szCs w:val="18"/>
              </w:rPr>
              <w:t xml:space="preserve">1 · IDENTIFICAÇÃO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Contratante</w:t>
            </w:r>
          </w:p>
        </w:tc>
        <w:tc>
          <w:tcPr>
            <w:tcW w:type="dxa" w:w="656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Pan Marine do Brasil LTDA (Grupo Tidewater)</w:t>
            </w:r>
          </w:p>
        </w:tc>
      </w:tr>
      <w:tr>
        <w:tc>
          <w:tcPr>
            <w:tcW w:type="dxa" w:w="28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Categoria</w:t>
            </w:r>
          </w:p>
        </w:tc>
        <w:tc>
          <w:tcPr>
            <w:tcW w:type="dxa" w:w="656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PGS-002-R · Tipo 14 — Equipamentos de Propulsão e DP</w:t>
            </w:r>
          </w:p>
        </w:tc>
      </w:tr>
      <w:tr>
        <w:tc>
          <w:tcPr>
            <w:tcW w:type="dxa" w:w="28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Escopo da categoria</w:t>
            </w:r>
          </w:p>
        </w:tc>
        <w:tc>
          <w:tcPr>
            <w:tcW w:type="dxa" w:w="656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Manutenção, reparo, comissionamento, ensaios (FMEA, provas anuais de DP) e fornecimento de peças para sistemas de propulsão (motores principais, redutores, linhas de eixo, hélices de passo variável, thrusters azimutais e de túnel) e sistemas de posicionamento dinâmico (controladores, sensores de referência de posição, giroscópios, MRU, sensores de vento, UPS e redes de controle).</w:t>
            </w:r>
          </w:p>
        </w:tc>
      </w:tr>
      <w:tr>
        <w:tc>
          <w:tcPr>
            <w:tcW w:type="dxa" w:w="28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Criticidade</w:t>
            </w:r>
          </w:p>
        </w:tc>
        <w:tc>
          <w:tcPr>
            <w:tcW w:type="dxa" w:w="656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ALTA — atividade crítica para a segurança da navegação e para a manutenção da notação de classe DP.</w:t>
            </w:r>
          </w:p>
        </w:tc>
      </w:tr>
      <w:tr>
        <w:tc>
          <w:tcPr>
            <w:tcW w:type="dxa" w:w="28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Fornecedor avaliado</w:t>
            </w:r>
          </w:p>
        </w:tc>
        <w:tc>
          <w:tcPr>
            <w:tcW w:type="dxa" w:w="656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 </w:t>
            </w:r>
          </w:p>
        </w:tc>
      </w:tr>
      <w:tr>
        <w:tc>
          <w:tcPr>
            <w:tcW w:type="dxa" w:w="28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CNPJ</w:t>
            </w:r>
          </w:p>
        </w:tc>
        <w:tc>
          <w:tcPr>
            <w:tcW w:type="dxa" w:w="656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 </w:t>
            </w:r>
          </w:p>
        </w:tc>
      </w:tr>
      <w:tr>
        <w:tc>
          <w:tcPr>
            <w:tcW w:type="dxa" w:w="28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Data da avaliação</w:t>
            </w:r>
          </w:p>
        </w:tc>
        <w:tc>
          <w:tcPr>
            <w:tcW w:type="dxa" w:w="656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 </w:t>
            </w:r>
          </w:p>
        </w:tc>
      </w:tr>
      <w:tr>
        <w:tc>
          <w:tcPr>
            <w:tcW w:type="dxa" w:w="28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Ponto focal TMS</w:t>
            </w:r>
          </w:p>
        </w:tc>
        <w:tc>
          <w:tcPr>
            <w:tcW w:type="dxa" w:w="656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Arthur Lima — arthurlima@tmss.com.br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8"/>
                <w:szCs w:val="18"/>
              </w:rPr>
              <w:t xml:space="preserve">2 · LEGENDA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C8102E"/>
                <w:sz w:val="16"/>
                <w:szCs w:val="16"/>
              </w:rPr>
              <w:t xml:space="preserve">CO  </w:t>
            </w:r>
            <w:r>
              <w:rPr>
                <w:rFonts w:ascii="Arial" w:cs="Arial" w:eastAsia="Arial" w:hAnsi="Arial"/>
                <w:b w:val="false"/>
                <w:bCs w:val="false"/>
                <w:i w:val="false"/>
                <w:iCs w:val="false"/>
                <w:color w:val="1A1A1A"/>
                <w:sz w:val="16"/>
                <w:szCs w:val="16"/>
              </w:rPr>
              <w:t xml:space="preserve">Critério Obrigatório — ausência bloqueia a habilitação</w:t>
            </w:r>
          </w:p>
        </w:tc>
        <w:tc>
          <w:tcPr>
            <w:tcW w:type="dxa" w:w="4680"/>
            <w:tcBorders>
              <w:top w:val="single" w:color="BFBFBF" w:sz="4"/>
              <w:left w:val="single" w:color="BFBFBF" w:sz="4"/>
              <w:bottom w:val="single" w:color="BFBFBF" w:sz="4"/>
              <w:right w:val="single" w:color="BFBFBF" w:sz="4"/>
            </w:tcBorders>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CE  </w:t>
            </w:r>
            <w:r>
              <w:rPr>
                <w:rFonts w:ascii="Arial" w:cs="Arial" w:eastAsia="Arial" w:hAnsi="Arial"/>
                <w:b w:val="false"/>
                <w:bCs w:val="false"/>
                <w:i w:val="false"/>
                <w:iCs w:val="false"/>
                <w:color w:val="1A1A1A"/>
                <w:sz w:val="16"/>
                <w:szCs w:val="16"/>
              </w:rPr>
              <w:t xml:space="preserve">Critério de Excelência — melhora a pontuação final</w:t>
            </w:r>
          </w:p>
        </w:tc>
      </w:tr>
      <w:tr>
        <w:tc>
          <w:tcPr>
            <w:tcW w:type="dxa" w:w="468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E7A3C"/>
                <w:sz w:val="16"/>
                <w:szCs w:val="16"/>
              </w:rPr>
              <w:t xml:space="preserve">✓  </w:t>
            </w:r>
            <w:r>
              <w:rPr>
                <w:rFonts w:ascii="Arial" w:cs="Arial" w:eastAsia="Arial" w:hAnsi="Arial"/>
                <w:b w:val="false"/>
                <w:bCs w:val="false"/>
                <w:i w:val="false"/>
                <w:iCs w:val="false"/>
                <w:color w:val="1A1A1A"/>
                <w:sz w:val="16"/>
                <w:szCs w:val="16"/>
              </w:rPr>
              <w:t xml:space="preserve">Entregue e aprovado     </w:t>
            </w:r>
            <w:r>
              <w:rPr>
                <w:rFonts w:ascii="Arial" w:cs="Arial" w:eastAsia="Arial" w:hAnsi="Arial"/>
                <w:b/>
                <w:bCs/>
                <w:i w:val="false"/>
                <w:iCs w:val="false"/>
                <w:color w:val="E65100"/>
                <w:sz w:val="16"/>
                <w:szCs w:val="16"/>
              </w:rPr>
              <w:t xml:space="preserve">⚠  </w:t>
            </w:r>
            <w:r>
              <w:rPr>
                <w:rFonts w:ascii="Arial" w:cs="Arial" w:eastAsia="Arial" w:hAnsi="Arial"/>
                <w:b w:val="false"/>
                <w:bCs w:val="false"/>
                <w:i w:val="false"/>
                <w:iCs w:val="false"/>
                <w:color w:val="1A1A1A"/>
                <w:sz w:val="16"/>
                <w:szCs w:val="16"/>
              </w:rPr>
              <w:t xml:space="preserve">Entregue com ressalva</w:t>
            </w:r>
          </w:p>
        </w:tc>
        <w:tc>
          <w:tcPr>
            <w:tcW w:type="dxa" w:w="468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C62828"/>
                <w:sz w:val="16"/>
                <w:szCs w:val="16"/>
              </w:rPr>
              <w:t xml:space="preserve">✗  </w:t>
            </w:r>
            <w:r>
              <w:rPr>
                <w:rFonts w:ascii="Arial" w:cs="Arial" w:eastAsia="Arial" w:hAnsi="Arial"/>
                <w:b w:val="false"/>
                <w:bCs w:val="false"/>
                <w:i w:val="false"/>
                <w:iCs w:val="false"/>
                <w:color w:val="1A1A1A"/>
                <w:sz w:val="16"/>
                <w:szCs w:val="16"/>
              </w:rPr>
              <w:t xml:space="preserve">Pendente / não entregue     </w:t>
            </w:r>
            <w:r>
              <w:rPr>
                <w:rFonts w:ascii="Arial" w:cs="Arial" w:eastAsia="Arial" w:hAnsi="Arial"/>
                <w:b/>
                <w:bCs/>
                <w:i w:val="false"/>
                <w:iCs w:val="false"/>
                <w:color w:val="1565C0"/>
                <w:sz w:val="16"/>
                <w:szCs w:val="16"/>
              </w:rPr>
              <w:t xml:space="preserve">ℹ  </w:t>
            </w:r>
            <w:r>
              <w:rPr>
                <w:rFonts w:ascii="Arial" w:cs="Arial" w:eastAsia="Arial" w:hAnsi="Arial"/>
                <w:b w:val="false"/>
                <w:bCs w:val="false"/>
                <w:i w:val="false"/>
                <w:iCs w:val="false"/>
                <w:color w:val="1A1A1A"/>
                <w:sz w:val="16"/>
                <w:szCs w:val="16"/>
              </w:rPr>
              <w:t xml:space="preserve">Emissão TMS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8"/>
                <w:szCs w:val="18"/>
              </w:rPr>
              <w:t xml:space="preserve">3 · DOCUMENTOS EXIGIDOS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
        <w:gridCol w:w="3900"/>
        <w:gridCol w:w="3500"/>
        <w:gridCol w:w="677"/>
        <w:gridCol w:w="831"/>
      </w:tblGrid>
      <w:tr>
        <w:trPr>
          <w:tblHeader/>
        </w:trPr>
        <w:tc>
          <w:tcPr>
            <w:tcW w:type="dxa" w:w="452"/>
            <w:tcBorders>
              <w:top w:val="single" w:color="BFBFBF" w:sz="4"/>
              <w:left w:val="single" w:color="BFBFBF" w:sz="4"/>
              <w:bottom w:val="single" w:color="BFBFBF" w:sz="4"/>
              <w:right w:val="single" w:color="BFBFBF" w:sz="4"/>
            </w:tcBorders>
            <w:shd w:fill="404040"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6"/>
                <w:szCs w:val="16"/>
              </w:rPr>
              <w:t xml:space="preserve">Nº</w:t>
            </w:r>
          </w:p>
        </w:tc>
        <w:tc>
          <w:tcPr>
            <w:tcW w:type="dxa" w:w="3900"/>
            <w:tcBorders>
              <w:top w:val="single" w:color="BFBFBF" w:sz="4"/>
              <w:left w:val="single" w:color="BFBFBF" w:sz="4"/>
              <w:bottom w:val="single" w:color="BFBFBF" w:sz="4"/>
              <w:right w:val="single" w:color="BFBFBF" w:sz="4"/>
            </w:tcBorders>
            <w:shd w:fill="404040"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6"/>
                <w:szCs w:val="16"/>
              </w:rPr>
              <w:t xml:space="preserve">Documento Exigido</w:t>
            </w:r>
          </w:p>
        </w:tc>
        <w:tc>
          <w:tcPr>
            <w:tcW w:type="dxa" w:w="3500"/>
            <w:tcBorders>
              <w:top w:val="single" w:color="BFBFBF" w:sz="4"/>
              <w:left w:val="single" w:color="BFBFBF" w:sz="4"/>
              <w:bottom w:val="single" w:color="BFBFBF" w:sz="4"/>
              <w:right w:val="single" w:color="BFBFBF" w:sz="4"/>
            </w:tcBorders>
            <w:shd w:fill="404040"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6"/>
                <w:szCs w:val="16"/>
              </w:rPr>
              <w:t xml:space="preserve">Base normativa / critério de aceite</w:t>
            </w:r>
          </w:p>
        </w:tc>
        <w:tc>
          <w:tcPr>
            <w:tcW w:type="dxa" w:w="677"/>
            <w:tcBorders>
              <w:top w:val="single" w:color="BFBFBF" w:sz="4"/>
              <w:left w:val="single" w:color="BFBFBF" w:sz="4"/>
              <w:bottom w:val="single" w:color="BFBFBF" w:sz="4"/>
              <w:right w:val="single" w:color="BFBFBF" w:sz="4"/>
            </w:tcBorders>
            <w:shd w:fill="404040"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6"/>
                <w:szCs w:val="16"/>
              </w:rPr>
              <w:t xml:space="preserve">Tipo</w:t>
            </w:r>
          </w:p>
        </w:tc>
        <w:tc>
          <w:tcPr>
            <w:tcW w:type="dxa" w:w="831"/>
            <w:tcBorders>
              <w:top w:val="single" w:color="BFBFBF" w:sz="4"/>
              <w:left w:val="single" w:color="BFBFBF" w:sz="4"/>
              <w:bottom w:val="single" w:color="BFBFBF" w:sz="4"/>
              <w:right w:val="single" w:color="BFBFBF" w:sz="4"/>
            </w:tcBorders>
            <w:shd w:fill="404040"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6"/>
                <w:szCs w:val="16"/>
              </w:rPr>
              <w:t xml:space="preserve">Status</w:t>
            </w:r>
          </w:p>
        </w:tc>
      </w:tr>
      <w:tr>
        <w:tc>
          <w:tcPr>
            <w:tcW w:type="dxa" w:w="9360"/>
            <w:gridSpan w:val="5"/>
            <w:tcBorders>
              <w:top w:val="single" w:color="BFBFBF" w:sz="4"/>
              <w:left w:val="single" w:color="BFBFBF" w:sz="4"/>
              <w:bottom w:val="single" w:color="BFBFBF" w:sz="4"/>
              <w:right w:val="single" w:color="BFBFBF" w:sz="4"/>
            </w:tcBorders>
            <w:shd w:fill="404040"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7"/>
                <w:szCs w:val="17"/>
              </w:rPr>
              <w:t xml:space="preserve">BLOCO 1 · QUALIFICAÇÃO — Documentos de entrega prévia obrigatória</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Contrato Social / Ato constitutivo consolidado vigente</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Objeto social compatível com manutenção, reparo e comissionamento de sistemas de propulsão e/ou controle de posicionamento dinâmico. Última alteração arquivada na Junta Comercial.</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Cartão CNPJ</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Situação cadastral ATIVA. Emissão há no máximo 90 dias. CNAE aderente ao escopo.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3</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Alvará de Funcionamento</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Emitido pelo município da sede/base operacional. Prazo indeterminado é aceito como válido.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4</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Certidão Negativa de Débitos Federais e Dívida Ativa da União (CND / PGFN)</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Vigente na data da análise. Certidão positiva com efeitos de negativa é aceita.</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5</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Certificado de Regularidade do FGTS (CRF)</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Vigente na data da análise (validade de 30 dias — item de monitoramento contínuo).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6</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Certidão Negativa de Débitos Trabalhistas (CNDT)</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Lei 12.440/2011. Vigente na data da análise.</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7</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Registro da PJ no CREA e ART do Responsável Técnico</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Lei 5.194/1966 · Res. CONFEA 1.025/2009. RT com atribuição compatível com o escopo: Eng. Naval, Mecânica e/ou Elétrica-Eletrônica (Res. CONFEA 218/1973). ART vigente — certidão de registro não substitui a ART.</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8</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PLH — Profissional Legalmente Habilitado registrado na Autoridade Marítima</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NORMAM-201/DPC (ex-NORMAM-01/02). Exigível quando o escopo envolver intervenção em sistema de propulsão/governo sujeita a vistoria, laudo ou parecer perante a Capitania dos Portos.</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9</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Credenciamento / autorização do fabricante (OEM) para intervenção nos sistemas</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IMO MSC.1/Circ.1580 · IMCA M 103 · IMCA M 117. Carta de autorização, contrato de service partner ou certificado OEM vigente (ex.: Kongsberg, Wärtsilä, Schottel, MAN, Caterpillar, ABB). Na ausência, comprovação de qualificação equivalente aceita pelo fabricante do sistema.</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10</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Reconhecimento por Sociedade Classificadora como prestador de serviço</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Regras de classe DNV / ABS / BV / LR. Exigível quando o escopo impactar a notação de classe (DP1/DP2/DP3, propulsão, governo). Aprovação como Service Supplier ou declaração de aceitação do classificador.</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11</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PGR — Programa de Gerenciamento de Riscos</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NR-01. Inventário de riscos contemplando trabalho a bordo, energia elétrica, espaço confinado, altura e movimentação de cargas. Vigente e assinado.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12</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PCMSO — Programa de Controle Médico de Saúde Ocupacional</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NR-07. Vigente, assinado pelo médico coordenador, aderente ao PGR.</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13</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Apólice de Seguro de Responsabilidade Civil</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Cobertura para danos a equipamentos da embarcação e a terceiros decorrentes da intervenção. Apólice vigente e comprovante de pagamento.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14</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Termo de Compromisso SMS (PGS-002G-C)</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Emitido pela TMS para ciência e assinatura do responsável legal. Não constitui entrega do fornecedor.</w:t>
            </w:r>
          </w:p>
        </w:tc>
        <w:tc>
          <w:tcPr>
            <w:tcW w:type="dxa" w:w="677"/>
            <w:tcBorders>
              <w:top w:val="single" w:color="BFBFBF" w:sz="4"/>
              <w:left w:val="single" w:color="BFBFBF" w:sz="4"/>
              <w:bottom w:val="single" w:color="BFBFBF" w:sz="4"/>
              <w:right w:val="single" w:color="BFBFBF" w:sz="4"/>
            </w:tcBorders>
            <w:shd w:fill="E3F2FD"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5"/>
                <w:szCs w:val="15"/>
              </w:rPr>
              <w:t xml:space="preserve">ℹ TMS</w:t>
            </w:r>
          </w:p>
        </w:tc>
        <w:tc>
          <w:tcPr>
            <w:tcW w:type="dxa" w:w="831"/>
            <w:tcBorders>
              <w:top w:val="single" w:color="BFBFBF" w:sz="4"/>
              <w:left w:val="single" w:color="BFBFBF" w:sz="4"/>
              <w:bottom w:val="single" w:color="BFBFBF" w:sz="4"/>
              <w:right w:val="single" w:color="BFBFBF" w:sz="4"/>
            </w:tcBorders>
            <w:shd w:fill="E3F2FD"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ℹ</w:t>
            </w:r>
          </w:p>
        </w:tc>
      </w:tr>
      <w:tr>
        <w:tc>
          <w:tcPr>
            <w:tcW w:type="dxa" w:w="9360"/>
            <w:gridSpan w:val="5"/>
            <w:tcBorders>
              <w:top w:val="single" w:color="BFBFBF" w:sz="4"/>
              <w:left w:val="single" w:color="BFBFBF" w:sz="4"/>
              <w:bottom w:val="single" w:color="BFBFBF" w:sz="4"/>
              <w:right w:val="single" w:color="BFBFBF" w:sz="4"/>
            </w:tcBorders>
            <w:shd w:fill="404040"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7"/>
                <w:szCs w:val="17"/>
              </w:rPr>
              <w:t xml:space="preserve">BLOCO 2 · VERIFICAÇÃO OPERACIONAL — Documentos verificados na análise / auditoria</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15</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Matriz de Treinamento por função (função × treinamento obrigatório × validade)</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NR-01 item 1.7. Deve relacionar, por função, os treinamentos normativos aplicáveis (NR-10 — e NR-10 SEP quando tensão &gt; 1 kV —, NR-12, NR-33, NR-34, NR-35), os treinamentos OEM dos técnicos de propulsão/DP e a data de validade de cada um. Documento controlado, com responsável e data de revisão.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16</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Registros de treinamento — certificados por amostragem</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Certificados correspondentes à matriz do item 15 (NR-10, NR-33, NR-35, OEM etc.), com carga horária, conteúdo programático e validade. Aceito por amostragem, com registro completo disponível no sistema do fornecedor — a TMS pode solicitar qualquer colaborador a qualquer tempo.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17</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Certificados de segurança para embarque — CBSP / HUET / THUET</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STCW A-VI/1 · NORMAM-224/DPC. Exigível para toda a equipe alocada a bordo de unidades offshore. Aceito por amostragem.</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18</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ASO — Atestado de Saúde Ocupacional</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NR-07. Aptidão explícita para eletricidade, espaço confinado, altura e embarque. Aceito por amostragem, com registro completo disponível no sistema do fornecedor.</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19</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Procedimento de Permissão de Trabalho e Bloqueio/Etiquetagem (LOTO)</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NR-10 item 10.5 · NR-12 item 12.8. Aplicável a toda intervenção em propulsão, governo e DP. Deve prever interface com o comando da embarcação e a condição de DP degradado.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20</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Procedimento técnico de intervenção, comissionamento e testes pós-manutenção</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IMO MSC.1/Circ.1580 · IMCA M 190 (Annual DP Trials) · IMCA M 166 (FMEA). Deve contemplar teste funcional de retorno à operação, critérios de aceite e emissão de relatório assinado pelo RT.</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21</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Gerenciamento de Mudanças (MOC) e controle de versão de software/firmware dos sistemas de controle</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IACS UR E22 / E26 / E27 · IMO MSC-FAL.1/Circ.3 (cyber risk). Registro de alterações em software, parâmetros e hardware do sistema DP, com aprovação do armador e rastreabilidade de versão.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22</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Certificados de calibração dos instrumentos de medição e ensaio</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Rastreabilidade RBC/INMETRO. Multímetro, megômetro, torquímetro, alinhamento a laser, analisador de vibração, manômetros. Em nome do fornecedor avaliado e dentro da validade.</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23</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Plano de manutenção e inspeção de equipamentos e ferramentas próprios</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NR-11 · NR-12. Equipamentos de içamento (talhas, cintas, manilhas), ferramentas hidráulicas e pneumáticas. Registros preenchidos dos últimos 12 meses — formulário em branco não é evidência.</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24</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Rastreabilidade de peças de reposição</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Certificado de origem/conformidade OEM ou equivalente aprovado pelo fabricante, controle de peças não conformes e segregação de material rejeitado.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25</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PAE — Plano de Atendimento a Emergências</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NR-01 item 1.5.6 · NR-34. Cenários de intervenção a bordo (blackout, perda de DP, incêndio em praça de máquinas, choque elétrico, resgate em espaço confinado).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26</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Gerenciamento de resíduos da atividade</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PGRS · Lei 12.305/2010 · MTR/CDF (INEA/SINIR). Óleos lubrificantes, filtros, estopas e componentes contaminados. CTF/APP IBAMA quando exigível.</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27</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Evidência de Organização e Limpeza (5S)</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Registro fotográfico datado ou checklist 5S das instalações, veículos e ferramental. Identificação e segregação de equipamentos em manutenção.</w:t>
            </w:r>
          </w:p>
        </w:tc>
        <w:tc>
          <w:tcPr>
            <w:tcW w:type="dxa" w:w="677"/>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FFFFFF"/>
                <w:sz w:val="15"/>
                <w:szCs w:val="15"/>
              </w:rPr>
              <w:t xml:space="preserve">CO</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c>
          <w:tcPr>
            <w:tcW w:type="dxa" w:w="9360"/>
            <w:gridSpan w:val="5"/>
            <w:tcBorders>
              <w:top w:val="single" w:color="BFBFBF" w:sz="4"/>
              <w:left w:val="single" w:color="BFBFBF" w:sz="4"/>
              <w:bottom w:val="single" w:color="BFBFBF" w:sz="4"/>
              <w:right w:val="single" w:color="BFBFBF" w:sz="4"/>
            </w:tcBorders>
            <w:shd w:fill="404040"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7"/>
                <w:szCs w:val="17"/>
              </w:rPr>
              <w:t xml:space="preserve">BLOCO 3 · COMPLEMENTARES — Diferenciais e critérios de excelência</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28</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Certificações ISO 9001 / ISO 14001 / ISO 45001</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Autodeclaratório e não obrigatório sob o PGS-002-R — a ausência não penaliza. Certificação ISO 9001 vigente isenta as questões 14–23 do TD-176.</w:t>
            </w:r>
          </w:p>
        </w:tc>
        <w:tc>
          <w:tcPr>
            <w:tcW w:type="dxa" w:w="677"/>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5"/>
                <w:szCs w:val="15"/>
              </w:rPr>
              <w:t xml:space="preserve">CE</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29</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Atestados de capacidade técnica em sistemas DP / propulsão</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Mínimo 2 atestados ou relatórios de serviço dos últimos 24 meses, identificando embarcação, sistema, escopo e cliente.</w:t>
            </w:r>
          </w:p>
        </w:tc>
        <w:tc>
          <w:tcPr>
            <w:tcW w:type="dxa" w:w="677"/>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5"/>
                <w:szCs w:val="15"/>
              </w:rPr>
              <w:t xml:space="preserve">CE</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30</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Cartas de referência de clientes do setor offshore</w:t>
            </w:r>
          </w:p>
        </w:tc>
        <w:tc>
          <w:tcPr>
            <w:tcW w:type="dxa" w:w="35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Mínimo 2 documentos.</w:t>
            </w:r>
          </w:p>
        </w:tc>
        <w:tc>
          <w:tcPr>
            <w:tcW w:type="dxa" w:w="677"/>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5"/>
                <w:szCs w:val="15"/>
              </w:rPr>
              <w:t xml:space="preserve">CE</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r>
        <w:trPr>
          <w:cantSplit/>
        </w:trPr>
        <w:tc>
          <w:tcPr>
            <w:tcW w:type="dxa" w:w="452"/>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31</w:t>
            </w:r>
          </w:p>
        </w:tc>
        <w:tc>
          <w:tcPr>
            <w:tcW w:type="dxa" w:w="39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1A1A1A"/>
                <w:sz w:val="16"/>
                <w:szCs w:val="16"/>
              </w:rPr>
              <w:t xml:space="preserve">Certidões Negativas de Débitos Estadual e Municipal</w:t>
            </w:r>
          </w:p>
        </w:tc>
        <w:tc>
          <w:tcPr>
            <w:tcW w:type="dxa" w:w="35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404040"/>
                <w:sz w:val="14"/>
                <w:szCs w:val="14"/>
              </w:rPr>
              <w:t xml:space="preserve">Vigentes na data da análise.</w:t>
            </w:r>
          </w:p>
        </w:tc>
        <w:tc>
          <w:tcPr>
            <w:tcW w:type="dxa" w:w="677"/>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5"/>
                <w:szCs w:val="15"/>
              </w:rPr>
              <w:t xml:space="preserve">CE</w:t>
            </w:r>
          </w:p>
        </w:tc>
        <w:tc>
          <w:tcPr>
            <w:tcW w:type="dxa" w:w="831"/>
            <w:tcBorders>
              <w:top w:val="single" w:color="BFBFBF" w:sz="4"/>
              <w:left w:val="single" w:color="BFBFBF" w:sz="4"/>
              <w:bottom w:val="single" w:color="BFBFBF" w:sz="4"/>
              <w:right w:val="single" w:color="BFBFBF" w:sz="4"/>
            </w:tcBorders>
            <w:shd w:fill="FFF2CC"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24"/>
                <w:szCs w:val="24"/>
              </w:rPr>
              <w:t xml:space="preserv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8"/>
                <w:szCs w:val="18"/>
              </w:rPr>
              <w:t xml:space="preserve">4 · NOTAS DE APLICAÇÃO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01</w:t>
            </w:r>
          </w:p>
        </w:tc>
        <w:tc>
          <w:tcPr>
            <w:tcW w:type="dxa" w:w="876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5"/>
                <w:szCs w:val="15"/>
              </w:rPr>
              <w:t xml:space="preserve">Critérios Obrigatórios (CO): a ausência de qualquer item CO bloqueia a habilitação plena, independentemente da pontuação apurada.</w:t>
            </w:r>
          </w:p>
        </w:tc>
      </w:tr>
      <w:tr>
        <w:tc>
          <w:tcPr>
            <w:tcW w:type="dxa" w:w="6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02</w:t>
            </w:r>
          </w:p>
        </w:tc>
        <w:tc>
          <w:tcPr>
            <w:tcW w:type="dxa" w:w="876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5"/>
                <w:szCs w:val="15"/>
              </w:rPr>
              <w:t xml:space="preserve">Itens 8 e 10 são condicionados ao escopo contratado: quando não aplicáveis, o fornecedor deve apresentar declaração formal de não aplicabilidade, que será validada pela TMS.</w:t>
            </w:r>
          </w:p>
        </w:tc>
      </w:tr>
      <w:tr>
        <w:tc>
          <w:tcPr>
            <w:tcW w:type="dxa" w:w="6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03</w:t>
            </w:r>
          </w:p>
        </w:tc>
        <w:tc>
          <w:tcPr>
            <w:tcW w:type="dxa" w:w="876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5"/>
                <w:szCs w:val="15"/>
              </w:rPr>
              <w:t xml:space="preserve">Itens 16, 17 e 18 são aceitos por amostragem, desde que o fornecedor confirme a disponibilidade do registro completo em seu sistema. A TMS reserva-se o direito de solicitar a documentação de qualquer colaborador a qualquer tempo.</w:t>
            </w:r>
          </w:p>
        </w:tc>
      </w:tr>
      <w:tr>
        <w:tc>
          <w:tcPr>
            <w:tcW w:type="dxa" w:w="6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04</w:t>
            </w:r>
          </w:p>
        </w:tc>
        <w:tc>
          <w:tcPr>
            <w:tcW w:type="dxa" w:w="876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5"/>
                <w:szCs w:val="15"/>
              </w:rPr>
              <w:t xml:space="preserve">Cartão CNPJ: validade de 90 dias para fins de habilitação. Alvará de Funcionamento por prazo indeterminado é aceito como válido.</w:t>
            </w:r>
          </w:p>
        </w:tc>
      </w:tr>
      <w:tr>
        <w:tc>
          <w:tcPr>
            <w:tcW w:type="dxa" w:w="6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05</w:t>
            </w:r>
          </w:p>
        </w:tc>
        <w:tc>
          <w:tcPr>
            <w:tcW w:type="dxa" w:w="876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5"/>
                <w:szCs w:val="15"/>
              </w:rPr>
              <w:t xml:space="preserve">Formulários, planos e registros entregues em branco (sem preenchimento) não são aceitos como evidência de execução.</w:t>
            </w:r>
          </w:p>
        </w:tc>
      </w:tr>
      <w:tr>
        <w:tc>
          <w:tcPr>
            <w:tcW w:type="dxa" w:w="6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06</w:t>
            </w:r>
          </w:p>
        </w:tc>
        <w:tc>
          <w:tcPr>
            <w:tcW w:type="dxa" w:w="876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5"/>
                <w:szCs w:val="15"/>
              </w:rPr>
              <w:t xml:space="preserve">O Termo de Compromisso SMS (PGS-002G-C) é de emissão da TMS e não constitui pendência do fornecedor.</w:t>
            </w:r>
          </w:p>
        </w:tc>
      </w:tr>
      <w:tr>
        <w:tc>
          <w:tcPr>
            <w:tcW w:type="dxa" w:w="6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07</w:t>
            </w:r>
          </w:p>
        </w:tc>
        <w:tc>
          <w:tcPr>
            <w:tcW w:type="dxa" w:w="876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5"/>
                <w:szCs w:val="15"/>
              </w:rPr>
              <w:t xml:space="preserve">Documentos com validade (CRF, CND, CNDT, apólices, calibrações, certificados OEM) entram em monitoramento contínuo de vencimento após a habilitação.</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8102E"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8"/>
                <w:szCs w:val="18"/>
              </w:rPr>
              <w:t xml:space="preserve">5 · TABELA DE RATING — RESULTADO DA AVALIAÇÃO TMS (referência)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3810"/>
      </w:tblGrid>
      <w:tr>
        <w:tc>
          <w:tcPr>
            <w:tcW w:type="dxa" w:w="2350"/>
            <w:tcBorders>
              <w:top w:val="single" w:color="BFBFBF" w:sz="4"/>
              <w:left w:val="single" w:color="BFBFBF" w:sz="4"/>
              <w:bottom w:val="single" w:color="BFBFBF" w:sz="4"/>
              <w:right w:val="single" w:color="BFBFBF" w:sz="4"/>
            </w:tcBorders>
            <w:shd w:fill="DDEBF7"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Faixa de Pontuação</w:t>
            </w:r>
          </w:p>
        </w:tc>
        <w:tc>
          <w:tcPr>
            <w:tcW w:type="dxa" w:w="3200"/>
            <w:tcBorders>
              <w:top w:val="single" w:color="BFBFBF" w:sz="4"/>
              <w:left w:val="single" w:color="BFBFBF" w:sz="4"/>
              <w:bottom w:val="single" w:color="BFBFBF" w:sz="4"/>
              <w:right w:val="single" w:color="BFBFBF" w:sz="4"/>
            </w:tcBorders>
            <w:shd w:fill="DDEBF7"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Status</w:t>
            </w:r>
          </w:p>
        </w:tc>
        <w:tc>
          <w:tcPr>
            <w:tcW w:type="dxa" w:w="3810"/>
            <w:tcBorders>
              <w:top w:val="single" w:color="BFBFBF" w:sz="4"/>
              <w:left w:val="single" w:color="BFBFBF" w:sz="4"/>
              <w:bottom w:val="single" w:color="BFBFBF" w:sz="4"/>
              <w:right w:val="single" w:color="BFBFBF" w:sz="4"/>
            </w:tcBorders>
            <w:shd w:fill="DDEBF7"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Consequência</w:t>
            </w:r>
          </w:p>
        </w:tc>
      </w:tr>
      <w:tr>
        <w:tc>
          <w:tcPr>
            <w:tcW w:type="dxa" w:w="235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16"/>
                <w:szCs w:val="16"/>
              </w:rPr>
              <w:t xml:space="preserve">90–100 pts</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 APROVADO</w:t>
            </w:r>
          </w:p>
        </w:tc>
        <w:tc>
          <w:tcPr>
            <w:tcW w:type="dxa" w:w="381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Habilitado sem restrições</w:t>
            </w:r>
          </w:p>
        </w:tc>
      </w:tr>
      <w:tr>
        <w:tc>
          <w:tcPr>
            <w:tcW w:type="dxa" w:w="235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16"/>
                <w:szCs w:val="16"/>
              </w:rPr>
              <w:t xml:space="preserve">75–89 pts</w:t>
            </w:r>
          </w:p>
        </w:tc>
        <w:tc>
          <w:tcPr>
            <w:tcW w:type="dxa" w:w="32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 APROVADO</w:t>
            </w:r>
          </w:p>
        </w:tc>
        <w:tc>
          <w:tcPr>
            <w:tcW w:type="dxa" w:w="381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Apto. Pequenas pendências sem impacto</w:t>
            </w:r>
          </w:p>
        </w:tc>
      </w:tr>
      <w:tr>
        <w:tc>
          <w:tcPr>
            <w:tcW w:type="dxa" w:w="235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16"/>
                <w:szCs w:val="16"/>
              </w:rPr>
              <w:t xml:space="preserve">60–74 pts</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 CONDICIONAL</w:t>
            </w:r>
          </w:p>
        </w:tc>
        <w:tc>
          <w:tcPr>
            <w:tcW w:type="dxa" w:w="381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Habilitação condicional. Plano de ação em 30 dias</w:t>
            </w:r>
          </w:p>
        </w:tc>
      </w:tr>
      <w:tr>
        <w:tc>
          <w:tcPr>
            <w:tcW w:type="dxa" w:w="235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16"/>
                <w:szCs w:val="16"/>
              </w:rPr>
              <w:t xml:space="preserve">45–59 pts</w:t>
            </w:r>
          </w:p>
        </w:tc>
        <w:tc>
          <w:tcPr>
            <w:tcW w:type="dxa" w:w="320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 PENDENTE</w:t>
            </w:r>
          </w:p>
        </w:tc>
        <w:tc>
          <w:tcPr>
            <w:tcW w:type="dxa" w:w="3810"/>
            <w:tcBorders>
              <w:top w:val="single" w:color="BFBFBF" w:sz="4"/>
              <w:left w:val="single" w:color="BFBFBF" w:sz="4"/>
              <w:bottom w:val="single" w:color="BFBFBF" w:sz="4"/>
              <w:right w:val="single" w:color="BFBFBF" w:sz="4"/>
            </w:tcBorders>
            <w:shd w:fill="F2F2F2"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Habilitação suspensa. Regularização exigida</w:t>
            </w:r>
          </w:p>
        </w:tc>
      </w:tr>
      <w:tr>
        <w:tc>
          <w:tcPr>
            <w:tcW w:type="dxa" w:w="235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val="false"/>
                <w:bCs w:val="false"/>
                <w:i w:val="false"/>
                <w:iCs w:val="false"/>
                <w:color w:val="1A1A1A"/>
                <w:sz w:val="16"/>
                <w:szCs w:val="16"/>
              </w:rPr>
              <w:t xml:space="preserve">0–44 pts</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center"/>
            </w:pPr>
            <w:r>
              <w:rPr>
                <w:rFonts w:ascii="Arial" w:cs="Arial" w:eastAsia="Arial" w:hAnsi="Arial"/>
                <w:b/>
                <w:bCs/>
                <w:i w:val="false"/>
                <w:iCs w:val="false"/>
                <w:color w:val="1A1A1A"/>
                <w:sz w:val="16"/>
                <w:szCs w:val="16"/>
              </w:rPr>
              <w:t xml:space="preserve">★☆☆☆☆ REPROVADO</w:t>
            </w:r>
          </w:p>
        </w:tc>
        <w:tc>
          <w:tcPr>
            <w:tcW w:type="dxa" w:w="3810"/>
            <w:tcBorders>
              <w:top w:val="single" w:color="BFBFBF" w:sz="4"/>
              <w:left w:val="single" w:color="BFBFBF" w:sz="4"/>
              <w:bottom w:val="single" w:color="BFBFBF" w:sz="4"/>
              <w:right w:val="single" w:color="BFBFBF" w:sz="4"/>
            </w:tcBorders>
            <w:shd w:fill="FFFFFF" w:color="auto" w:val="clear"/>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Inapto. Reavaliação após 90 dias</w:t>
            </w:r>
          </w:p>
        </w:tc>
      </w:tr>
    </w:tbl>
    <w:p>
      <w:pPr>
        <w:spacing w:after="60" w:before="0"/>
      </w:pPr>
    </w:p>
    <w:p>
      <w:pPr>
        <w:spacing w:after="0" w:before="0" w:line="240"/>
        <w:jc w:val="left"/>
      </w:pPr>
      <w:r>
        <w:rPr>
          <w:rFonts w:ascii="Arial" w:cs="Arial" w:eastAsia="Arial" w:hAnsi="Arial"/>
          <w:b w:val="false"/>
          <w:bCs w:val="false"/>
          <w:i/>
          <w:iCs/>
          <w:color w:val="404040"/>
          <w:sz w:val="14"/>
          <w:szCs w:val="14"/>
        </w:rPr>
        <w:t xml:space="preserve">Pontuação apurada sobre os itens CO e CE aplicáveis (o item 14 é de emissão da TMS e não pontua): item plenamente conforme = 1,0 · conformidade parcial = 0,5 · não conforme = 0. Índice composto para o Power BI = 60% × TD-176 + 40% × conformidade documental.</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8B0000" w:color="auto" w:val="clear"/>
            <w:tcMar>
              <w:top w:type="dxa" w:w="55"/>
              <w:left w:type="dxa" w:w="80"/>
              <w:bottom w:type="dxa" w:w="55"/>
              <w:right w:type="dxa" w:w="80"/>
            </w:tcMar>
            <w:vAlign w:val="center"/>
          </w:tcPr>
          <w:p>
            <w:pPr>
              <w:spacing w:after="0" w:before="0" w:line="240"/>
              <w:jc w:val="left"/>
            </w:pPr>
            <w:r>
              <w:rPr>
                <w:rFonts w:ascii="Arial" w:cs="Arial" w:eastAsia="Arial" w:hAnsi="Arial"/>
                <w:b/>
                <w:bCs/>
                <w:i w:val="false"/>
                <w:iCs w:val="false"/>
                <w:color w:val="FFFFFF"/>
                <w:sz w:val="18"/>
                <w:szCs w:val="18"/>
              </w:rPr>
              <w:t xml:space="preserve">6 · RESSALVA LEGAL</w:t>
            </w:r>
          </w:p>
        </w:tc>
      </w:tr>
    </w:tbl>
    <w:p>
      <w:pPr>
        <w:spacing w:after="60" w:before="0"/>
      </w:pPr>
    </w:p>
    <w:p>
      <w:pPr>
        <w:spacing w:after="0" w:before="0" w:line="240"/>
        <w:jc w:val="left"/>
      </w:pPr>
      <w:r>
        <w:rPr>
          <w:rFonts w:ascii="Arial" w:cs="Arial" w:eastAsia="Arial" w:hAnsi="Arial"/>
          <w:b w:val="false"/>
          <w:bCs w:val="false"/>
          <w:i w:val="false"/>
          <w:iCs w:val="false"/>
          <w:color w:val="1A1A1A"/>
          <w:sz w:val="15"/>
          <w:szCs w:val="15"/>
        </w:rPr>
        <w:t xml:space="preserve">A aprovação documental de que trata este checklist tem por único efeito o ingresso do fornecedor no Pool de Fornecedores Habilitados da Pan Marine do Brasil LTDA. NÃO constitui contratação, adjudicação, promessa de contratação, reserva de demanda ou qualquer espécie de compromisso comercial, presente ou futuro, por parte da Pan Marine do Brasil LTDA, do Grupo Tidewater ou da TMS – Training Management Specialists (PGS-002-R-P01, Seção 3). A verificação in loco das instalações e dos processos operacionais não integra o escopo desta avaliação, que se limita ao exame documental.</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_______________________________________</w:t>
            </w:r>
          </w:p>
          <w:p>
            <w:pPr>
              <w:spacing w:after="0" w:before="0" w:line="240"/>
              <w:jc w:val="left"/>
            </w:pPr>
            <w:r>
              <w:rPr>
                <w:rFonts w:ascii="Arial" w:cs="Arial" w:eastAsia="Arial" w:hAnsi="Arial"/>
                <w:b w:val="false"/>
                <w:bCs w:val="false"/>
                <w:i w:val="false"/>
                <w:iCs w:val="false"/>
                <w:color w:val="1A1A1A"/>
                <w:sz w:val="14"/>
                <w:szCs w:val="14"/>
              </w:rPr>
              <w:t xml:space="preserve">Ponto Focal TMS — Qualificação de Fornecedores</w:t>
            </w:r>
          </w:p>
          <w:p>
            <w:pPr>
              <w:spacing w:after="0" w:before="0" w:line="240"/>
              <w:jc w:val="left"/>
            </w:pPr>
            <w:r>
              <w:rPr>
                <w:rFonts w:ascii="Arial" w:cs="Arial" w:eastAsia="Arial" w:hAnsi="Arial"/>
                <w:b w:val="false"/>
                <w:bCs w:val="false"/>
                <w:i w:val="false"/>
                <w:iCs w:val="false"/>
                <w:color w:val="404040"/>
                <w:sz w:val="14"/>
                <w:szCs w:val="14"/>
              </w:rPr>
              <w:t xml:space="preserve">Arthur Lima · arthurlima@tmss.com.br</w:t>
            </w:r>
          </w:p>
        </w:tc>
        <w:tc>
          <w:tcPr>
            <w:tcW w:type="dxa" w:w="4680"/>
            <w:tcBorders>
              <w:top w:val="single" w:color="BFBFBF" w:sz="4"/>
              <w:left w:val="single" w:color="BFBFBF" w:sz="4"/>
              <w:bottom w:val="single" w:color="BFBFBF" w:sz="4"/>
              <w:right w:val="single" w:color="BFBFBF" w:sz="4"/>
            </w:tcBorders>
            <w:tcMar>
              <w:top w:type="dxa" w:w="55"/>
              <w:left w:type="dxa" w:w="80"/>
              <w:bottom w:type="dxa" w:w="55"/>
              <w:right w:type="dxa" w:w="80"/>
            </w:tcMar>
            <w:vAlign w:val="center"/>
          </w:tcPr>
          <w:p>
            <w:pPr>
              <w:spacing w:after="0" w:before="0" w:line="240"/>
              <w:jc w:val="left"/>
            </w:pPr>
            <w:r>
              <w:rPr>
                <w:rFonts w:ascii="Arial" w:cs="Arial" w:eastAsia="Arial" w:hAnsi="Arial"/>
                <w:b w:val="false"/>
                <w:bCs w:val="false"/>
                <w:i w:val="false"/>
                <w:iCs w:val="false"/>
                <w:color w:val="1A1A1A"/>
                <w:sz w:val="16"/>
                <w:szCs w:val="16"/>
              </w:rPr>
              <w:t xml:space="preserve">_______________________________________</w:t>
            </w:r>
          </w:p>
          <w:p>
            <w:pPr>
              <w:spacing w:after="0" w:before="0" w:line="240"/>
              <w:jc w:val="left"/>
            </w:pPr>
            <w:r>
              <w:rPr>
                <w:rFonts w:ascii="Arial" w:cs="Arial" w:eastAsia="Arial" w:hAnsi="Arial"/>
                <w:b w:val="false"/>
                <w:bCs w:val="false"/>
                <w:i w:val="false"/>
                <w:iCs w:val="false"/>
                <w:color w:val="1A1A1A"/>
                <w:sz w:val="14"/>
                <w:szCs w:val="14"/>
              </w:rPr>
              <w:t xml:space="preserve">Representante legal do fornecedor</w:t>
            </w:r>
          </w:p>
          <w:p>
            <w:pPr>
              <w:spacing w:after="0" w:before="0" w:line="240"/>
              <w:jc w:val="left"/>
            </w:pPr>
            <w:r>
              <w:rPr>
                <w:rFonts w:ascii="Arial" w:cs="Arial" w:eastAsia="Arial" w:hAnsi="Arial"/>
                <w:b w:val="false"/>
                <w:bCs w:val="false"/>
                <w:i w:val="false"/>
                <w:iCs w:val="false"/>
                <w:color w:val="404040"/>
                <w:sz w:val="14"/>
                <w:szCs w:val="14"/>
              </w:rPr>
              <w:t xml:space="preserve">Nome / cargo / data</w:t>
            </w:r>
          </w:p>
        </w:tc>
      </w:tr>
    </w:tbl>
    <w:sectPr>
      <w:footerReference w:type="default" r:id="rId7"/>
      <w:pgSz w:w="11906" w:h="16838"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08080"/>
        <w:sz w:val="14"/>
        <w:szCs w:val="14"/>
      </w:rPr>
      <w:t xml:space="preserve">PGS-002-R Rev. B · Checklist Tipo 14 — Propulsão e DP · Rev. 00 · Página </w:t>
    </w:r>
    <w:r>
      <w:rPr>
        <w:rFonts w:ascii="Arial" w:cs="Arial" w:eastAsia="Arial" w:hAnsi="Arial"/>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2026-09-02T21:06:58.316Z</dcterms:created>
  <dcterms:modified xsi:type="dcterms:W3CDTF">2026-09-02T21:06:58.328Z</dcterms:modified>
</cp:coreProperties>
</file>

<file path=docProps/custom.xml><?xml version="1.0" encoding="utf-8"?>
<Properties xmlns="http://schemas.openxmlformats.org/officeDocument/2006/custom-properties" xmlns:vt="http://schemas.openxmlformats.org/officeDocument/2006/docPropsVTypes"/>
</file>