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7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178"/>
      </w:tblGrid>
      <w:tr>
        <w:tc>
          <w:tcPr>
            <w:tcW w:type="dxa" w:w="10178"/>
            <w:shd w:fill="1A1A1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6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NOTIFICAÇÃO DE STATUS DOCUMENTAL</w:t>
            </w:r>
          </w:p>
          <w:p>
            <w:pPr>
              <w:spacing w:after="60" w:before="0" w:line="24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Habilitação de Fornecedor · Pan Marine do Brasil LTDA · PGS-002-R Rev. B</w:t>
            </w:r>
          </w:p>
        </w:tc>
      </w:tr>
      <w:tr>
        <w:tc>
          <w:tcPr>
            <w:tcW w:type="dxa" w:w="10178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ALL PEST CONTROL DEDETIZAÇÕES LTDA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·  TIPO 12 — CONTROLE DE VETORES E PRAGAS  ·  Rev. 01 — 23/09/2026</w:t>
            </w:r>
          </w:p>
        </w:tc>
      </w:tr>
    </w:tbl>
    <w:p>
      <w:pPr>
        <w:spacing w:after="80" w:before="200" w:line="240"/>
      </w:pPr>
      <w:r>
        <w:rPr>
          <w:rFonts w:ascii="Arial" w:cs="Arial" w:eastAsia="Arial" w:hAnsi="Arial"/>
          <w:b/>
          <w:bCs/>
          <w:color w:val="C8102E"/>
          <w:sz w:val="19"/>
          <w:szCs w:val="19"/>
        </w:rPr>
        <w:t xml:space="preserve">1. Identificação do Fornecedor</w:t>
      </w:r>
    </w:p>
    <w:tbl>
      <w:tblPr>
        <w:tblW w:type="dxa" w:w="1017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0"/>
        <w:gridCol w:w="7478"/>
      </w:tblGrid>
      <w:tr>
        <w:tc>
          <w:tcPr>
            <w:tcW w:type="dxa" w:w="2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Razão social</w:t>
            </w:r>
          </w:p>
        </w:tc>
        <w:tc>
          <w:tcPr>
            <w:tcW w:type="dxa" w:w="74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ALL PEST CONTROL DEDETIZAÇÕES LTDA – ME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CNPJ</w:t>
            </w:r>
          </w:p>
        </w:tc>
        <w:tc>
          <w:tcPr>
            <w:tcW w:type="dxa" w:w="74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25.141.678/0001-15 — Matriz · situação ATIVA desde 04/07/2016 · porte ME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Endereço</w:t>
            </w:r>
          </w:p>
        </w:tc>
        <w:tc>
          <w:tcPr>
            <w:tcW w:type="dxa" w:w="74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Rua Virgílio da Costa Fernandes, 115, casa A, Novo Horizonte, Macaé/RJ, CEP 27.935-120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CNAE principal</w:t>
            </w:r>
          </w:p>
        </w:tc>
        <w:tc>
          <w:tcPr>
            <w:tcW w:type="dxa" w:w="74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81.22-2-00 — Imunização e controle de pragas urbanas · secundários incluem 33.17-1-01 (manutenção de embarcações) e 39.00-5-00 (descontaminação)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Categoria PGS-002-R</w:t>
            </w:r>
          </w:p>
        </w:tc>
        <w:tc>
          <w:tcPr>
            <w:tcW w:type="dxa" w:w="74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Tipo 12 — Controle de Vetores e Pragas (21 itens, todos CO)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Responsável legal</w:t>
            </w:r>
          </w:p>
        </w:tc>
        <w:tc>
          <w:tcPr>
            <w:tcW w:type="dxa" w:w="74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Geneci Souza Calmon — responsável pela empresa (conforme PGRS) · 2ª Alteração Contratual (JUCERJA 17/02/2022) confirmada como a última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Responsável técnico</w:t>
            </w:r>
          </w:p>
        </w:tc>
        <w:tc>
          <w:tcPr>
            <w:tcW w:type="dxa" w:w="74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Orlando Salvador Neto (conforme POP 14 e Matriz de Treinamentos 2026) · Técnica de Segurança: Carolina Oliveira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Contato</w:t>
            </w:r>
          </w:p>
        </w:tc>
        <w:tc>
          <w:tcPr>
            <w:tcW w:type="dxa" w:w="74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qsms@allpestdedetizadora.com.br · atendimento@allpestdedetizadora.com.br · (22) 2772-0699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Recebimento dos documentos</w:t>
            </w:r>
          </w:p>
        </w:tc>
        <w:tc>
          <w:tcPr>
            <w:tcW w:type="dxa" w:w="74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Pasta SharePoint TMS (a partir de 25/08/2026) · Termo SMS assinado por e-mail em 14/09/2026 · CRF, PGRS e Manifesto de Resíduo por e-mail em 23/09/2026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Data da avaliação</w:t>
            </w:r>
          </w:p>
        </w:tc>
        <w:tc>
          <w:tcPr>
            <w:tcW w:type="dxa" w:w="74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Rev. 01 — 23/09/2026 (esta) · Rev. 00 — 23/09/2026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Ponto focal</w:t>
            </w:r>
          </w:p>
        </w:tc>
        <w:tc>
          <w:tcPr>
            <w:tcW w:type="dxa" w:w="74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Arthur Lima — TMS Training Management Specialists · arthurlima@tmss.com.br</w:t>
            </w:r>
          </w:p>
        </w:tc>
      </w:tr>
    </w:tbl>
    <w:p>
      <w:pPr>
        <w:spacing w:after="80" w:before="200" w:line="240"/>
      </w:pPr>
      <w:r>
        <w:rPr>
          <w:rFonts w:ascii="Arial" w:cs="Arial" w:eastAsia="Arial" w:hAnsi="Arial"/>
          <w:b/>
          <w:bCs/>
          <w:color w:val="C8102E"/>
          <w:sz w:val="19"/>
          <w:szCs w:val="19"/>
        </w:rPr>
        <w:t xml:space="preserve">2. Legenda de Status</w:t>
      </w:r>
    </w:p>
    <w:tbl>
      <w:tblPr>
        <w:tblW w:type="dxa" w:w="1017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36"/>
        <w:gridCol w:w="2036"/>
        <w:gridCol w:w="2036"/>
        <w:gridCol w:w="2035"/>
        <w:gridCol w:w="2035"/>
      </w:tblGrid>
      <w:tr>
        <w:tc>
          <w:tcPr>
            <w:tcW w:type="dxa" w:w="2036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✓ Recebido — válido/conforme</w:t>
            </w:r>
          </w:p>
        </w:tc>
        <w:tc>
          <w:tcPr>
            <w:tcW w:type="dxa" w:w="2036"/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⚠ Atenção — ajuste ou complemento</w:t>
            </w:r>
          </w:p>
        </w:tc>
        <w:tc>
          <w:tcPr>
            <w:tcW w:type="dxa" w:w="2036"/>
            <w:shd w:fill="FFCDD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✗ Pendente — ausente, vencido ou divergente</w:t>
            </w:r>
          </w:p>
        </w:tc>
        <w:tc>
          <w:tcPr>
            <w:tcW w:type="dxa" w:w="2035"/>
            <w:shd w:fill="E3F2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ℹ TMS — emitido pela TMS</w:t>
            </w:r>
          </w:p>
        </w:tc>
        <w:tc>
          <w:tcPr>
            <w:tcW w:type="dxa" w:w="2035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○ N/A — não aplicável</w:t>
            </w:r>
          </w:p>
        </w:tc>
      </w:tr>
    </w:tbl>
    <w:p>
      <w:pPr>
        <w:spacing w:after="0" w:before="60" w:line="240"/>
      </w:pPr>
      <w:r>
        <w:rPr>
          <w:rFonts w:ascii="Arial" w:cs="Arial" w:eastAsia="Arial" w:hAnsi="Arial"/>
          <w:i/>
          <w:iCs/>
          <w:sz w:val="14"/>
          <w:szCs w:val="14"/>
        </w:rPr>
        <w:t xml:space="preserve">CO = critério obrigatório (a ausência bloqueia a habilitação) · CE = critério de excelência (melhora a pontuação). O checklist Tipo 12 não tem itens CE; o índice é calculado apenas sobre os itens CO (⚠ conta meio ponto).</w:t>
      </w:r>
    </w:p>
    <w:p>
      <w:pPr>
        <w:spacing w:after="80" w:before="200" w:line="240"/>
      </w:pPr>
      <w:r>
        <w:rPr>
          <w:rFonts w:ascii="Arial" w:cs="Arial" w:eastAsia="Arial" w:hAnsi="Arial"/>
          <w:b/>
          <w:bCs/>
          <w:color w:val="C8102E"/>
          <w:sz w:val="19"/>
          <w:szCs w:val="19"/>
        </w:rPr>
        <w:t xml:space="preserve">3. Status Documental Detalhado</w:t>
      </w:r>
    </w:p>
    <w:tbl>
      <w:tblPr>
        <w:tblW w:type="dxa" w:w="1017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92"/>
        <w:gridCol w:w="3806"/>
        <w:gridCol w:w="736"/>
        <w:gridCol w:w="1142"/>
        <w:gridCol w:w="4002"/>
      </w:tblGrid>
      <w:tr>
        <w:tc>
          <w:tcPr>
            <w:tcW w:type="dxa" w:w="10178"/>
            <w:gridSpan w:val="5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BLOCO 1 — QUALIFICAÇÃO (entrega prévia obrigatória)</w:t>
            </w:r>
          </w:p>
        </w:tc>
      </w:tr>
      <w:tr>
        <w:trPr>
          <w:tblHeader w:val="false"/>
        </w:trPr>
        <w:tc>
          <w:tcPr>
            <w:tcW w:type="dxa" w:w="492"/>
            <w:shd w:fill="40404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Nº</w:t>
            </w:r>
          </w:p>
        </w:tc>
        <w:tc>
          <w:tcPr>
            <w:tcW w:type="dxa" w:w="3806"/>
            <w:shd w:fill="40404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Documento exigido</w:t>
            </w:r>
          </w:p>
        </w:tc>
        <w:tc>
          <w:tcPr>
            <w:tcW w:type="dxa" w:w="736"/>
            <w:shd w:fill="40404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type="dxa" w:w="1142"/>
            <w:shd w:fill="40404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Status</w:t>
            </w:r>
          </w:p>
        </w:tc>
        <w:tc>
          <w:tcPr>
            <w:tcW w:type="dxa" w:w="4002"/>
            <w:shd w:fill="40404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Evidência / Observação TMS</w:t>
            </w:r>
          </w:p>
        </w:tc>
      </w:tr>
      <w:tr>
        <w:tc>
          <w:tcPr>
            <w:tcW w:type="dxa" w:w="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</w:t>
            </w:r>
          </w:p>
        </w:tc>
        <w:tc>
          <w:tcPr>
            <w:tcW w:type="dxa" w:w="38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Contrato Social e última alteração consolidada</w:t>
            </w:r>
          </w:p>
        </w:tc>
        <w:tc>
          <w:tcPr>
            <w:tcW w:type="dxa" w:w="736"/>
            <w:shd w:fill="8B000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</w:t>
            </w:r>
          </w:p>
        </w:tc>
        <w:tc>
          <w:tcPr>
            <w:tcW w:type="dxa" w:w="1142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✓ Recebido</w:t>
            </w:r>
          </w:p>
        </w:tc>
        <w:tc>
          <w:tcPr>
            <w:tcW w:type="dxa" w:w="40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2ª Alteração Contratual arquivada na JUCERJA em 17/02/2022 (nº 00004776124), com alteração de endereço e atividades. A All Pest confirmou por e-mail (23/09/2026) que é a última alteração.</w:t>
            </w:r>
          </w:p>
          <w:p>
            <w:pPr>
              <w:spacing w:after="0" w:before="40" w:line="24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Providência: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nenhuma.</w:t>
            </w:r>
          </w:p>
        </w:tc>
      </w:tr>
      <w:tr>
        <w:tc>
          <w:tcPr>
            <w:tcW w:type="dxa" w:w="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type="dxa" w:w="38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Cartão CNPJ atualizado (emissão máx. 90 dias)</w:t>
            </w:r>
          </w:p>
        </w:tc>
        <w:tc>
          <w:tcPr>
            <w:tcW w:type="dxa" w:w="736"/>
            <w:shd w:fill="8B000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</w:t>
            </w:r>
          </w:p>
        </w:tc>
        <w:tc>
          <w:tcPr>
            <w:tcW w:type="dxa" w:w="1142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✓ Recebido</w:t>
            </w:r>
          </w:p>
        </w:tc>
        <w:tc>
          <w:tcPr>
            <w:tcW w:type="dxa" w:w="40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Emitido em 25/08/2026 — situação ATIVA. Dentro dos 90 dias até 23/11/2026.</w:t>
            </w:r>
          </w:p>
          <w:p>
            <w:pPr>
              <w:spacing w:after="0" w:before="40" w:line="24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Providência: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nenhuma.</w:t>
            </w:r>
          </w:p>
        </w:tc>
      </w:tr>
      <w:tr>
        <w:tc>
          <w:tcPr>
            <w:tcW w:type="dxa" w:w="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type="dxa" w:w="38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Alvará de Funcionamento vigente</w:t>
            </w:r>
          </w:p>
        </w:tc>
        <w:tc>
          <w:tcPr>
            <w:tcW w:type="dxa" w:w="736"/>
            <w:shd w:fill="8B000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</w:t>
            </w:r>
          </w:p>
        </w:tc>
        <w:tc>
          <w:tcPr>
            <w:tcW w:type="dxa" w:w="1142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✓ Recebido</w:t>
            </w:r>
          </w:p>
        </w:tc>
        <w:tc>
          <w:tcPr>
            <w:tcW w:type="dxa" w:w="40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Alvará Definitivo — Prefeitura de Macaé, processo 0020221754784, emitido em 25/10/2024, atividade principal 81.22-2-00 (Risco III).</w:t>
            </w:r>
          </w:p>
          <w:p>
            <w:pPr>
              <w:spacing w:after="0" w:before="40" w:line="24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Providência: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nenhuma.</w:t>
            </w:r>
          </w:p>
        </w:tc>
      </w:tr>
      <w:tr>
        <w:tc>
          <w:tcPr>
            <w:tcW w:type="dxa" w:w="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type="dxa" w:w="38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Alvará Sanitário (Vigilância Sanitária) vigente</w:t>
            </w:r>
          </w:p>
        </w:tc>
        <w:tc>
          <w:tcPr>
            <w:tcW w:type="dxa" w:w="736"/>
            <w:shd w:fill="8B000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</w:t>
            </w:r>
          </w:p>
        </w:tc>
        <w:tc>
          <w:tcPr>
            <w:tcW w:type="dxa" w:w="1142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✓ Recebido</w:t>
            </w:r>
          </w:p>
        </w:tc>
        <w:tc>
          <w:tcPr>
            <w:tcW w:type="dxa" w:w="40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Licença da Vigilância Sanitária vigente até 27/01/2027 (documento digitalizado, conferido visualmente pela TMS).</w:t>
            </w:r>
          </w:p>
          <w:p>
            <w:pPr>
              <w:spacing w:after="0" w:before="40" w:line="24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Providência: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nenhuma.</w:t>
            </w:r>
          </w:p>
        </w:tc>
      </w:tr>
      <w:tr>
        <w:tc>
          <w:tcPr>
            <w:tcW w:type="dxa" w:w="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5</w:t>
            </w:r>
          </w:p>
        </w:tc>
        <w:tc>
          <w:tcPr>
            <w:tcW w:type="dxa" w:w="38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Licença Ambiental vigente (quando aplicável)</w:t>
            </w:r>
          </w:p>
        </w:tc>
        <w:tc>
          <w:tcPr>
            <w:tcW w:type="dxa" w:w="736"/>
            <w:shd w:fill="8B000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</w:t>
            </w:r>
          </w:p>
        </w:tc>
        <w:tc>
          <w:tcPr>
            <w:tcW w:type="dxa" w:w="1142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✓ Recebido</w:t>
            </w:r>
          </w:p>
        </w:tc>
        <w:tc>
          <w:tcPr>
            <w:tcW w:type="dxa" w:w="40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Certificado de Controle de Agrotóxicos — CTA nº IN1234373 (INEA), para armazenamento e manipulação de saneantes desinfestantes, válido em todo o Estado do RJ até 03/09/2030.</w:t>
            </w:r>
          </w:p>
          <w:p>
            <w:pPr>
              <w:spacing w:after="0" w:before="40" w:line="24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Providência: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nenhuma.</w:t>
            </w:r>
          </w:p>
        </w:tc>
      </w:tr>
      <w:tr>
        <w:tc>
          <w:tcPr>
            <w:tcW w:type="dxa" w:w="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6</w:t>
            </w:r>
          </w:p>
        </w:tc>
        <w:tc>
          <w:tcPr>
            <w:tcW w:type="dxa" w:w="38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CTF/APP — Cadastro Técnico Federal IBAMA</w:t>
            </w:r>
          </w:p>
        </w:tc>
        <w:tc>
          <w:tcPr>
            <w:tcW w:type="dxa" w:w="736"/>
            <w:shd w:fill="8B000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</w:t>
            </w:r>
          </w:p>
        </w:tc>
        <w:tc>
          <w:tcPr>
            <w:tcW w:type="dxa" w:w="1142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✓ Recebido</w:t>
            </w:r>
          </w:p>
        </w:tc>
        <w:tc>
          <w:tcPr>
            <w:tcW w:type="dxa" w:w="40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Certificado de Regularidade nº 6645768 (atividades 21-47 e 21-59), emitido em 09/07/2026, válido até 09/10/2026.</w:t>
            </w:r>
          </w:p>
          <w:p>
            <w:pPr>
              <w:spacing w:after="0" w:before="40" w:line="24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Providência: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enviar o Certificado de Regularidade renovado após 09/10/2026.</w:t>
            </w:r>
          </w:p>
        </w:tc>
      </w:tr>
      <w:tr>
        <w:tc>
          <w:tcPr>
            <w:tcW w:type="dxa" w:w="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7</w:t>
            </w:r>
          </w:p>
        </w:tc>
        <w:tc>
          <w:tcPr>
            <w:tcW w:type="dxa" w:w="38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Registro do responsável técnico no conselho de classe</w:t>
            </w:r>
          </w:p>
        </w:tc>
        <w:tc>
          <w:tcPr>
            <w:tcW w:type="dxa" w:w="736"/>
            <w:shd w:fill="8B000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</w:t>
            </w:r>
          </w:p>
        </w:tc>
        <w:tc>
          <w:tcPr>
            <w:tcW w:type="dxa" w:w="1142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✓ Recebido</w:t>
            </w:r>
          </w:p>
        </w:tc>
        <w:tc>
          <w:tcPr>
            <w:tcW w:type="dxa" w:w="40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CRBio-02 — Certificado de Inscrição de Empresa e TRT nº 00613/2026-02 (registro 3807-02/2022), status ATIVO, válido até 31/03/2027. RT: Orlando Salvador Neto, CRBio-02 nº 071768/02 (controle de vetores e pragas).</w:t>
            </w:r>
          </w:p>
          <w:p>
            <w:pPr>
              <w:spacing w:after="0" w:before="40" w:line="24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Providência: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nenhuma.</w:t>
            </w:r>
          </w:p>
        </w:tc>
      </w:tr>
      <w:tr>
        <w:tc>
          <w:tcPr>
            <w:tcW w:type="dxa" w:w="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8</w:t>
            </w:r>
          </w:p>
        </w:tc>
        <w:tc>
          <w:tcPr>
            <w:tcW w:type="dxa" w:w="38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FISPQ / FDS dos produtos químicos utilizados</w:t>
            </w:r>
          </w:p>
        </w:tc>
        <w:tc>
          <w:tcPr>
            <w:tcW w:type="dxa" w:w="736"/>
            <w:shd w:fill="8B000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</w:t>
            </w:r>
          </w:p>
        </w:tc>
        <w:tc>
          <w:tcPr>
            <w:tcW w:type="dxa" w:w="1142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✓ Recebido</w:t>
            </w:r>
          </w:p>
        </w:tc>
        <w:tc>
          <w:tcPr>
            <w:tcW w:type="dxa" w:w="40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FDS dos 5 produtos do portfólio: Alfamax 50 SC, DDMAX 1000 CE, D'Fim Gel Baraticida, Papa Ratos e Scre4m (ex.: FDS Scre4m Rev. 02 de 27/02/2025, ABNT NBR 14725:2023).</w:t>
            </w:r>
          </w:p>
          <w:p>
            <w:pPr>
              <w:spacing w:after="0" w:before="40" w:line="24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Providência: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nenhuma.</w:t>
            </w:r>
          </w:p>
        </w:tc>
      </w:tr>
      <w:tr>
        <w:tc>
          <w:tcPr>
            <w:tcW w:type="dxa" w:w="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9</w:t>
            </w:r>
          </w:p>
        </w:tc>
        <w:tc>
          <w:tcPr>
            <w:tcW w:type="dxa" w:w="38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Comprovante de registro dos produtos no MS / ANVISA</w:t>
            </w:r>
          </w:p>
        </w:tc>
        <w:tc>
          <w:tcPr>
            <w:tcW w:type="dxa" w:w="736"/>
            <w:shd w:fill="8B000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</w:t>
            </w:r>
          </w:p>
        </w:tc>
        <w:tc>
          <w:tcPr>
            <w:tcW w:type="dxa" w:w="1142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✓ Recebido</w:t>
            </w:r>
          </w:p>
        </w:tc>
        <w:tc>
          <w:tcPr>
            <w:tcW w:type="dxa" w:w="40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Consultas ANVISA dos 5 produtos, todos ATIVOS: Alfamax 50 SC (reg. 327810057, venc. 09/02/2029), DDMAX 1000 CE (327810050, 28/07/2029), D'Fim Gel (327810056, 09/02/2030), Papa Ratos (334280007, 07/10/2028) e Scre4m (327810085, 02/08/2031).</w:t>
            </w:r>
          </w:p>
          <w:p>
            <w:pPr>
              <w:spacing w:after="0" w:before="40" w:line="24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Providência: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nenhuma.</w:t>
            </w:r>
          </w:p>
        </w:tc>
      </w:tr>
      <w:tr>
        <w:tc>
          <w:tcPr>
            <w:tcW w:type="dxa" w:w="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10</w:t>
            </w:r>
          </w:p>
        </w:tc>
        <w:tc>
          <w:tcPr>
            <w:tcW w:type="dxa" w:w="38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PGR (NR-01) vigente</w:t>
            </w:r>
          </w:p>
        </w:tc>
        <w:tc>
          <w:tcPr>
            <w:tcW w:type="dxa" w:w="736"/>
            <w:shd w:fill="8B000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</w:t>
            </w:r>
          </w:p>
        </w:tc>
        <w:tc>
          <w:tcPr>
            <w:tcW w:type="dxa" w:w="1142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✓ Recebido</w:t>
            </w:r>
          </w:p>
        </w:tc>
        <w:tc>
          <w:tcPr>
            <w:tcW w:type="dxa" w:w="40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PGR Onshore/Offshore com vigência de 03/11/2025 a 03/11/2027; grau de risco 3 (adota grau 4 nas instalações do cliente).</w:t>
            </w:r>
          </w:p>
          <w:p>
            <w:pPr>
              <w:spacing w:after="0" w:before="40" w:line="24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Providência: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nenhuma.</w:t>
            </w:r>
          </w:p>
        </w:tc>
      </w:tr>
      <w:tr>
        <w:tc>
          <w:tcPr>
            <w:tcW w:type="dxa" w:w="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11</w:t>
            </w:r>
          </w:p>
        </w:tc>
        <w:tc>
          <w:tcPr>
            <w:tcW w:type="dxa" w:w="38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PCMSO (NR-07) vigente</w:t>
            </w:r>
          </w:p>
        </w:tc>
        <w:tc>
          <w:tcPr>
            <w:tcW w:type="dxa" w:w="736"/>
            <w:shd w:fill="8B000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</w:t>
            </w:r>
          </w:p>
        </w:tc>
        <w:tc>
          <w:tcPr>
            <w:tcW w:type="dxa" w:w="1142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✓ Recebido</w:t>
            </w:r>
          </w:p>
        </w:tc>
        <w:tc>
          <w:tcPr>
            <w:tcW w:type="dxa" w:w="40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PCMSO Rev. 5.0 de 07/11/2025, baseado no PGR 2025–2027.</w:t>
            </w:r>
          </w:p>
          <w:p>
            <w:pPr>
              <w:spacing w:after="0" w:before="40" w:line="24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Providência: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nenhuma.</w:t>
            </w:r>
          </w:p>
        </w:tc>
      </w:tr>
      <w:tr>
        <w:tc>
          <w:tcPr>
            <w:tcW w:type="dxa" w:w="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12</w:t>
            </w:r>
          </w:p>
        </w:tc>
        <w:tc>
          <w:tcPr>
            <w:tcW w:type="dxa" w:w="38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Certidão de Regularidade FGTS (CRF) válida</w:t>
            </w:r>
          </w:p>
        </w:tc>
        <w:tc>
          <w:tcPr>
            <w:tcW w:type="dxa" w:w="736"/>
            <w:shd w:fill="8B000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</w:t>
            </w:r>
          </w:p>
        </w:tc>
        <w:tc>
          <w:tcPr>
            <w:tcW w:type="dxa" w:w="1142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✓ Recebido</w:t>
            </w:r>
          </w:p>
        </w:tc>
        <w:tc>
          <w:tcPr>
            <w:tcW w:type="dxa" w:w="40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CRF nº 2026091011383658528749 (Caixa), validade de 10/09/2026 a 09/10/2026 — situação regular. Recebida em 23/09/2026 (substitui a CRF vencida em 15/09/2026).</w:t>
            </w:r>
          </w:p>
          <w:p>
            <w:pPr>
              <w:spacing w:after="0" w:before="40" w:line="24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Providência: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enviar a CRF renovada após 09/10/2026.</w:t>
            </w:r>
          </w:p>
        </w:tc>
      </w:tr>
      <w:tr>
        <w:tc>
          <w:tcPr>
            <w:tcW w:type="dxa" w:w="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13</w:t>
            </w:r>
          </w:p>
        </w:tc>
        <w:tc>
          <w:tcPr>
            <w:tcW w:type="dxa" w:w="38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Certidão Negativa de Débitos Federais (CND / PGFN) válida</w:t>
            </w:r>
          </w:p>
        </w:tc>
        <w:tc>
          <w:tcPr>
            <w:tcW w:type="dxa" w:w="736"/>
            <w:shd w:fill="8B000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</w:t>
            </w:r>
          </w:p>
        </w:tc>
        <w:tc>
          <w:tcPr>
            <w:tcW w:type="dxa" w:w="1142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✓ Recebido</w:t>
            </w:r>
          </w:p>
        </w:tc>
        <w:tc>
          <w:tcPr>
            <w:tcW w:type="dxa" w:w="40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Certidão Positiva com Efeitos de Negativa, válida até 13/10/2026 (sem inscrição em Dívida Ativa).</w:t>
            </w:r>
          </w:p>
          <w:p>
            <w:pPr>
              <w:spacing w:after="0" w:before="40" w:line="24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Providência: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enviar a certidão renovada após 13/10/2026.</w:t>
            </w:r>
          </w:p>
        </w:tc>
      </w:tr>
      <w:tr>
        <w:tc>
          <w:tcPr>
            <w:tcW w:type="dxa" w:w="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14</w:t>
            </w:r>
          </w:p>
        </w:tc>
        <w:tc>
          <w:tcPr>
            <w:tcW w:type="dxa" w:w="38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Certidão Negativa de Débitos Trabalhistas (CNDT) válida</w:t>
            </w:r>
          </w:p>
        </w:tc>
        <w:tc>
          <w:tcPr>
            <w:tcW w:type="dxa" w:w="736"/>
            <w:shd w:fill="8B000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</w:t>
            </w:r>
          </w:p>
        </w:tc>
        <w:tc>
          <w:tcPr>
            <w:tcW w:type="dxa" w:w="1142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✓ Recebido</w:t>
            </w:r>
          </w:p>
        </w:tc>
        <w:tc>
          <w:tcPr>
            <w:tcW w:type="dxa" w:w="40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Certidão nº 70776460/2026, válida até 15/02/2027.</w:t>
            </w:r>
          </w:p>
          <w:p>
            <w:pPr>
              <w:spacing w:after="0" w:before="40" w:line="24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Providência: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nenhuma.</w:t>
            </w:r>
          </w:p>
        </w:tc>
      </w:tr>
      <w:tr>
        <w:tc>
          <w:tcPr>
            <w:tcW w:type="dxa" w:w="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15</w:t>
            </w:r>
          </w:p>
        </w:tc>
        <w:tc>
          <w:tcPr>
            <w:tcW w:type="dxa" w:w="38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Procedimento Operacional Padrão (POP) das atividades de controle</w:t>
            </w:r>
          </w:p>
        </w:tc>
        <w:tc>
          <w:tcPr>
            <w:tcW w:type="dxa" w:w="736"/>
            <w:shd w:fill="8B000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</w:t>
            </w:r>
          </w:p>
        </w:tc>
        <w:tc>
          <w:tcPr>
            <w:tcW w:type="dxa" w:w="1142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✓ Recebido</w:t>
            </w:r>
          </w:p>
        </w:tc>
        <w:tc>
          <w:tcPr>
            <w:tcW w:type="dxa" w:w="40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POP 14 — MIP (Manejo Integrado de Pragas), Rev. 02 de 17/09/2022: desratização, aplicação de calda, isca, aerossol e pó.</w:t>
            </w:r>
          </w:p>
          <w:p>
            <w:pPr>
              <w:spacing w:after="0" w:before="40" w:line="24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Providência: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nenhuma.</w:t>
            </w:r>
          </w:p>
        </w:tc>
      </w:tr>
      <w:tr>
        <w:tc>
          <w:tcPr>
            <w:tcW w:type="dxa" w:w="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16</w:t>
            </w:r>
          </w:p>
        </w:tc>
        <w:tc>
          <w:tcPr>
            <w:tcW w:type="dxa" w:w="38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Termo de Compromisso SMS (PGS-002G-C)</w:t>
            </w:r>
          </w:p>
        </w:tc>
        <w:tc>
          <w:tcPr>
            <w:tcW w:type="dxa" w:w="736"/>
            <w:shd w:fill="8B000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</w:t>
            </w:r>
          </w:p>
        </w:tc>
        <w:tc>
          <w:tcPr>
            <w:tcW w:type="dxa" w:w="1142"/>
            <w:shd w:fill="E3F2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ℹ TMS</w:t>
            </w:r>
          </w:p>
        </w:tc>
        <w:tc>
          <w:tcPr>
            <w:tcW w:type="dxa" w:w="40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Documento emitido pela TMS; devolvido assinado pela All Pest em 14/09/2026.</w:t>
            </w:r>
          </w:p>
          <w:p>
            <w:pPr>
              <w:spacing w:after="0" w:before="40" w:line="24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Providência: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nenhuma.</w:t>
            </w:r>
          </w:p>
        </w:tc>
      </w:tr>
      <w:tr>
        <w:tc>
          <w:tcPr>
            <w:tcW w:type="dxa" w:w="10178"/>
            <w:gridSpan w:val="5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BLOCO 2 — VERIFICAÇÃO OPERACIONAL (documental TMS; visita in loco pela Pan Marine)</w:t>
            </w:r>
          </w:p>
        </w:tc>
      </w:tr>
      <w:tr>
        <w:trPr>
          <w:tblHeader w:val="false"/>
        </w:trPr>
        <w:tc>
          <w:tcPr>
            <w:tcW w:type="dxa" w:w="492"/>
            <w:shd w:fill="40404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Nº</w:t>
            </w:r>
          </w:p>
        </w:tc>
        <w:tc>
          <w:tcPr>
            <w:tcW w:type="dxa" w:w="3806"/>
            <w:shd w:fill="40404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Documento exigido</w:t>
            </w:r>
          </w:p>
        </w:tc>
        <w:tc>
          <w:tcPr>
            <w:tcW w:type="dxa" w:w="736"/>
            <w:shd w:fill="40404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type="dxa" w:w="1142"/>
            <w:shd w:fill="40404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Status</w:t>
            </w:r>
          </w:p>
        </w:tc>
        <w:tc>
          <w:tcPr>
            <w:tcW w:type="dxa" w:w="4002"/>
            <w:shd w:fill="40404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Evidência / Observação TMS</w:t>
            </w:r>
          </w:p>
        </w:tc>
      </w:tr>
      <w:tr>
        <w:tc>
          <w:tcPr>
            <w:tcW w:type="dxa" w:w="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17</w:t>
            </w:r>
          </w:p>
        </w:tc>
        <w:tc>
          <w:tcPr>
            <w:tcW w:type="dxa" w:w="38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ASO dos aplicadores com aptidão para produtos químicos (NR-07)</w:t>
            </w:r>
          </w:p>
        </w:tc>
        <w:tc>
          <w:tcPr>
            <w:tcW w:type="dxa" w:w="736"/>
            <w:shd w:fill="8B000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</w:t>
            </w:r>
          </w:p>
        </w:tc>
        <w:tc>
          <w:tcPr>
            <w:tcW w:type="dxa" w:w="1142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✓ Recebido</w:t>
            </w:r>
          </w:p>
        </w:tc>
        <w:tc>
          <w:tcPr>
            <w:tcW w:type="dxa" w:w="40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 ASO aptos, com acetilcolinesterase (risco organofosforado): Genyfer dos Santos Cordeiro (válido até 29/06/2027), Alex Sandro Bastos de Sousa (24/02/2027) e Janilton Pereira dos Santos Junior (02/12/2026 — apto também para embarque).</w:t>
            </w:r>
          </w:p>
          <w:p>
            <w:pPr>
              <w:spacing w:after="0" w:before="40" w:line="24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Providência: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renovar o ASO de Janilton antes de 02/12/2026.</w:t>
            </w:r>
          </w:p>
        </w:tc>
      </w:tr>
      <w:tr>
        <w:tc>
          <w:tcPr>
            <w:tcW w:type="dxa" w:w="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18</w:t>
            </w:r>
          </w:p>
        </w:tc>
        <w:tc>
          <w:tcPr>
            <w:tcW w:type="dxa" w:w="38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Comprovante de uso exclusivo de produtos registrados no MS</w:t>
            </w:r>
          </w:p>
        </w:tc>
        <w:tc>
          <w:tcPr>
            <w:tcW w:type="dxa" w:w="736"/>
            <w:shd w:fill="8B000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</w:t>
            </w:r>
          </w:p>
        </w:tc>
        <w:tc>
          <w:tcPr>
            <w:tcW w:type="dxa" w:w="1142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✓ Recebido</w:t>
            </w:r>
          </w:p>
        </w:tc>
        <w:tc>
          <w:tcPr>
            <w:tcW w:type="dxa" w:w="40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Os 5 produtos do portfólio têm FDS e registro ANVISA ativo (ver itens 8 e 9). O CTA do INEA também restringe o uso a produtos registrados. Confirmação em campo na verificação in loco.</w:t>
            </w:r>
          </w:p>
          <w:p>
            <w:pPr>
              <w:spacing w:after="0" w:before="40" w:line="24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Providência: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nenhuma.</w:t>
            </w:r>
          </w:p>
        </w:tc>
      </w:tr>
      <w:tr>
        <w:tc>
          <w:tcPr>
            <w:tcW w:type="dxa" w:w="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19</w:t>
            </w:r>
          </w:p>
        </w:tc>
        <w:tc>
          <w:tcPr>
            <w:tcW w:type="dxa" w:w="38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Plano de Emergência para acidentes com produtos químicos</w:t>
            </w:r>
          </w:p>
        </w:tc>
        <w:tc>
          <w:tcPr>
            <w:tcW w:type="dxa" w:w="736"/>
            <w:shd w:fill="8B000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</w:t>
            </w:r>
          </w:p>
        </w:tc>
        <w:tc>
          <w:tcPr>
            <w:tcW w:type="dxa" w:w="1142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✓ Recebido</w:t>
            </w:r>
          </w:p>
        </w:tc>
        <w:tc>
          <w:tcPr>
            <w:tcW w:type="dxa" w:w="40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Plano específico: derramamento, exposição do trabalhador, acidente no transporte, incêndio e kit de emergência.</w:t>
            </w:r>
          </w:p>
          <w:p>
            <w:pPr>
              <w:spacing w:after="0" w:before="40" w:line="24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Providência: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nenhuma.</w:t>
            </w:r>
          </w:p>
        </w:tc>
      </w:tr>
      <w:tr>
        <w:tc>
          <w:tcPr>
            <w:tcW w:type="dxa" w:w="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20</w:t>
            </w:r>
          </w:p>
        </w:tc>
        <w:tc>
          <w:tcPr>
            <w:tcW w:type="dxa" w:w="38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Sistemática de estoque e controle dos produtos (FIFO, temperatura, segregação)</w:t>
            </w:r>
          </w:p>
        </w:tc>
        <w:tc>
          <w:tcPr>
            <w:tcW w:type="dxa" w:w="736"/>
            <w:shd w:fill="8B000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</w:t>
            </w:r>
          </w:p>
        </w:tc>
        <w:tc>
          <w:tcPr>
            <w:tcW w:type="dxa" w:w="1142"/>
            <w:shd w:fill="FFCDD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✗ Pendente</w:t>
            </w:r>
          </w:p>
        </w:tc>
        <w:tc>
          <w:tcPr>
            <w:tcW w:type="dxa" w:w="40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 All Pest declarou o item não aplicável e enviou o PGRS (nov/2022) e o MTR nº 2118569166 (18/08/2026), com transporte pela Intersea. Esses documentos tratam dos RESÍDUOS (embalagens e materiais contaminados) e não do ESTOQUE de produtos em uso. O item continua aplicável: o CTA nº IN1234373 do INEA autoriza a All Pest a armazenar e manipular saneantes em depósito próprio, e o controle desse estoque é de responsabilidade da empresa, não da transportadora de resíduos.</w:t>
            </w:r>
          </w:p>
          <w:p>
            <w:pPr>
              <w:spacing w:after="0" w:before="40" w:line="24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Providência: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preencher e assinar (Responsável Técnico) a Declaração de Sistemática de Armazenamento e Controle de Estoque — modelo TMS anexo — com uma ficha de controle preenchida como evidência.</w:t>
            </w:r>
          </w:p>
        </w:tc>
      </w:tr>
      <w:tr>
        <w:tc>
          <w:tcPr>
            <w:tcW w:type="dxa" w:w="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21</w:t>
            </w:r>
          </w:p>
        </w:tc>
        <w:tc>
          <w:tcPr>
            <w:tcW w:type="dxa" w:w="38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Registros de treinamento dos funcionários (últimos 12 meses)</w:t>
            </w:r>
          </w:p>
        </w:tc>
        <w:tc>
          <w:tcPr>
            <w:tcW w:type="dxa" w:w="736"/>
            <w:shd w:fill="8B000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</w:t>
            </w:r>
          </w:p>
        </w:tc>
        <w:tc>
          <w:tcPr>
            <w:tcW w:type="dxa" w:w="1142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✓ Recebido</w:t>
            </w:r>
          </w:p>
        </w:tc>
        <w:tc>
          <w:tcPr>
            <w:tcW w:type="dxa" w:w="40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Matriz Anual de Treinamentos 2026 e certificados de capacitação anual de 16 h dos 3 aplicadores: Genyfer (05–06/01/2026), Alex Sandro (07–08/04/2026) e Janilton (amostragem aceita).</w:t>
            </w:r>
          </w:p>
          <w:p>
            <w:pPr>
              <w:spacing w:after="0" w:before="40" w:line="24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Providência: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nenhuma.</w:t>
            </w:r>
          </w:p>
        </w:tc>
      </w:tr>
    </w:tbl>
    <w:p>
      <w:pPr>
        <w:spacing w:after="80" w:before="200" w:line="240"/>
      </w:pPr>
      <w:r>
        <w:rPr>
          <w:rFonts w:ascii="Arial" w:cs="Arial" w:eastAsia="Arial" w:hAnsi="Arial"/>
          <w:b/>
          <w:bCs/>
          <w:color w:val="C8102E"/>
          <w:sz w:val="19"/>
          <w:szCs w:val="19"/>
        </w:rPr>
        <w:t xml:space="preserve">4. Resumo Executivo</w:t>
      </w:r>
    </w:p>
    <w:tbl>
      <w:tblPr>
        <w:tblW w:type="dxa" w:w="1017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200"/>
        <w:gridCol w:w="3978"/>
      </w:tblGrid>
      <w:tr>
        <w:tc>
          <w:tcPr>
            <w:tcW w:type="dxa" w:w="6200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✓ Recebido — válido/conforme</w:t>
            </w:r>
          </w:p>
        </w:tc>
        <w:tc>
          <w:tcPr>
            <w:tcW w:type="dxa" w:w="39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19</w:t>
            </w:r>
          </w:p>
        </w:tc>
      </w:tr>
      <w:tr>
        <w:tc>
          <w:tcPr>
            <w:tcW w:type="dxa" w:w="6200"/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⚠ Atenção</w:t>
            </w:r>
          </w:p>
        </w:tc>
        <w:tc>
          <w:tcPr>
            <w:tcW w:type="dxa" w:w="39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6200"/>
            <w:shd w:fill="FFCDD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✗ Pendente (CO)</w:t>
            </w:r>
          </w:p>
        </w:tc>
        <w:tc>
          <w:tcPr>
            <w:tcW w:type="dxa" w:w="39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 — item 20</w:t>
            </w:r>
          </w:p>
        </w:tc>
      </w:tr>
      <w:tr>
        <w:tc>
          <w:tcPr>
            <w:tcW w:type="dxa" w:w="6200"/>
            <w:shd w:fill="E3F2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ℹ TMS</w:t>
            </w:r>
          </w:p>
        </w:tc>
        <w:tc>
          <w:tcPr>
            <w:tcW w:type="dxa" w:w="39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6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Total de itens avaliados</w:t>
            </w:r>
          </w:p>
        </w:tc>
        <w:tc>
          <w:tcPr>
            <w:tcW w:type="dxa" w:w="39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21</w:t>
            </w:r>
          </w:p>
        </w:tc>
      </w:tr>
      <w:tr>
        <w:tc>
          <w:tcPr>
            <w:tcW w:type="dxa" w:w="6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Índice derivado de conformidade (CO × 100)</w:t>
            </w:r>
          </w:p>
        </w:tc>
        <w:tc>
          <w:tcPr>
            <w:tcW w:type="dxa" w:w="39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95,2</w:t>
            </w:r>
          </w:p>
        </w:tc>
      </w:tr>
      <w:tr>
        <w:tc>
          <w:tcPr>
            <w:tcW w:type="dxa" w:w="6200"/>
            <w:shd w:fill="C8102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Classificação (PGS-002-R)</w:t>
            </w:r>
          </w:p>
        </w:tc>
        <w:tc>
          <w:tcPr>
            <w:tcW w:type="dxa" w:w="3978"/>
            <w:shd w:fill="C8102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🔴 PENDENTE — faixa ★★★★★</w:t>
            </w:r>
          </w:p>
        </w:tc>
      </w:tr>
    </w:tbl>
    <w:p>
      <w:pPr>
        <w:spacing w:after="0" w:before="60" w:line="240"/>
      </w:pPr>
      <w:r>
        <w:rPr>
          <w:rFonts w:ascii="Arial" w:cs="Arial" w:eastAsia="Arial" w:hAnsi="Arial"/>
          <w:i/>
          <w:iCs/>
          <w:sz w:val="14"/>
          <w:szCs w:val="14"/>
        </w:rPr>
        <w:t xml:space="preserve">Nota metodológica: índice = (✓ + ℹ + 0,5 × ⚠) ÷ 21 itens × 100. A faixa de pontos (95,2) corresponderia a ★★★★★ (90–100), mas pela regra do PGS-002-R a ausência de qualquer item CO (item 20) mantém o status PENDENTE, com habilitação suspensa até a regularização.</w:t>
      </w:r>
    </w:p>
    <w:p>
      <w:pPr>
        <w:spacing w:after="80" w:before="200" w:line="240"/>
      </w:pPr>
      <w:r>
        <w:rPr>
          <w:rFonts w:ascii="Arial" w:cs="Arial" w:eastAsia="Arial" w:hAnsi="Arial"/>
          <w:b/>
          <w:bCs/>
          <w:color w:val="C8102E"/>
          <w:sz w:val="19"/>
          <w:szCs w:val="19"/>
        </w:rPr>
        <w:t xml:space="preserve">5. Pendências e Itens de Atenção</w:t>
      </w:r>
    </w:p>
    <w:p>
      <w:pPr>
        <w:spacing w:after="80" w:before="0" w:line="240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Prazos: </w:t>
      </w:r>
      <w:r>
        <w:rPr>
          <w:rFonts w:ascii="Arial" w:cs="Arial" w:eastAsia="Arial" w:hAnsi="Arial"/>
          <w:b/>
          <w:bCs/>
          <w:sz w:val="15"/>
          <w:szCs w:val="15"/>
        </w:rPr>
        <w:t xml:space="preserve">item 20 até 23/10/2026. A inclusão no Pool de Fornecedores Habilitados não constitui contratação, adjudicação ou compromisso comercial da Pan Marine do Brasil LTDA, do Grupo Tidewater ou da TMS (PGS-002-R-P01, Seção 3).</w:t>
      </w:r>
    </w:p>
    <w:tbl>
      <w:tblPr>
        <w:tblW w:type="dxa" w:w="1017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00"/>
        <w:gridCol w:w="700"/>
        <w:gridCol w:w="2300"/>
        <w:gridCol w:w="6578"/>
      </w:tblGrid>
      <w:tr>
        <w:tc>
          <w:tcPr>
            <w:tcW w:type="dxa" w:w="600"/>
            <w:shd w:fill="40404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Item</w:t>
            </w:r>
          </w:p>
        </w:tc>
        <w:tc>
          <w:tcPr>
            <w:tcW w:type="dxa" w:w="700"/>
            <w:shd w:fill="40404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Status</w:t>
            </w:r>
          </w:p>
        </w:tc>
        <w:tc>
          <w:tcPr>
            <w:tcW w:type="dxa" w:w="2300"/>
            <w:shd w:fill="40404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Documento</w:t>
            </w:r>
          </w:p>
        </w:tc>
        <w:tc>
          <w:tcPr>
            <w:tcW w:type="dxa" w:w="6578"/>
            <w:shd w:fill="40404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Ação necessária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20</w:t>
            </w:r>
          </w:p>
        </w:tc>
        <w:tc>
          <w:tcPr>
            <w:tcW w:type="dxa" w:w="700"/>
            <w:shd w:fill="FFCDD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✗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Sistemática de estoque</w:t>
            </w:r>
          </w:p>
        </w:tc>
        <w:tc>
          <w:tcPr>
            <w:tcW w:type="dxa" w:w="6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Preencher e assinar a Declaração de Sistemática de Armazenamento e Controle de Estoque (modelo TMS anexo), com uma ficha de controle preenchida. PGRS e MTR não atendem este item: tratam de resíduos, não do estoque de produtos.</w:t>
            </w:r>
          </w:p>
        </w:tc>
      </w:tr>
    </w:tbl>
    <w:p>
      <w:pPr>
        <w:spacing w:after="60" w:before="120" w:line="240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Monitoramento (sem ação imediata)</w:t>
      </w:r>
    </w:p>
    <w:tbl>
      <w:tblPr>
        <w:tblW w:type="dxa" w:w="1017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00"/>
        <w:gridCol w:w="2300"/>
        <w:gridCol w:w="7278"/>
      </w:tblGrid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12</w:t>
            </w:r>
          </w:p>
        </w:tc>
        <w:tc>
          <w:tcPr>
            <w:tcW w:type="dxa" w:w="2300"/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CRF / FGTS</w:t>
            </w:r>
          </w:p>
        </w:tc>
        <w:tc>
          <w:tcPr>
            <w:tcW w:type="dxa" w:w="72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Válida até 09/10/2026 — enviar a renovada.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6</w:t>
            </w:r>
          </w:p>
        </w:tc>
        <w:tc>
          <w:tcPr>
            <w:tcW w:type="dxa" w:w="2300"/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CTF/APP IBAMA</w:t>
            </w:r>
          </w:p>
        </w:tc>
        <w:tc>
          <w:tcPr>
            <w:tcW w:type="dxa" w:w="72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Certificado de Regularidade vence em 09/10/2026 — enviar o renovado.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13</w:t>
            </w:r>
          </w:p>
        </w:tc>
        <w:tc>
          <w:tcPr>
            <w:tcW w:type="dxa" w:w="2300"/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CND Federal</w:t>
            </w:r>
          </w:p>
        </w:tc>
        <w:tc>
          <w:tcPr>
            <w:tcW w:type="dxa" w:w="72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Válida até 13/10/2026 — enviar a renovada.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17</w:t>
            </w:r>
          </w:p>
        </w:tc>
        <w:tc>
          <w:tcPr>
            <w:tcW w:type="dxa" w:w="2300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ASO Janilton</w:t>
            </w:r>
          </w:p>
        </w:tc>
        <w:tc>
          <w:tcPr>
            <w:tcW w:type="dxa" w:w="72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Vence em 02/12/2026.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7</w:t>
            </w:r>
          </w:p>
        </w:tc>
        <w:tc>
          <w:tcPr>
            <w:tcW w:type="dxa" w:w="2300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TRT CRBio-02</w:t>
            </w:r>
          </w:p>
        </w:tc>
        <w:tc>
          <w:tcPr>
            <w:tcW w:type="dxa" w:w="72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Válido até 31/03/2027.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type="dxa" w:w="2300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Cartão CNPJ</w:t>
            </w:r>
          </w:p>
        </w:tc>
        <w:tc>
          <w:tcPr>
            <w:tcW w:type="dxa" w:w="72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Completa 90 dias em 23/11/2026.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14</w:t>
            </w:r>
          </w:p>
        </w:tc>
        <w:tc>
          <w:tcPr>
            <w:tcW w:type="dxa" w:w="2300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CNDT</w:t>
            </w:r>
          </w:p>
        </w:tc>
        <w:tc>
          <w:tcPr>
            <w:tcW w:type="dxa" w:w="72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Válida até 15/02/2027.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type="dxa" w:w="2300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Vigilância Sanitária</w:t>
            </w:r>
          </w:p>
        </w:tc>
        <w:tc>
          <w:tcPr>
            <w:tcW w:type="dxa" w:w="72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Validade indicada até 27/01/2027.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5</w:t>
            </w:r>
          </w:p>
        </w:tc>
        <w:tc>
          <w:tcPr>
            <w:tcW w:type="dxa" w:w="2300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CTA INEA</w:t>
            </w:r>
          </w:p>
        </w:tc>
        <w:tc>
          <w:tcPr>
            <w:tcW w:type="dxa" w:w="72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Válido até 03/09/2030.</w:t>
            </w:r>
          </w:p>
        </w:tc>
      </w:tr>
    </w:tbl>
    <w:p>
      <w:pPr>
        <w:spacing w:after="60" w:before="120" w:line="240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Observações complementares — fora do checklist</w:t>
      </w:r>
    </w:p>
    <w:tbl>
      <w:tblPr>
        <w:tblW w:type="dxa" w:w="1017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900"/>
        <w:gridCol w:w="7278"/>
      </w:tblGrid>
      <w:tr>
        <w:tc>
          <w:tcPr>
            <w:tcW w:type="dxa" w:w="2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Aplicação a bordo</w:t>
            </w:r>
          </w:p>
        </w:tc>
        <w:tc>
          <w:tcPr>
            <w:tcW w:type="dxa" w:w="72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 CTA do INEA (condições 17 e 18) proíbe a aplicação espacial de inseticidas (termonebulização/UBV) em ambientes fechados e para insetos alados. Ponto a considerar pela Pan Marine no escopo de serviços em compartimentos das embarcações.</w:t>
            </w:r>
          </w:p>
        </w:tc>
      </w:tr>
      <w:tr>
        <w:tc>
          <w:tcPr>
            <w:tcW w:type="dxa" w:w="2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Gestão de resíduos</w:t>
            </w:r>
          </w:p>
        </w:tc>
        <w:tc>
          <w:tcPr>
            <w:tcW w:type="dxa" w:w="72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PGRS de nov/2022 (elaboração: Letícia Xavier Nascimento, CRF/RJ 24.372; atualização: Orlando Salvador Neto, CRBio 71.768/02). Manifestos de resíduos de 02/2026 (38 kg) e 08/2026 (MTR nº 2118569166 — 19 kg de resíduo Classe I contaminado, transporte Intersea (LO IN 011574), destinação New Inter (LMO 1082/2022)). Boa prática fora do checklist; não substitui o item 20. Recomenda-se revisar o PGRS, que tem quase 4 anos.</w:t>
            </w:r>
          </w:p>
        </w:tc>
      </w:tr>
      <w:tr>
        <w:tc>
          <w:tcPr>
            <w:tcW w:type="dxa" w:w="2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Vendor Evaluation (TD-176)</w:t>
            </w:r>
          </w:p>
        </w:tc>
        <w:tc>
          <w:tcPr>
            <w:tcW w:type="dxa" w:w="72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Formulário TD-176 presente na pasta do fornecedor.</w:t>
            </w:r>
          </w:p>
        </w:tc>
      </w:tr>
    </w:tbl>
    <w:p>
      <w:pPr>
        <w:spacing w:after="80" w:before="200" w:line="240"/>
      </w:pPr>
      <w:r>
        <w:rPr>
          <w:rFonts w:ascii="Arial" w:cs="Arial" w:eastAsia="Arial" w:hAnsi="Arial"/>
          <w:b/>
          <w:bCs/>
          <w:color w:val="C8102E"/>
          <w:sz w:val="19"/>
          <w:szCs w:val="19"/>
        </w:rPr>
        <w:t xml:space="preserve">6. Destaques Positivos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5"/>
          <w:szCs w:val="15"/>
        </w:rPr>
        <w:t xml:space="preserve">Licenciamento ambiental robusto: CTA do INEA válido até 2030 e CTF/APP do IBAMA regular.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5"/>
          <w:szCs w:val="15"/>
        </w:rPr>
        <w:t xml:space="preserve">PGR e PCMSO Onshore/Offshore vigentes até 2027, adotando o grau de risco das instalações do cliente.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5"/>
          <w:szCs w:val="15"/>
        </w:rPr>
        <w:t xml:space="preserve">Plano de Emergência específico para acidentes com produtos químicos, com kit de contenção definido.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5"/>
          <w:szCs w:val="15"/>
        </w:rPr>
        <w:t xml:space="preserve">Matriz de Treinamentos 2026 estruturada, com conteúdo técnico conduzido pelo responsável técnico.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5"/>
          <w:szCs w:val="15"/>
        </w:rPr>
        <w:t xml:space="preserve">PGRS formal e destinação rastreável de resíduos contaminados (MTR INEA 02/2026 e 08/2026).</w:t>
      </w:r>
    </w:p>
    <w:p>
      <w:pPr>
        <w:spacing w:after="80" w:before="200" w:line="240"/>
      </w:pPr>
      <w:r>
        <w:rPr>
          <w:rFonts w:ascii="Arial" w:cs="Arial" w:eastAsia="Arial" w:hAnsi="Arial"/>
          <w:b/>
          <w:bCs/>
          <w:color w:val="C8102E"/>
          <w:sz w:val="19"/>
          <w:szCs w:val="19"/>
        </w:rPr>
        <w:t xml:space="preserve">7. Próximos Passos e Assinaturas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5"/>
          <w:szCs w:val="15"/>
        </w:rPr>
        <w:t xml:space="preserve">A All Pest envia os itens pendentes nos prazos acima (e-mail ou pasta SharePoint da TMS).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5"/>
          <w:szCs w:val="15"/>
        </w:rPr>
        <w:t xml:space="preserve">A TMS valida os novos documentos em até 5 dias úteis e emite a Rev. 01 desta Notificação.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5"/>
          <w:szCs w:val="15"/>
        </w:rPr>
        <w:t xml:space="preserve">Regularizados os itens CO, o status é reclassificado e o resultado é comunicado formalmente à Pan Marine, que conduz a verificação in loco do Bloco 2.</w:t>
      </w:r>
    </w:p>
    <w:p>
      <w:pPr>
        <w:spacing w:after="0" w:before="0" w:line="240"/>
      </w:pPr>
      <w:r>
        <w:rPr>
          <w:rFonts w:ascii="Arial" w:cs="Arial" w:eastAsia="Arial" w:hAnsi="Arial"/>
          <w:sz w:val="15"/>
          <w:szCs w:val="15"/>
        </w:rPr>
        <w:t xml:space="preserve"> </w:t>
      </w:r>
    </w:p>
    <w:tbl>
      <w:tblPr>
        <w:tblW w:type="dxa" w:w="1017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089"/>
        <w:gridCol w:w="5089"/>
      </w:tblGrid>
      <w:tr>
        <w:tc>
          <w:tcPr>
            <w:tcW w:type="dxa" w:w="50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50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______________________________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Arthur Lima</w:t>
            </w:r>
          </w:p>
          <w:p>
            <w:pPr>
              <w:spacing w:after="60" w:before="0" w:line="24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Ponto Focal TMS</w:t>
            </w:r>
          </w:p>
        </w:tc>
        <w:tc>
          <w:tcPr>
            <w:tcW w:type="dxa" w:w="50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500" w:line="2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______________________________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Pan Marine do Brasil LTDA</w:t>
            </w:r>
          </w:p>
          <w:p>
            <w:pPr>
              <w:spacing w:after="60" w:before="0" w:line="24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Ciência — Gerência de SMS / Suprimentos</w:t>
            </w:r>
          </w:p>
        </w:tc>
      </w:tr>
    </w:tbl>
    <w:sectPr>
      <w:footerReference w:type="default" r:id="rId7"/>
      <w:pgSz w:w="11906" w:h="16838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10178"/>
      </w:tabs>
      <w:spacing w:after="0" w:before="0" w:line="240"/>
    </w:pPr>
    <w:r>
      <w:rPr>
        <w:rFonts w:ascii="Arial" w:cs="Arial" w:eastAsia="Arial" w:hAnsi="Arial"/>
        <w:color w:val="595959"/>
        <w:sz w:val="13"/>
        <w:szCs w:val="13"/>
      </w:rPr>
      <w:t xml:space="preserve">TMS – Training Management Specialists · arthurlima@tmss.com.br · www.tmss.com.br</w:t>
    </w:r>
    <w:r>
      <w:rPr>
        <w:rFonts w:ascii="Arial" w:cs="Arial" w:eastAsia="Arial" w:hAnsi="Arial"/>
        <w:color w:val="595959"/>
        <w:sz w:val="13"/>
        <w:szCs w:val="13"/>
      </w:rPr>
      <w:t xml:space="preserve">	Pan Marine do Brasil LTDA · Documento confidencial · PGS-002-R Rev. B · 2026</w:t>
    </w:r>
  </w:p>
  <w:p>
    <w:pPr>
      <w:jc w:val="right"/>
    </w:pPr>
    <w:r>
      <w:rPr>
        <w:rFonts w:ascii="Arial" w:cs="Arial" w:eastAsia="Arial" w:hAnsi="Arial"/>
        <w:color w:val="595959"/>
        <w:sz w:val="13"/>
        <w:szCs w:val="13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5"/>
        <w:szCs w:val="1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openxmlformats.org/officeDocument/2006/relationships/endnotes" Target="endnotes.xml"/><Relationship Id="rId9" Type="http://schemas.openxmlformats.org/officeDocument/2006/relationships/customXml" Target="../customXml/item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6A0E371927084EA2A7C7DF44A1C8D0" ma:contentTypeVersion="19" ma:contentTypeDescription="Crie um novo documento." ma:contentTypeScope="" ma:versionID="881bda7b1504225c90762005d1fc9669">
  <xsd:schema xmlns:xsd="http://www.w3.org/2001/XMLSchema" xmlns:xs="http://www.w3.org/2001/XMLSchema" xmlns:p="http://schemas.microsoft.com/office/2006/metadata/properties" xmlns:ns2="ec2ae1ab-4e9d-48d2-ad2d-3cfa4d7ee760" xmlns:ns3="e3919d81-16ca-43bd-8537-cf4dedd71686" targetNamespace="http://schemas.microsoft.com/office/2006/metadata/properties" ma:root="true" ma:fieldsID="25e0e71bb7e061a38b22344900610573" ns2:_="" ns3:_="">
    <xsd:import namespace="ec2ae1ab-4e9d-48d2-ad2d-3cfa4d7ee760"/>
    <xsd:import namespace="e3919d81-16ca-43bd-8537-cf4dedd716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  <xsd:element ref="ns2:Teste" minOccurs="0"/>
                <xsd:element ref="ns2:teste_x0020_2" minOccurs="0"/>
                <xsd:element ref="ns2:teste3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2ae1ab-4e9d-48d2-ad2d-3cfa4d7ee7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b1844725-3f15-4093-a592-26d66acc98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Teste" ma:index="24" nillable="true" ma:displayName="Teste" ma:format="Dropdown" ma:internalName="Teste">
      <xsd:simpleType>
        <xsd:restriction base="dms:Choice">
          <xsd:enumeration value="Escolha 1"/>
          <xsd:enumeration value="Escolha 2"/>
          <xsd:enumeration value="Escolha 3"/>
        </xsd:restriction>
      </xsd:simpleType>
    </xsd:element>
    <xsd:element name="teste_x0020_2" ma:index="25" nillable="true" ma:displayName="teste 2" ma:internalName="teste_x0020_2">
      <xsd:simpleType>
        <xsd:restriction base="dms:Boolean"/>
      </xsd:simpleType>
    </xsd:element>
    <xsd:element name="teste3" ma:index="26" nillable="true" ma:displayName="teste3" ma:format="DateOnly" ma:internalName="teste3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919d81-16ca-43bd-8537-cf4dedd7168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1b74c2be-d7f1-4dd7-9541-03161134281b}" ma:internalName="TaxCatchAll" ma:showField="CatchAllData" ma:web="e3919d81-16ca-43bd-8537-cf4dedd716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c2ae1ab-4e9d-48d2-ad2d-3cfa4d7ee760">
      <Terms xmlns="http://schemas.microsoft.com/office/infopath/2007/PartnerControls"/>
    </lcf76f155ced4ddcb4097134ff3c332f>
    <TaxCatchAll xmlns="e3919d81-16ca-43bd-8537-cf4dedd71686" xsi:nil="true"/>
    <Teste xmlns="ec2ae1ab-4e9d-48d2-ad2d-3cfa4d7ee760" xsi:nil="true"/>
    <teste3 xmlns="ec2ae1ab-4e9d-48d2-ad2d-3cfa4d7ee760" xsi:nil="true"/>
    <teste_x0020_2 xmlns="ec2ae1ab-4e9d-48d2-ad2d-3cfa4d7ee760" xsi:nil="true"/>
  </documentManagement>
</p:properties>
</file>

<file path=customXml/itemProps1.xml><?xml version="1.0" encoding="utf-8"?>
<ds:datastoreItem xmlns:ds="http://schemas.openxmlformats.org/officeDocument/2006/customXml" ds:itemID="{0CCC24F9-642A-496E-8BBC-F043CB12C3BF}"/>
</file>

<file path=customXml/itemProps2.xml><?xml version="1.0" encoding="utf-8"?>
<ds:datastoreItem xmlns:ds="http://schemas.openxmlformats.org/officeDocument/2006/customXml" ds:itemID="{1EE6C3CE-01CC-4BBC-8481-ED1E83674797}"/>
</file>

<file path=customXml/itemProps3.xml><?xml version="1.0" encoding="utf-8"?>
<ds:datastoreItem xmlns:ds="http://schemas.openxmlformats.org/officeDocument/2006/customXml" ds:itemID="{2CF8C91A-CAFF-407F-89EB-DA40E0492D47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2026-09-23T22:36:41Z</dcterms:created>
  <dcterms:modified xsi:type="dcterms:W3CDTF">2026-09-23T22:36:41Z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0x010100B36A0E371927084EA2A7C7DF44A1C8D0</vt:lpwstr>
  </property>
</Properties>
</file>