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MS Gothic" w:eastAsia="MS Gothic" w:hAnsi="MS Gothic"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Style w:val="Geometria10"/>
                    <w:rFonts w:ascii="Arial" w:hAnsi="Arial" w:cs="Arial"/>
                    <w:sz w:val="19"/>
                    <w:szCs w:val="19"/>
                  </w:rPr>
                  <w:t>Fornecimento de materiais e consumíveis para MRO (Manutenção, Reparo e Operação), incluindo ferramentas, materiais para soldagem, abrasivos, equipamentos de proteção individual (EPIs), materiais para proteção ambiental, máquinas e equipamentos industriais, mangueiras, válvulas e itens correlatos.</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Pr>
                <w:rFonts w:ascii="Geometria" w:hAnsi="Geometria"/>
                <w:b/>
                <w:spacing w:val="4"/>
                <w:sz w:val="20"/>
                <w:szCs w:val="19"/>
                <w:lang w:val="en-GB"/>
              </w:rPr>
              <w:t xml:space="preserve">Seção 2.0: Informações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Pr>
                    <w:rStyle w:val="Geometria10"/>
                    <w:sz w:val="19"/>
                    <w:szCs w:val="19"/>
                  </w:rPr>
                  <w:t>Armazém Offshore Comercial e Importadora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Pr>
                    <w:rStyle w:val="Geometria10"/>
                    <w:sz w:val="19"/>
                    <w:szCs w:val="19"/>
                  </w:rPr>
                  <w:t>Av. Acadêmico Paulo Sérgio de Carvalho Vasconcellos, 555, Quadra D, Lote 011, Novo Cavaleiros, Macaé/RJ, CEP 27.930-260</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Pr>
                    <w:rStyle w:val="Geometria10"/>
                    <w:sz w:val="19"/>
                    <w:szCs w:val="19"/>
                  </w:rPr>
                  <w:t>(22) 2763-4600</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Pr>
                    <w:rStyle w:val="Geometria10"/>
                    <w:sz w:val="19"/>
                    <w:szCs w:val="19"/>
                  </w:rPr>
                  <w:t>Não aplicável — a empresa não utiliza fax</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Pr>
                    <w:rStyle w:val="Geometria10"/>
                    <w:sz w:val="19"/>
                    <w:szCs w:val="19"/>
                  </w:rPr>
                  <w:t>Elisangela</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Pr>
                    <w:rStyle w:val="Geometria10"/>
                    <w:sz w:val="19"/>
                    <w:szCs w:val="19"/>
                  </w:rPr>
                  <w:t>Vendedora</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Pr>
                    <w:rStyle w:val="Geometria10"/>
                    <w:sz w:val="19"/>
                    <w:szCs w:val="19"/>
                  </w:rPr>
                  <w:t>(22) 2763-4634</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rStyle w:val="Geometria10"/>
                    <w:sz w:val="19"/>
                    <w:szCs w:val="19"/>
                  </w:rPr>
                  <w:t>elisangela@armazemoffshore.com.br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rStyle w:val="Geometria10"/>
                    <w:sz w:val="19"/>
                    <w:szCs w:val="19"/>
                  </w:rPr>
                  <w:t>https://armazemoffshore.com.br/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rStyle w:val="Geometria10"/>
                    <w:sz w:val="19"/>
                    <w:szCs w:val="19"/>
                  </w:rPr>
                  <w:t>17/03/1987</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rStyle w:val="Geometria10"/>
                    <w:sz w:val="19"/>
                    <w:szCs w:val="19"/>
                  </w:rPr>
                  <w:t>Mais de 90 colaboradores</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Pr>
                    <w:rStyle w:val="Geometria10"/>
                    <w:sz w:val="19"/>
                    <w:szCs w:val="19"/>
                  </w:rPr>
                  <w:t>Fornecimento de produtos e consumíveis industriais para MRO (ferramentas manuais e elétricas, EPIs, solda, abrasivos e discos de corte, materiais de pintura, equipamentos de proteção ambiental e instrumentos de precisão)</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rStyle w:val="Geometria10"/>
                    <w:sz w:val="19"/>
                    <w:szCs w:val="19"/>
                  </w:rPr>
                  <w:t>Área total construída de 3.928,77 m² na unidade matriz (Macaé/RJ), classificada como J-4 pelo Corpo de Bombeiros Militar do RJ (Certificado de Aprovação Assistido CAA-04512/26, válido até 01/07/2031), com unidades adicionais em Vila Velha/ES e São João da Barra – Porto do Açu/RJ, integradas ao mesmo Sistema de Gestão da Qualidade certificado ISO 9001:2015</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Pr>
                    <w:rStyle w:val="Geometria10"/>
                    <w:sz w:val="19"/>
                    <w:szCs w:val="19"/>
                  </w:rPr>
                  <w:t>Fornecimento de materiais e consumíveis para MRO (Manutenção, Reparo e Operação), incluindo ferramentas, materiais para soldagem, abrasivos, equipamentos de proteção individual (EPIs), materiais para proteção ambiental, máquinas e equipamentos industriais, mangueiras, válvulas e itens correlatos.</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rStyle w:val="Geometria10"/>
                    <w:sz w:val="19"/>
                    <w:szCs w:val="19"/>
                  </w:rPr>
                  <w:t>Solange Dauto / Ney dos Anjos (Gestor de Qualidade)</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rStyle w:val="Geometria10"/>
                    <w:sz w:val="18"/>
                    <w:szCs w:val="18"/>
                  </w:rPr>
                  <w:t xml:space="preserve">        10       /        07       /        2026        </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MS Gothic" w:eastAsia="MS Gothic" w:hAnsi="MS Gothic"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MS Gothic" w:eastAsia="MS Gothic" w:hAnsi="MS Gothic"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E10A" w14:font="Segoe UI Symbol"/>
                  <w14:uncheckedState w14:val="2610" w14:font="MS Gothic"/>
                </w14:checkbox>
              </w:sdtPr>
              <w:sdtContent>
                <w:r>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MS Gothic" w:eastAsia="MS Gothic" w:hAnsi="MS Gothic"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MS Gothic" w:eastAsia="MS Gothic" w:hAnsi="MS Gothic"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MS Gothic" w:eastAsia="MS Gothic" w:hAnsi="MS Gothic"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MS Gothic" w:eastAsia="MS Gothic" w:hAnsi="MS Gothic"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MS Gothic" w:eastAsia="MS Gothic" w:hAnsi="MS Gothic"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MS Gothic" w:eastAsia="MS Gothic" w:hAnsi="MS Gothic"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MS Gothic" w:eastAsia="MS Gothic" w:hAnsi="MS Gothic" w:cs="Arial"/>
          <w:b/>
          <w:color w:val="auto"/>
          <w:kern w:val="0"/>
          <w:sz w:val="20"/>
          <w14:ligatures w14:val="none"/>
          <w14:cntxtAlts w14:val="0"/>
        </w:rPr>
        <w:t xml:space="preserve">Uso EXCLUSIVO Tidewater.</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rStyle w:val="Geometria10"/>
                    <w:sz w:val="19"/>
                    <w:szCs w:val="19"/>
                  </w:rPr>
                  <w:t>A ser preenchido pela TMS após recebimento da documentação</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rStyle w:val="Geometria10"/>
                    <w:sz w:val="19"/>
                    <w:szCs w:val="19"/>
                  </w:rPr>
                  <w:t>A ser preenchido pela TMS após análise documental</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rStyle w:val="Geometria10"/>
                    <w:sz w:val="19"/>
                    <w:szCs w:val="19"/>
                  </w:rPr>
                  <w:t>A ser preenchido pela TMS após análise documental</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rStyle w:val="Geometria10"/>
                    <w:sz w:val="19"/>
                    <w:szCs w:val="19"/>
                  </w:rPr>
                  <w:t>A ser preenchido pela TMS após conclusão da análise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Style w:val="Geometria10"/>
                    <w:rFonts w:ascii="Arial" w:hAnsi="Arial" w:cs="Arial"/>
                    <w:sz w:val="19"/>
                    <w:szCs w:val="19"/>
                  </w:rPr>
                  <w:t>Ney dos Anjos</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Style w:val="Geometria10"/>
                    <w:rFonts w:ascii="Arial" w:hAnsi="Arial" w:cs="Arial"/>
                    <w:sz w:val="19"/>
                    <w:szCs w:val="19"/>
                  </w:rPr>
                  <w:t>Gestor de Qualidade</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MS Gothic" w:eastAsia="MS Gothic" w:hAnsi="MS Gothic"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Style w:val="Geometria10"/>
                    <w:rFonts w:ascii="Arial" w:hAnsi="Arial" w:cs="Arial"/>
                    <w:i/>
                    <w:color w:val="A6A6A6" w:themeColor="background1" w:themeShade="A6"/>
                    <w:szCs w:val="18"/>
                  </w:rPr>
                  <w:t>Não aplicável — a empresa não recebeu notificações de melhoria ou de proibição de órgãos reguladores de Saúde e Segurança, nem está em processo relacionado a essas questões.</w:t>
                </w:r>
              </w:sdtContent>
            </w:sdt>
            <w:r>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Pr>
                <w:rFonts w:ascii="Arial" w:hAnsi="Arial" w:cs="Arial"/>
                <w:b/>
              </w:rPr>
              <w:t xml:space="preserve">Acumulado do ano </w:t>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Style w:val="Geometria10"/>
                    <w:rFonts w:ascii="Arial" w:hAnsi="Arial" w:cs="Arial"/>
                    <w:sz w:val="19"/>
                    <w:szCs w:val="19"/>
                  </w:rPr>
                  <w:t>115.275</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Style w:val="Geometria10"/>
                    <w:rFonts w:ascii="Arial" w:hAnsi="Arial" w:cs="Arial"/>
                    <w:sz w:val="19"/>
                    <w:szCs w:val="19"/>
                  </w:rPr>
                  <w:t>141.375</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Style w:val="Geometria10"/>
                    <w:rFonts w:ascii="Arial" w:hAnsi="Arial" w:cs="Arial"/>
                    <w:sz w:val="19"/>
                    <w:szCs w:val="19"/>
                  </w:rPr>
                  <w:t>167.475</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Style w:val="Geometria10"/>
                    <w:rFonts w:ascii="Arial" w:hAnsi="Arial" w:cs="Arial"/>
                    <w:sz w:val="19"/>
                    <w:szCs w:val="19"/>
                  </w:rPr>
                  <w:t>195.750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Style w:val="Geometria10"/>
                    <w:rFonts w:ascii="Arial" w:hAnsi="Arial" w:cs="Arial"/>
                    <w:sz w:val="19"/>
                    <w:szCs w:val="19"/>
                  </w:rPr>
                  <w:t>≈ 98.500</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Style w:val="Geometria10"/>
                    <w:rFonts w:ascii="Arial" w:hAnsi="Arial" w:cs="Arial"/>
                    <w:sz w:val="19"/>
                    <w:szCs w:val="19"/>
                  </w:rPr>
                  <w:t>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Style w:val="Geometria10"/>
                    <w:rFonts w:ascii="Arial" w:hAnsi="Arial" w:cs="Arial"/>
                    <w:i/>
                    <w:color w:val="A6A6A6" w:themeColor="background1" w:themeShade="A6"/>
                    <w:szCs w:val="18"/>
                  </w:rPr>
                  <w:t>Os resultados de investigações e demais informações de QHSE são comunicados aos colaboradores por meio de DDS (Diálogo Diário de Segurança) e comunicados internos, quando aplicável.</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MS Gothic" w:eastAsia="MS Gothic" w:hAnsi="MS Gothic"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color w:val="auto"/>
                <w:kern w:val="0"/>
                <w:sz w:val="20"/>
                <w14:ligatures w14:val="none"/>
                <w14:cntxtAlts w14:val="0"/>
              </w:rPr>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kern w:val="0"/>
                <w:sz w:val="20"/>
                <w:lang w:val="en-GB"/>
                <w14:ligatures w14:val="none"/>
                <w14:cntxtAlts w14:val="0"/>
              </w:rPr>
              <w:t xml:space="preserve">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Pr>
                    <w:rStyle w:val="Geometria10"/>
                    <w:rFonts w:ascii="Arial" w:hAnsi="Arial" w:cs="Arial"/>
                    <w:i/>
                    <w:color w:val="A6A6A6" w:themeColor="background1" w:themeShade="A6"/>
                    <w:szCs w:val="18"/>
                  </w:rPr>
                  <w:t>A competência em QHSE de subcontratados e outras empresas é avaliada por meio da análise documental e certificações, quando aplicável, com base nos requisitos definidos para cada categoria de fornecimento.</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Pr>
                    <w:rStyle w:val="Geometria10"/>
                    <w:rFonts w:ascii="Arial" w:hAnsi="Arial" w:cs="Arial"/>
                    <w:i/>
                    <w:color w:val="A6A6A6" w:themeColor="background1" w:themeShade="A6"/>
                    <w:szCs w:val="18"/>
                  </w:rPr>
                  <w:t>Sim. São mantidos registros dos documentos e evidências exigidos durante o processo de qualificação de fornecedores, como certificados ISO, licenças e certidões.</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Style w:val="Geometria10"/>
                    <w:rFonts w:ascii="Arial" w:hAnsi="Arial" w:cs="Arial"/>
                    <w:i/>
                    <w:color w:val="A6A6A6" w:themeColor="background1" w:themeShade="A6"/>
                    <w:szCs w:val="18"/>
                  </w:rPr>
                  <w:t>A empresa contrata fornecedores legalmente constituídos, observando a regularidade documental e o atendimento aos requisitos aplicáveis ao fornecimento contratado, em conformidade com as diretrizes anticorrupção e antissuborno do Código de Conduta e Ética do grupo.</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Pr>
                    <w:rStyle w:val="Geometria10"/>
                    <w:rFonts w:ascii="Arial" w:hAnsi="Arial" w:cs="Arial"/>
                    <w:i/>
                    <w:color w:val="A6A6A6" w:themeColor="background1" w:themeShade="A6"/>
                    <w:szCs w:val="18"/>
                  </w:rPr>
                  <w:t>Os equipamentos e instalações são identificados, inspecionados e mantidos conforme procedimentos internos e recomendações dos fabricantes, assegurando condições adequadas de operação. As instalações da matriz possuem Certificado de Aprovação do Corpo de Bombeiros (CAA-04512/26), válido até 01/07/2031, que atesta a conformidade quanto à segurança contra incêndio e pânico.</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Style w:val="Geometria10"/>
                    <w:rFonts w:ascii="Arial" w:hAnsi="Arial" w:cs="Arial"/>
                    <w:i/>
                    <w:color w:val="A6A6A6" w:themeColor="background1" w:themeShade="A6"/>
                    <w:szCs w:val="18"/>
                  </w:rPr>
                  <w:t>Os EPIs são fornecidos conforme os riscos de cada atividade, com registro de entrega, orientação de uso, substituição periódica e controle de validade. Como distribuidora de EPIs, a empresa também mantém os Certificados de Aprovação (CA) dos itens comercializados, como capacete classe E (CA 498), protetor auricular (CA 5745) e botina (CA 35.437).</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Style w:val="Geometria10"/>
                    <w:rFonts w:ascii="Arial" w:hAnsi="Arial" w:cs="Arial"/>
                    <w:i/>
                    <w:color w:val="A6A6A6" w:themeColor="background1" w:themeShade="A6"/>
                    <w:szCs w:val="18"/>
                  </w:rPr>
                  <w:t>Não. Até o momento, a empresa não recebeu premiações específicas relacionadas ao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Style w:val="Geometria10"/>
                    <w:rFonts w:ascii="Arial" w:hAnsi="Arial" w:cs="Arial"/>
                    <w:i/>
                    <w:color w:val="A6A6A6" w:themeColor="background1" w:themeShade="A6"/>
                    <w:szCs w:val="18"/>
                  </w:rPr>
                  <w:t>Todos os novos colaboradores participam do programa de integração, no qual recebem orientações sobre os requisitos de Qualidade, Saúde, Segurança e Meio Ambiente (QHSE), políticas e procedimentos internos. A atualização do conhecimento ocorre por meio de DDS e comunicados internos, sempre que necessário.</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Style w:val="Geometria10"/>
                    <w:rFonts w:ascii="Arial" w:hAnsi="Arial" w:cs="Arial"/>
                    <w:i/>
                    <w:color w:val="A6A6A6" w:themeColor="background1" w:themeShade="A6"/>
                    <w:szCs w:val="18"/>
                  </w:rPr>
                  <w:t>Os colaboradores recebem orientações sobre os riscos inerentes à função, medidas de controle, uso de EPIs e procedimentos de segurança aplicáveis às suas atividades, com base no inventário de riscos do PGR – Programa de Gerenciamento de Riscos.</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Style w:val="Geometria10"/>
                    <w:rFonts w:ascii="Arial" w:hAnsi="Arial" w:cs="Arial"/>
                    <w:i/>
                    <w:color w:val="A6A6A6" w:themeColor="background1" w:themeShade="A6"/>
                    <w:szCs w:val="18"/>
                  </w:rPr>
                  <w:t>Integração de SST, regras de segurança, identificação de riscos, uso de EPIs, procedimentos de emergência, comunicação de incidentes e responsabilidades dos colaboradores em QHSE.</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MS Gothic" w:eastAsia="MS Gothic" w:hAnsi="MS Gothic"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MS Gothic" w:eastAsia="MS Gothic" w:hAnsi="MS Gothic"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Style w:val="Geometria10"/>
                          <w:rFonts w:ascii="Arial" w:hAnsi="Arial" w:cs="Arial"/>
                          <w:sz w:val="19"/>
                          <w:szCs w:val="19"/>
                        </w:rPr>
                        <w:t>Não aplicável — não há representante ambiental formalmente nomeado</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Style w:val="Geometria10"/>
                          <w:rFonts w:ascii="Arial" w:hAnsi="Arial" w:cs="Arial"/>
                          <w:sz w:val="19"/>
                          <w:szCs w:val="19"/>
                        </w:rPr>
                        <w:t>Não aplicável</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MS Gothic" w:eastAsia="MS Gothic" w:hAnsi="MS Gothic"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Pr>
                <w:rFonts w:ascii="Arial" w:hAnsi="Arial" w:cs="Arial"/>
              </w:rPr>
              <w:t xml:space="preserve">Você identifica e gerencia ativamente os aspectos ambientais significativos de suas atividades, produtos e serviços? ( </w:t>
            </w:r>
            <w:r>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Style w:val="Geometria10"/>
                    <w:rFonts w:ascii="Arial" w:hAnsi="Arial" w:cs="Arial"/>
                    <w:i/>
                    <w:color w:val="A6A6A6" w:themeColor="background1" w:themeShade="A6"/>
                    <w:szCs w:val="18"/>
                  </w:rPr>
                  <w:t>A empresa identifica e gerencia os aspectos ambientais relacionados às suas atividades por meio do gerenciamento de resíduos, com destinação ambientalmente adequada de pilhas e baterias (Declaração de Entrega Voluntária de Resíduos Eletroeletrônicos, Secretaria Municipal de Ambiente e Sustentabilidade de Macaé), reutilização de embalagens, uso de energia solar e iluminação LED nas instalações.</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Pr>
                <w:rFonts w:ascii="Arial" w:hAnsi="Arial" w:cs="Arial"/>
              </w:rPr>
              <w:t xml:space="preserve">Você define objetivos e metas ambientais? ( </w:t>
            </w:r>
            <w:r>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MS Gothic" w:eastAsia="MS Gothic" w:hAnsi="MS Gothic"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Style w:val="Geometria10"/>
                    <w:rFonts w:ascii="Arial" w:hAnsi="Arial" w:cs="Arial"/>
                    <w:i/>
                    <w:color w:val="A6A6A6" w:themeColor="background1" w:themeShade="A6"/>
                    <w:szCs w:val="18"/>
                  </w:rPr>
                  <w:t>Não há metas ambientais formalizadas em documento específico; as práticas ambientais atuais integram a rotina operacional e estão sendo avaliadas para formalização futura em um sistema de gestão ambiental documentado.</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tab/>
        <w:tab/>
        <w:tab/>
        <w:tab/>
        <w:tab/>
        <w:tab/>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Style w:val="Geometria10"/>
                    <w:rFonts w:ascii="Arial" w:hAnsi="Arial" w:cs="Arial"/>
                    <w:i/>
                    <w:color w:val="A6A6A6" w:themeColor="background1" w:themeShade="A6"/>
                    <w:szCs w:val="18"/>
                  </w:rPr>
                  <w:t>Os produtos comercializados são rastreados por número de nota fiscal, lote do fabricante (quando aplicável) e código interno de estoque, permitindo identificar a origem e o destino de cada item desde o recebimento até a entrega ao cliente.</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Style w:val="Geometria10"/>
                    <w:rFonts w:ascii="Arial" w:hAnsi="Arial" w:cs="Arial"/>
                    <w:i/>
                    <w:color w:val="A6A6A6" w:themeColor="background1" w:themeShade="A6"/>
                    <w:szCs w:val="18"/>
                  </w:rPr>
                  <w:t>O controle é realizado por meio do macro-fluxo operacional mapeado (consulta comercial, orçamento, verificação de estoque/compras, separação, inspeção, emissão de nota fiscal e entrega), com indicadores de desempenho acompanhados em cada etapa do processo (ISC, IPC, ICLog, OTIF, ISCM, entre outros).</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MS Gothic" w:eastAsia="MS Gothic" w:hAnsi="MS Gothic"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MS Gothic" w:eastAsia="MS Gothic" w:hAnsi="MS Gothic"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Style w:val="Geometria10"/>
                    <w:rFonts w:ascii="Arial" w:hAnsi="Arial" w:cs="Arial"/>
                    <w:i/>
                    <w:color w:val="A6A6A6" w:themeColor="background1" w:themeShade="A6"/>
                    <w:szCs w:val="18"/>
                  </w:rPr>
                  <w:t>A eficácia das ações corretivas é verificada por meio de análise crítica da direção, auditorias internas anuais (Plano CQ-008) e acompanhamento dos indicadores de qualidade (ICC, ICLog, INCE), garantindo o fechamento e a validação das não conformidades identificadas.</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Style w:val="Geometria10"/>
                          <w:rFonts w:ascii="Arial" w:hAnsi="Arial" w:cs="Arial"/>
                          <w:i/>
                          <w:color w:val="A6A6A6" w:themeColor="background1" w:themeShade="A6"/>
                          <w:szCs w:val="18"/>
                        </w:rPr>
                        <w:t>O controle de documentos é realizado por meio da Planilha Mestra de Documentos, garantindo o controle de revisão, aprovação e vigência de toda a documentação do Sistema de Gestão da Qualidade.</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Pr>
                    <w:rStyle w:val="Geometria10"/>
                    <w:rFonts w:ascii="Arial" w:hAnsi="Arial" w:cs="Arial"/>
                    <w:i/>
                    <w:color w:val="A6A6A6" w:themeColor="background1" w:themeShade="A6"/>
                    <w:szCs w:val="18"/>
                  </w:rPr>
                  <w:t>Sim. A melhoria contínua é conduzida por meio de análises críticas da direção, auditorias internas anuais e acompanhamento de indicadores de desempenho (ISC, IPC, ICC, ICLog, INCE, OTIF, ISCM, TSP), com ações corretivas e preventivas registradas e monitoradas.</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Style w:val="Geometria10"/>
                    <w:rFonts w:ascii="Arial" w:hAnsi="Arial" w:cs="Arial"/>
                    <w:i/>
                    <w:color w:val="A6A6A6" w:themeColor="background1" w:themeShade="A6"/>
                    <w:szCs w:val="18"/>
                  </w:rPr>
                  <w:t>O desperdício e o retrabalho são acompanhados por meio do indicador INCE – Índice de Não Conformidade no Estoque, que mede o material não conforme identificado e retirado do estoque.</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Style w:val="Geometria10"/>
                    <w:rFonts w:ascii="Arial" w:hAnsi="Arial" w:cs="Arial"/>
                    <w:i/>
                    <w:color w:val="A6A6A6" w:themeColor="background1" w:themeShade="A6"/>
                    <w:szCs w:val="18"/>
                  </w:rPr>
                  <w:t>Os colaboradores participam do programa de integração e recebem treinamentos periódicos sobre QHSE, riscos da função e uso de EPIs, com registros mantidos pelo setor de Recursos Humanos/Qualidade.</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Style w:val="Geometria10"/>
                    <w:rFonts w:ascii="Arial" w:hAnsi="Arial" w:cs="Arial"/>
                    <w:i/>
                    <w:color w:val="A6A6A6" w:themeColor="background1" w:themeShade="A6"/>
                    <w:szCs w:val="18"/>
                  </w:rPr>
                  <w:t>Não aplicável — pergunta restrita a órgãos de acreditação europeus; a empresa opera exclusivamente no Brasil.</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Style w:val="Geometria10"/>
                    <w:rFonts w:ascii="Arial" w:hAnsi="Arial" w:cs="Arial"/>
                    <w:i/>
                    <w:color w:val="A6A6A6" w:themeColor="background1" w:themeShade="A6"/>
                    <w:szCs w:val="18"/>
                  </w:rPr>
                  <w:t>As necessidades de treinamento são identificadas a partir do inventário de riscos do PGR, das funções exercidas por cada colaborador e das demandas específicas levantadas pelos gestores de cada setor.</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Style w:val="Geometria10"/>
                    <w:rFonts w:ascii="Arial" w:hAnsi="Arial" w:cs="Arial"/>
                    <w:i/>
                    <w:color w:val="A6A6A6" w:themeColor="background1" w:themeShade="A6"/>
                    <w:szCs w:val="18"/>
                  </w:rPr>
                  <w:t>As necessidades identificadas são consolidadas pelo setor de Recursos Humanos/Qualidade e organizadas em um plano de treinamento, executado por meio de integração, DDS e treinamentos específicos conforme a função de cada colaborador.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Style w:val="Geometria10"/>
                    <w:rFonts w:ascii="Arial" w:hAnsi="Arial" w:cs="Arial"/>
                    <w:i/>
                    <w:color w:val="A6A6A6" w:themeColor="background1" w:themeShade="A6"/>
                    <w:szCs w:val="18"/>
                  </w:rPr>
                  <w:t>Sim, o controle de vigência de documentos e certificações é realizado por meio da Planilha Mestra de Documentos do Sistema de Gestão da Qualidade.</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Style w:val="Geometria10"/>
                    <w:rFonts w:ascii="Arial" w:hAnsi="Arial" w:cs="Arial"/>
                    <w:i/>
                    <w:color w:val="A6A6A6" w:themeColor="background1" w:themeShade="A6"/>
                    <w:szCs w:val="18"/>
                  </w:rPr>
                  <w:t>Não há um sistema informatizado dedicado a reservas e administração de treinamentos; o controle é realizado de forma administrativa pelo setor de Recursos Humanos/Qualidade.</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Style w:val="Geometria10"/>
                    <w:rFonts w:ascii="Arial" w:hAnsi="Arial" w:cs="Arial"/>
                    <w:i/>
                    <w:color w:val="A6A6A6" w:themeColor="background1" w:themeShade="A6"/>
                    <w:szCs w:val="18"/>
                  </w:rPr>
                  <w:t>Não aplicável — não há sistema informatizado dedicado, conforme resposta ao item anterior.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Style w:val="Geometria10"/>
                    <w:rFonts w:ascii="Arial" w:hAnsi="Arial" w:cs="Arial"/>
                    <w:i/>
                    <w:color w:val="A6A6A6" w:themeColor="background1" w:themeShade="A6"/>
                    <w:szCs w:val="18"/>
                  </w:rPr>
                  <w:t>A supervisão é realizada pelos gestores de cada setor (Comercial, Logística, Compras, Manutenção, Qualidade), com apoio dos indicadores de desempenho monitorados mensalmente.</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Style w:val="Geometria10"/>
                    <w:rFonts w:ascii="Arial" w:hAnsi="Arial" w:cs="Arial"/>
                    <w:i/>
                    <w:color w:val="A6A6A6" w:themeColor="background1" w:themeShade="A6"/>
                    <w:szCs w:val="18"/>
                  </w:rPr>
                  <w:t>Os resultados são repassados à alta administração por meio de reuniões de análise crítica da direção e da reunião de encerramento da auditoria interna anual, e aos funcionários por meio de comunicados internos e DDS.</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Pr>
                    <w:rStyle w:val="Geometria10"/>
                    <w:rFonts w:ascii="Arial" w:hAnsi="Arial" w:cs="Arial"/>
                    <w:i/>
                    <w:color w:val="A6A6A6" w:themeColor="background1" w:themeShade="A6"/>
                    <w:szCs w:val="18"/>
                  </w:rPr>
                  <w:t>A conformidade é garantida por meio de auditorias internas anuais (Plano CQ-008), acompanhamento dos indicadores de desempenho e supervisão direta dos gestores de cada área.</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Pr>
                    <w:rStyle w:val="Geometria10"/>
                    <w:rFonts w:ascii="Arial" w:hAnsi="Arial" w:cs="Arial"/>
                    <w:i/>
                    <w:color w:val="A6A6A6" w:themeColor="background1" w:themeShade="A6"/>
                    <w:szCs w:val="18"/>
                  </w:rPr>
                  <w:t>Os gestores e supervisores recebem treinamentos relacionados às suas responsabilidades no Sistema de Gestão da Qualidade, visando assegurar o planejamento, a supervisão e a execução segura das atividades.</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Pr>
                    <w:rStyle w:val="Geometria10"/>
                    <w:rFonts w:ascii="Arial" w:hAnsi="Arial" w:cs="Arial"/>
                    <w:i/>
                    <w:color w:val="A6A6A6" w:themeColor="background1" w:themeShade="A6"/>
                    <w:szCs w:val="18"/>
                  </w:rPr>
                  <w:t>Sistema de Gestão da Qualidade, Política da Qualidade, responsabilidades da liderança, procedimentos operacionais e melhoria contínua.</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bCs/>
                <w:kern w:val="0"/>
                <w:sz w:val="20"/>
                <w:lang w:val="en-GB"/>
                <w14:ligatures w14:val="none"/>
                <w14:cntxtAlts w14:val="0"/>
              </w:rPr>
              <w:t>Seção G</w:t>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pt-BR"/>
                <w14:ligatures w14:val="none"/>
                <w14:cntxtAlts w14:val="0"/>
              </w:rPr>
            </w:pPr>
            <w:r>
              <w:rPr>
                <w:rFonts w:ascii="Arial" w:eastAsia="Times New Roman" w:hAnsi="Arial" w:cs="Arial"/>
                <w:b/>
                <w:bCs/>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MS Gothic" w:eastAsia="MS Gothic" w:hAnsi="MS Gothic"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Style w:val="Geometria10"/>
                    <w:rFonts w:ascii="Arial" w:hAnsi="Arial" w:cs="Arial"/>
                    <w:sz w:val="19"/>
                    <w:szCs w:val="19"/>
                  </w:rPr>
                  <w:t>Não aplicável — a empresa não possui esta certificação.</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MS Gothic" w:eastAsia="MS Gothic" w:hAnsi="MS Gothic"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Style w:val="Geometria10"/>
                    <w:rFonts w:ascii="Arial" w:hAnsi="Arial" w:cs="Arial"/>
                    <w:sz w:val="19"/>
                    <w:szCs w:val="19"/>
                  </w:rPr>
                  <w:t>Não aplicável — a empresa não possui esta certificação.</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Pr>
                    <w:rStyle w:val="Geometria10"/>
                    <w:rFonts w:ascii="Arial" w:hAnsi="Arial" w:cs="Arial"/>
                    <w:i/>
                    <w:color w:val="A6A6A6" w:themeColor="background1" w:themeShade="A6"/>
                    <w:szCs w:val="18"/>
                  </w:rPr>
                  <w:t>O acesso aos sistemas e informações é controlado por meio de usuários e senhas individuais, perfis de acesso, antivírus corporativo, firewall e Política de Boas Práticas de TI.</w:t>
                </w:r>
              </w:sdtContent>
            </w:sdt>
            <w:r>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Pr>
                    <w:rStyle w:val="Geometria10"/>
                    <w:rFonts w:ascii="Arial" w:hAnsi="Arial" w:cs="Arial"/>
                    <w:i/>
                    <w:color w:val="A6A6A6" w:themeColor="background1" w:themeShade="A6"/>
                    <w:szCs w:val="18"/>
                  </w:rPr>
                  <w:t>Sim. O tratamento de dados pessoais é realizado conforme a LGPD, com controle de acesso e finalidade definida.</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Pr>
                    <w:rStyle w:val="Geometria10"/>
                    <w:rFonts w:ascii="Arial" w:hAnsi="Arial" w:cs="Arial"/>
                    <w:i/>
                    <w:color w:val="A6A6A6" w:themeColor="background1" w:themeShade="A6"/>
                    <w:szCs w:val="18"/>
                  </w:rPr>
                  <w:t>A empresa possui responsável designado na área de Tecnologia da Informação, sem a formalização de um Encarregado de Proteção de Dados (DPO) dedicado nos moldes da LGPD/RGPD.</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Pr>
                    <w:rStyle w:val="Geometria10"/>
                    <w:rFonts w:ascii="Arial" w:hAnsi="Arial" w:cs="Arial"/>
                    <w:i/>
                    <w:color w:val="A6A6A6" w:themeColor="background1" w:themeShade="A6"/>
                    <w:szCs w:val="18"/>
                  </w:rPr>
                  <w:t>Sim. A empresa possui procedimento para comunicação e tratamento de incidentes relacionados à segurança da informação e proteção de dados.</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Pr>
                    <w:rStyle w:val="Geometria10"/>
                    <w:rFonts w:ascii="Arial" w:hAnsi="Arial" w:cs="Arial"/>
                    <w:i/>
                    <w:color w:val="A6A6A6" w:themeColor="background1" w:themeShade="A6"/>
                    <w:szCs w:val="18"/>
                  </w:rPr>
                  <w:t>Sim. Os colaboradores recebem orientação sobre ética, confidencialidade, proteção de dados e boas práticas de segurança da informação.</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Style w:val="Geometria10"/>
                    <w:rFonts w:ascii="Arial" w:hAnsi="Arial" w:cs="Arial"/>
                    <w:i/>
                    <w:color w:val="A6A6A6" w:themeColor="background1" w:themeShade="A6"/>
                    <w:szCs w:val="18"/>
                  </w:rPr>
                  <w:t>Não.</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Pr>
                    <w:rStyle w:val="Geometria10"/>
                    <w:rFonts w:ascii="Arial" w:hAnsi="Arial" w:cs="Arial"/>
                    <w:i/>
                    <w:color w:val="A6A6A6" w:themeColor="background1" w:themeShade="A6"/>
                    <w:szCs w:val="18"/>
                  </w:rPr>
                  <w:t>Os colaboradores recebem orientações sobre confidencialidade e proteção das informações, reforçadas no processo de integração.</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Style w:val="Geometria10"/>
                    <w:rFonts w:ascii="Arial" w:hAnsi="Arial" w:cs="Arial"/>
                    <w:i/>
                    <w:color w:val="A6A6A6" w:themeColor="background1" w:themeShade="A6"/>
                    <w:szCs w:val="18"/>
                  </w:rPr>
                  <w:t>Sim. Antes da contratação, a empresa realiza conferência da documentação obrigatória, qualificação profissional, requisitos da função e exame admissional, conforme a legislação aplicável.</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MS Gothic" w:eastAsia="MS Gothic" w:hAnsi="MS Gothic"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Style w:val="Geometria10"/>
                    <w:rFonts w:ascii="Arial" w:hAnsi="Arial" w:cs="Arial"/>
                    <w:sz w:val="19"/>
                    <w:szCs w:val="19"/>
                  </w:rPr>
                  <w:t>Não aplicável — a empresa não possui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MS Gothic" w:eastAsia="MS Gothic" w:hAnsi="MS Gothic"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Pr>
                    <w:rStyle w:val="Geometria10"/>
                    <w:rFonts w:ascii="Arial" w:hAnsi="Arial" w:cs="Arial"/>
                    <w:i/>
                    <w:color w:val="A6A6A6" w:themeColor="background1" w:themeShade="A6"/>
                    <w:szCs w:val="18"/>
                  </w:rPr>
                  <w:t>Atualmente a empresa não possui um Plano de Continuidade de Negócios formalizado. As contingências operacionais são tratadas por procedimentos internos e pela gestão de cada unidade (Matriz, Vila Velha/ES e Açu/RJ).</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Pr>
                      <w:rFonts w:ascii="MS Gothic" w:eastAsia="MS Gothic" w:hAnsi="MS Gothic"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Pr>
                    <w:rStyle w:val="Geometria10"/>
                    <w:rFonts w:ascii="Arial" w:hAnsi="Arial" w:cs="Arial"/>
                    <w:i/>
                    <w:color w:val="A6A6A6" w:themeColor="background1" w:themeShade="A6"/>
                    <w:szCs w:val="18"/>
                  </w:rPr>
                  <w:t>A empresa não possui um Plano de Recuperação de Desastres formalizado com previsão de realocação operacional entre unidades.</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br w:type="page"/>
            </w:r>
            <w:r>
              <w:rPr>
                <w:rFonts w:ascii="Arial" w:eastAsia="Times New Roman" w:hAnsi="Arial" w:cs="Arial"/>
                <w:b/>
                <w:bCs/>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kern w:val="0"/>
                <w:sz w:val="20"/>
                <w:lang w:val="pt-BR"/>
                <w14:ligatures w14:val="none"/>
                <w14:cntxtAlts w14:val="0"/>
              </w:rPr>
            </w:pPr>
            <w:r>
              <w:rPr>
                <w:rFonts w:ascii="Arial" w:eastAsia="Times New Roman" w:hAnsi="Arial" w:cs="Arial"/>
                <w:b/>
                <w:bCs/>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MS Gothic" w:eastAsia="MS Gothic" w:hAnsi="MS Gothic"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Style w:val="Geometria10"/>
                    <w:rFonts w:ascii="Arial" w:hAnsi="Arial" w:cs="Arial"/>
                    <w:i/>
                    <w:color w:val="A6A6A6" w:themeColor="background1" w:themeShade="A6"/>
                    <w:szCs w:val="18"/>
                  </w:rPr>
                  <w:t>Não aplicável — não houve condenação ou notificação relacionada à Lei de Escravidão Moderna.</w:t>
                </w:r>
              </w:sdtContent>
            </w:sdt>
            <w:r>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Style w:val="Geometria10"/>
                    <w:rFonts w:ascii="Arial" w:hAnsi="Arial" w:cs="Arial"/>
                    <w:i/>
                    <w:color w:val="A6A6A6" w:themeColor="background1" w:themeShade="A6"/>
                    <w:szCs w:val="18"/>
                  </w:rPr>
                  <w:t>Não aplicável — a empresa já possui a política de combate ao tráfico de pessoas/escravidão incorporada ao Código de Conduta e Ética do grupo, conforme resposta ao item (c).</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MS Gothic" w:eastAsia="MS Gothic" w:hAnsi="MS Gothic"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MS Gothic" w:eastAsia="MS Gothic" w:hAnsi="MS Gothic"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MS Gothic" w:eastAsia="MS Gothic" w:hAnsi="MS Gothic"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