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8"/>
                    <w:szCs w:val="18"/>
                  </w:rPr>
                  <w:t xml:space="preserve">Transporte rodoviário de cargas (incluindo produtos perigosos) e armazenagem/armazém geral — apoio logístico terrestre às operações da Pan Marine do Brasil (PGS-002-R Tipo 7).</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Pr>
                    <w:rFonts w:ascii="Arial" w:hAnsi="Arial" w:cs="Arial"/>
                    <w:sz w:val="18"/>
                    <w:szCs w:val="18"/>
                  </w:rPr>
                  <w:t xml:space="preserve">LACUS EXPRESS LOGÍSTICA EM CARGAS E ARMAZÉM GERAL LTDA — CNPJ 31.785.807/0001-00</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Pr>
                    <w:rFonts w:ascii="Arial" w:hAnsi="Arial" w:cs="Arial"/>
                    <w:sz w:val="18"/>
                    <w:szCs w:val="18"/>
                  </w:rPr>
                  <w:t xml:space="preserve">Rua Sussekind de Mendonça, 252 — Parque Colúmbia, Pavuna — Rio de Janeiro/RJ — CEP 21.535-250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Pr>
                    <w:rFonts w:ascii="Arial" w:hAnsi="Arial" w:cs="Arial"/>
                    <w:sz w:val="18"/>
                    <w:szCs w:val="18"/>
                  </w:rPr>
                  <w:t xml:space="preserve">(21) 3420-6490 / (21) 99653-4408</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Pr>
                    <w:rFonts w:ascii="Arial" w:hAnsi="Arial" w:cs="Arial"/>
                    <w:sz w:val="18"/>
                    <w:szCs w:val="18"/>
                  </w:rPr>
                  <w:t xml:space="preserve">Não aplicável</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Pr>
                    <w:rFonts w:ascii="Arial" w:hAnsi="Arial" w:cs="Arial"/>
                    <w:sz w:val="18"/>
                    <w:szCs w:val="18"/>
                  </w:rPr>
                  <w:t xml:space="preserve">André Blanco Siqueira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Pr>
                    <w:rFonts w:ascii="Arial" w:hAnsi="Arial" w:cs="Arial"/>
                    <w:sz w:val="18"/>
                    <w:szCs w:val="18"/>
                  </w:rPr>
                  <w:t xml:space="preserve">Diretor / Responsável Legal</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Pr>
                    <w:rFonts w:ascii="Arial" w:hAnsi="Arial" w:cs="Arial"/>
                    <w:sz w:val="18"/>
                    <w:szCs w:val="18"/>
                  </w:rPr>
                  <w:t xml:space="preserve">(21) 99653-4408</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rFonts w:ascii="Arial" w:hAnsi="Arial" w:cs="Arial"/>
                    <w:sz w:val="18"/>
                    <w:szCs w:val="18"/>
                  </w:rPr>
                  <w:t xml:space="preserve">comercial@lacusexpress.com.br / financeiro@lacusexpress.com.br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rFonts w:ascii="Arial" w:hAnsi="Arial" w:cs="Arial"/>
                    <w:sz w:val="18"/>
                    <w:szCs w:val="18"/>
                  </w:rPr>
                  <w:t xml:space="preserve">www.lacusexpress.com.br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rFonts w:ascii="Arial" w:hAnsi="Arial" w:cs="Arial"/>
                    <w:sz w:val="18"/>
                    <w:szCs w:val="18"/>
                  </w:rPr>
                  <w:t xml:space="preserve">17/10/2018 (abertura CNPJ) — Inscrição Estadual 18/10/2018; matrícula de Armazém Geral JUCERJA em 18/06/2021</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rFonts w:ascii="Arial" w:hAnsi="Arial" w:cs="Arial"/>
                    <w:sz w:val="18"/>
                    <w:szCs w:val="18"/>
                  </w:rPr>
                  <w:t xml:space="preserve">25 colaboradores (21 homens e 4 mulheres — PGR Rev. 010, 30/01/2026): 13 motoristas, 9 operacionais/logística e 3 administrativos</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Pr>
                    <w:rFonts w:ascii="Arial" w:hAnsi="Arial" w:cs="Arial"/>
                    <w:sz w:val="18"/>
                    <w:szCs w:val="18"/>
                  </w:rPr>
                  <w:t xml:space="preserve">Transporte rodoviário de cargas municipal, intermunicipal, interestadual e internacional; transporte rodoviário de produtos perigosos (CNAE 49.30-2/03); armazém geral e depósito de mercadorias para terceiros; carga e descarga; agenciamento e organização logística de transporte de carga</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rFonts w:ascii="Arial" w:hAnsi="Arial" w:cs="Arial"/>
                    <w:sz w:val="18"/>
                    <w:szCs w:val="18"/>
                  </w:rPr>
                  <w:t xml:space="preserve">Galpão próprio de 683 m² (armazém geral matriculado na JUCERJA — Carta de Matrícula 00-2021/144350-6) na Rua Sussekind de Mendonça, 252, Pavuna/RJ, com Certificado do Corpo de Bombeiros e Licenciamento Sanitário (VISA-RJ). Frota própria de 12 veículos: 4 caminhões 3/4 Mercedes-Benz Accelo (815/1016/1017) e VW Delivery, 4 vans (Peugeot Expert, Citroën Jumpy, Fiat Scudo, Fiat Ducato) e 3 Fiat Fiorino, com rastreamento GPS/GPRS e gerenciamento de risco 24h. RNTRC 051520900 (ANTT). 11 motoristas habilitados em MOPP. Capacidade comprovada por Atestados de Capacidade Técnica de CHC do Brasil Táxi Aéreo, EMAR Táxi Aéreo e OMNI Táxi Aéreo (transporte nacional de peças e partes de aeronaves — motores, MGB, blades).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Pr>
                    <w:rFonts w:ascii="Arial" w:hAnsi="Arial" w:cs="Arial"/>
                    <w:sz w:val="18"/>
                    <w:szCs w:val="18"/>
                  </w:rPr>
                  <w:t xml:space="preserve">Transporte rodoviário de cargas e produtos perigosos e armazenagem em armazém geral, com coleta, conferência, rastreamento e entrega — conforme escopo a ser definido pela Contratante.</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rFonts w:ascii="Arial" w:hAnsi="Arial" w:cs="Arial"/>
                    <w:sz w:val="18"/>
                    <w:szCs w:val="18"/>
                  </w:rPr>
                  <w:t xml:space="preserve">André Blanco Siqueira — Diretor</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rFonts w:ascii="Arial" w:hAnsi="Arial" w:cs="Arial"/>
                    <w:sz w:val="18"/>
                    <w:szCs w:val="18"/>
                  </w:rPr>
                  <w:t xml:space="preserve">04/09/2026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0"/>
                  <w14:checkedState w14:val="E10A" w14:font="Segoe UI Symbol"/>
                  <w14:uncheckedState w14:val="2610" w14:font="MS Gothic"/>
                </w14:checkbox>
              </w:sdtPr>
              <w:sdtContent>
                <w:r w:rsidR="00315E25">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sz w:val="16"/>
                    </w:rPr>
                    <w:t>Não há Declaração de Política de QHSE formal assinada. As diretrizes de SMS estão descritas no PGR (NR-01) Rev. 010, no PCMSO Rev. 012, no PAE-001 Rev. 03 e no POP.LC.15.</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showingPlcHdr/>
                <w:text/>
              </w:sdtPr>
              <w:sdtEndPr>
                <w:rPr>
                  <w:rStyle w:val="Fontepargpadro"/>
                  <w:spacing w:val="-8"/>
                </w:rPr>
              </w:sdtEndPr>
              <w:sdtContent>
                <w:r w:rsidR="006379FF" w:rsidRPr="00315E25">
                  <w:rPr>
                    <w:rStyle w:val="Geometria10"/>
                    <w:rFonts w:ascii="Arial" w:hAnsi="Arial" w:cs="Arial"/>
                    <w:color w:val="FFFFFF" w:themeColor="background1"/>
                    <w:sz w:val="19"/>
                    <w:szCs w:val="19"/>
                  </w:rPr>
                  <w:t>e</w:t>
                </w:r>
              </w:sdtContent>
            </w:sdt>
            <w:r>
              <w:rPr>
                <w:rFonts w:ascii="Arial" w:hAnsi="Arial" w:cs="Arial"/>
                <w:sz w:val="20"/>
              </w:rPr>
              <w:t xml:space="preserve"> André Blanco Siqueira (responsável pela empresa) — com apoio técnico de Diego Nonato da Silva (SMS / Gerenciamento de Riscos) e do TST José Paulo Rebelo Romano, registro 21225 (responsável técnico pelo PGR)</w:t>
            </w:r>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showingPlcHdr/>
                <w:text/>
              </w:sdtPr>
              <w:sdtEndPr>
                <w:rPr>
                  <w:rStyle w:val="Fontepargpadro"/>
                  <w:spacing w:val="-8"/>
                </w:rPr>
              </w:sdtEndPr>
              <w:sdtContent>
                <w:r w:rsidR="006379FF" w:rsidRPr="00315E25">
                  <w:rPr>
                    <w:rStyle w:val="Geometria10"/>
                    <w:rFonts w:ascii="Arial" w:hAnsi="Arial" w:cs="Arial"/>
                    <w:color w:val="FFFFFF" w:themeColor="background1"/>
                    <w:sz w:val="19"/>
                    <w:szCs w:val="19"/>
                  </w:rPr>
                  <w:t>e</w:t>
                </w:r>
              </w:sdtContent>
            </w:sdt>
            <w:r>
              <w:rPr>
                <w:rFonts w:ascii="Arial" w:hAnsi="Arial" w:cs="Arial"/>
                <w:sz w:val="20"/>
              </w:rPr>
              <w:t xml:space="preserve"> Diretor / Responsável Legal — Responsável SMS — Técnico em Segurança do Trabalho (externo)</w:t>
            </w:r>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sz w:val="16"/>
                    </w:rPr>
                    <w:t>Não há departamento dedicado; a função de SMS é exercida pelo responsável de Gerenciamento de Riscos com assessoria de Técnico em Segurança do Trabalho.</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sz w:val="16"/>
                    </w:rPr>
                    <w:t>Conjunto de procedimentos documentados: PAE-001 (Plano de Atendimento a Emergências — Rev. 03, 51 pág.), POP.LC.15 (Gerenciamento de Descartes e Resíduos), POP de Gerenciamento de Riscos, POP de Reboque, PGR (NR-01) e PCMSO (NR-07).</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sz w:val="16"/>
                    </w:rPr>
                    <w:t>Cópias já enviadas à TMS (PGR, PCMSO, PAE-001, POP.LC.15); demais POPs disponíveis mediante solicitação.</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 w:val="18"/>
                    <w:szCs w:val="18"/>
                  </w:rPr>
                  <w:t xml:space="preserve">Não há notificações de órgãos fiscalizadores nem processos em curso. Certidões negativas vigentes: FGTS (CRF), CNDT, RFB/PGFN (positiva com efeitos de negativa), ICMS/PGE, ISS e Falência.</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sz w:val="16"/>
                    </w:rPr>
                    <w:t>Ocorrências são registradas por evento (Anexo VI do PAE-001 — Formulário de Registro de Ocorrência e Anexo VII — Avaliação Pós-Emergência); ainda não há consolidação estatística anual de indicadores.</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N/D</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N/D</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N/D</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Por comunicação interna: reuniões e instruções da equipe de segurança do trabalho aos colaboradores, DDS/orientações periódicas e divulgação das conclusões da Avaliação Pós-Emergência (PAE-001, item 28 e Anexo VII). O PGR prevê registro e divulgação dos dados aos colaboradores (item 20).</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sz w:val="16"/>
                    </w:rPr>
                    <w:t>Não há programa formal de auditoria. O acompanhamento é feito pelo Plano de Ação 5W2H do PGR (itens 15 a 17) e pelas inspeções previstas no POP.LC.15 e no PAE-001.</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sz w:val="16"/>
                    </w:rPr>
                    <w:t>Não aplicável — operação exclusivamente rodoviária. Coberturas vigentes: RCTR-C 5401001146 e RC-DC 5501001388 (SURA, até 31/01/2027) e Compreensivo Empresarial com RC Operações e RC Empregador (SURA, até 17/03/2027).</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Pr>
                    <w:rFonts w:ascii="Arial" w:hAnsi="Arial" w:cs="Arial"/>
                    <w:sz w:val="18"/>
                    <w:szCs w:val="18"/>
                  </w:rPr>
                  <w:t xml:space="preserve">A operação é realizada com frota própria (12 veículos) e motoristas próprios (CLT). Não há subcontratação estruturada. Nos casos eventuais de veículo agregado, é exigida a documentação regulatória do transportador (RNTRC/ANTT, CNH com categoria compatível e MOPP para produtos perigosos, cobertura securitária) e o monitoramento pela gerenciadora de risco.</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Pr>
                    <w:rFonts w:ascii="Arial" w:hAnsi="Arial" w:cs="Arial"/>
                    <w:sz w:val="18"/>
                    <w:szCs w:val="18"/>
                  </w:rPr>
                  <w:t xml:space="preserve">Os registros são mantidos por documentação: cópias das habilitações, MOPP, ASO e apólices dos veículos agregados/contratados são arquivadas junto ao cadastro de fornecedores.</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empresa não possui, até o momento, procedimento formal de verificação anticorrupção/antissuborno para subcontratados; a conformidade é tratada nas consultas cadastrais prévias (antecedentes, Serasa e certidões) e nas cláusulas contratuais.</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Pr>
                    <w:rFonts w:ascii="Arial" w:hAnsi="Arial" w:cs="Arial"/>
                    <w:sz w:val="18"/>
                    <w:szCs w:val="18"/>
                  </w:rPr>
                  <w:t xml:space="preserve">Manutenção preventiva por quilometragem controlada na Planilha de Controle de Preventivas por KM (leitura semanal, intervalos por modelo de 10 a 60 mil km, status "utilizando / período de revisão / oficina" e abas de serviços pendentes e em andamento). Registros de manutenção corretiva e preventiva por veículo (ordens de serviço, NF-e e comprovantes 2025/2026) para as 11 placas da frota, e controle financeiro por equipamento no sistema Bsoft TMS. Certificado de emissão de fumaça preta (INEA) para os veículos a diesel. Não há equipamentos de elevação próprios.</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Levantamento de EPIs por GHE/cargo/função com os respectivos CAs (PGR Rev. 010, item 18 — Acompanhamento do EPI), entrega registrada em Ficha de Controle de Entrega de EPI (anexo do PGR), inspeção por checklist dos itens de EPI e reposição conforme desgaste. Para produtos perigosos, a Matriz Produto × EPI × Equipamento × Procedimento (PAE-001, Anexo III) define o EPI mínimo por produto e por nível de gravidade da emergência (Anexo IV).</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w:t>
            </w:r>
            <w:proofErr w:type="gramStart"/>
            <w:r>
              <w:rPr>
                <w:rFonts w:ascii="Arial" w:hAnsi="Arial" w:cs="Arial"/>
              </w:rPr>
              <w:t>a</w:t>
            </w:r>
            <w:proofErr w:type="gramEnd"/>
            <w:r>
              <w:rPr>
                <w:rFonts w:ascii="Arial" w:hAnsi="Arial" w:cs="Arial"/>
              </w:rPr>
              <w:t>)</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Integração admissional com apresentação do PGR e do PCMSO, exame admissional (ASO) e treinamentos periódicos de reciclagem. Os motoristas de produtos perigosos possuem curso MOPP válido (11 condutores habilitados) e CNH na categoria compatível.</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Treinamentos periódicos e constantes orientados aos riscos identificados no Inventário de Riscos do PGR (por GHE — administrativo, transporte e operacional) e nos cenários de emergência do PAE-001 (acidente, incêndio, tombamento, vazamento, roubo), com registro no Anexo VIII do PAE (Registro de Treinamento e Simulado).</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Treinamentos internos, de caráter prático: procedimentos de acionamento e atendimento a emergências (PAE-001 — PARAR → AVALIAR → PROTEGER → SINALIZAR → COMUNICAR → ACIONAR), uso e conservação de EPI, segregação e descarte de resíduos (POP.LC.15), procedimentos de gerenciamento de risco e reboque, e instruções da equipe de segurança do trabalho.</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sz w:val="16"/>
                    </w:rPr>
                    <w:t>Não possui certificação ISO 14001/EMAS.</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 Diego Nonato da Silva</w:t>
                      </w:r>
                    </w:sdtContent>
                  </w:sdt>
                </w:p>
                <w:p w14:paraId="45D5DFBE" w14:textId="77777777"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 Responsável SMS / Gerenciamento de Riscos (elaborador do PAE-001 e do POP.LC.15)</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sz w:val="16"/>
                    </w:rPr>
                    <w:t>Não há SGA documentado; os controles ambientais estão no POP.LC.15 e no PAE-001.</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 w:val="18"/>
                    <w:szCs w:val="18"/>
                  </w:rPr>
                  <w:t xml:space="preserve">Evidências: POP.LC.15 — Gerenciamento de Descartes e Resíduos (segregação, armazenamento temporário, destinação a empresa licenciada e registros obrigatórios — coleta, certificados de destinação, manifestos de transporte e checklist de inspeção); Certificado de emissão de fumaça preta (INEA); Licenciamento Sanitário (VISA-RJ); PAE-001 item 18 (derramamento e vazamento de produto) e cadastro de 38 produtos perigosos com FISPQ conferida (Anexos II e IX).</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 w:val="18"/>
                    <w:szCs w:val="18"/>
                  </w:rPr>
                  <w:t xml:space="preserve">Não há objetivos e metas ambientais formalizados. O POP.LC.15 estabelece inspeções e registros como controle mínimo; a definição de metas será avaliada na próxima revisão dos procedimentos.</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sz w:val="16"/>
                    </w:rPr>
                    <w:t>Não possui certificação ISO 9001.</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sz w:val="16"/>
                    </w:rPr>
                    <w:t>POP.LC.15, PAE-001 Rev. 03 (documento controlado, com histórico de revisões), POP de Gerenciamento de Riscos e POP de Reboque; PGR e PCMSO.</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 w:val="18"/>
                    <w:szCs w:val="18"/>
                  </w:rPr>
                  <w:t xml:space="preserve">Controle interno por notas fiscais e documentos de transporte (CT-e/MDF-e), ordens de coleta, conferência física das cargas e rastreamento GPS/GPRS em tempo real dos veículos (velocidade, ignição, bloqueio e portas) na plataforma de monitoramento, integrado ao gerenciamento de risco.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 w:val="18"/>
                    <w:szCs w:val="18"/>
                  </w:rPr>
                  <w:t xml:space="preserve">Emissão de ordens de coleta, conferência física das cargas, rastreamento e monitoramento dos trajetos com tecnologia embarcada (GPS/GPRS) e gerenciadora de risco (regras de monitoramento por faixa de valor e plano de chamadas 24h — PGR FS Seguros), com controle operacional e financeiro por equipamento no sistema Bsoft TMS.</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sz w:val="16"/>
                    </w:rPr>
                    <w:t>Canal comercial/operacional direto com os clientes; ocorrências registradas conforme PAE-001 (Anexo VI).</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1"/>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1"/>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1"/>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 w:val="18"/>
                    <w:szCs w:val="18"/>
                  </w:rPr>
                  <w:t xml:space="preserve">Orientação e instrução periódicas das equipes de trabalho; após ocorrência ou simulado, registro de pontos positivos, falhas, causas e ações corretivas/preventivas na Avaliação Pós-Emergência (PAE-001, item 28 e Anexo VII), com acompanhamento no Plano de Ação 5W2H do PGR.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 w:val="18"/>
                          <w:szCs w:val="18"/>
                        </w:rPr>
                        <w:t xml:space="preserve">Evidências: PAE-001 é documento controlado com código, revisão (Rev. 00 a 03), datas de emissão/aprovação/vigência, responsáveis por elaboração/revisão/aprovação e histórico de revisões; POP.LC.15 com versão, data de emissão, elaborador e autorizador; PGR com tabela de revisões (Rev. 001 a 010, 2022–2026); controle de FDS/FISPQ (PAE Anexo IX). Documentos fiscais e financeiros arquivados no sistema Bsoft TMS.</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sz w:val="16"/>
                    </w:rPr>
                    <w:t>Comprovação: Atestados de Capacidade Técnica de CHC do Brasil Táxi Aéreo, EMAR Táxi Aéreo e OMNI Táxi Aéreo (12/02/2026) — bom desempenho operacional e cumprimento fiel das obrigações.</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rPr>
                  <w:t xml:space="preserve">Sim. A empresa implementa continuamente novas tecnologias e ações de melhoria: rastreamento GPS/GPRS com bloqueio e sensores de portas, gerenciamento de risco com seguradora, sistema de gestão Bsoft TMS, PGR revisado anualmente (10 revisões desde 2022), PAE-001 revisado três vezes em setembro/2026 para incluir o cadastro completo de 38 produtos perigosos, e POP.LC.15 emitido em 07/2026.</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sz w:val="16"/>
                    </w:rPr>
                    <w:t>Requisitos coletados na ordem de coleta e no contato comercial (produto, nº ONU/classe, quantidade, acondicionamento, prazos), conforme PAE-001 item 10.</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Por controles internos: registro de ocorrências e avarias, controle de multas, custos de manutenção, combustível e pedágio por equipamento no Bsoft TMS e conferência física das cargas na coleta e na entrega.</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sz w:val="16"/>
                    </w:rPr>
                    <w:t>Não há procedimento formal de gestão de mudanças; alterações de operação, frota, produtos ou legislação motivam revisão do PAE-001 (item 28) e do PGR.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sz w:val="16"/>
                    </w:rPr>
                    <w:t>Sem objeção — acesso às instalações, equipamentos, pessoal e registros mediante agendamento.</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competência é assegurada por requisitos de admissão e manutenção: CNH na categoria compatível com o veículo, curso MOPP para condutores de produtos perigosos (11 condutores, com prorrogações registradas), exames admissionais e periódicos conforme PCMSO Rev. 012 (25 ASO válidos — 100% do efetivo, todos aptos), treinamentos previstos no PGR e no PAE-001 (Anexo VIII — Registro de Treinamento e Simulado) e acompanhamento pelo Técnico em Segurança do Trabalho.</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(empresa brasileira). As certificações seguem a regulamentação nacional: CONTRAN/DETRAN (CNH e MOPP), ANTT (RNTRC) e Ministério do Trabalho (NRs).</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Na admissão de novos colaboradores e quando identificada necessidade de reciclagem nos colaboradores atuais — por observação da supervisão, ocorrências registradas, resultados de simulados (PAE-001 item 28), vencimento de certificações (MOPP, CNH, ASO) e revisões do PGR.</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 partir da detecção de falhas no processo ou de novos riscos, são programados treinamentos periódicos; as ações são incluídas no Plano de Ação 5W2H do PGR (o quê, quem, quando, como) e acompanhadas pelo responsável de SMS.</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Sim. O controle de vencimentos (CNH, MOPP, ASO, apólices, certidões e licenças) é feito por sistema/controle interno da empresa.</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Não. Os treinamentos são administrados por controle interno (planilhas e registros em papel — PAE-001 Anexo VIII).</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Não aplicável.</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Câmeras nas instalações e sistema de rastreamento e monitoramento da frota em tempo real (GPS/GPRS — velocidade, ignição, bloqueio e portas), com acompanhamento da gerenciadora de risco 24h; supervisão operacional direta no galpão e conferência física das cargas.</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Comunicação interna: relatórios da plataforma de monitoramento e do Bsoft TMS à direção, reuniões com as equipes e divulgação das conclusões das avaliações pós-ocorrência (PAE-001 Anexo VII).</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Pr>
                    <w:rFonts w:ascii="Arial" w:hAnsi="Arial" w:cs="Arial"/>
                    <w:sz w:val="18"/>
                    <w:szCs w:val="18"/>
                  </w:rPr>
                  <w:t xml:space="preserve">Por procedimentos escritos (PAE-001, POP.LC.15, POP de Gerenciamento de Riscos, POP de Reboque), checklists operacionais (PAE-001 Anexo V e checklist de EPI), controle de EPI por função (PGR item 18), monitoramento eletrônico dos veículos e instrução periódica da equipe de segurança do trabalho.</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Pr>
                    <w:rFonts w:ascii="Arial" w:hAnsi="Arial" w:cs="Arial"/>
                    <w:sz w:val="18"/>
                    <w:szCs w:val="18"/>
                  </w:rPr>
                  <w:t xml:space="preserve">Instrução realizada pela equipe de segurança do trabalho (TST José Paulo Rebelo Romano, registro 21225) aos supervisores e colaboradores, com base no PGR Rev. 010 e no PAE-001; o responsável de SMS/Gerenciamento de Riscos (Diego Nonato da Silva) elaborou o PAE-001 e o POP.LC.15.</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Pr>
                    <w:rFonts w:ascii="Arial" w:hAnsi="Arial" w:cs="Arial"/>
                    <w:sz w:val="18"/>
                    <w:szCs w:val="18"/>
                  </w:rPr>
                  <w:t xml:space="preserve">Responsabilidades da supervisão previstas no PGR (assegurar equipamentos em perfeito estado, ordem e limpeza, consulta e orientação aos trabalhadores), inventário de riscos por GHE, medidas de controle e EPI, procedimentos de emergência do PAE-001 (classificação de níveis 1 a 4, acionamento, isolamento, atendimento a vítimas) e registro de ocorrências.</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showingPlcHdr/>
                <w:text/>
              </w:sdtPr>
              <w:sdtEndPr>
                <w:rPr>
                  <w:rStyle w:val="Fontepargpadro"/>
                  <w:spacing w:val="-8"/>
                </w:rPr>
              </w:sdtEndPr>
              <w:sdtContent>
                <w:r w:rsidR="00C946BD" w:rsidRPr="00315E25">
                  <w:rPr>
                    <w:rStyle w:val="Geometria10"/>
                    <w:rFonts w:ascii="Arial" w:hAnsi="Arial" w:cs="Arial"/>
                    <w:color w:val="FFFFFF" w:themeColor="background1"/>
                    <w:sz w:val="19"/>
                    <w:szCs w:val="19"/>
                  </w:rPr>
                  <w:t>e</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showingPlcHdr/>
                <w:text/>
              </w:sdtPr>
              <w:sdtEndPr>
                <w:rPr>
                  <w:rStyle w:val="Fontepargpadro"/>
                  <w:spacing w:val="-8"/>
                </w:rPr>
              </w:sdtEndPr>
              <w:sdtContent>
                <w:r w:rsidR="00C946BD" w:rsidRPr="00315E25">
                  <w:rPr>
                    <w:rStyle w:val="Geometria10"/>
                    <w:rFonts w:ascii="Arial" w:hAnsi="Arial" w:cs="Arial"/>
                    <w:color w:val="FFFFFF" w:themeColor="background1"/>
                    <w:sz w:val="19"/>
                    <w:szCs w:val="19"/>
                  </w:rPr>
                  <w:t>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Pr>
                    <w:rFonts w:ascii="Arial" w:hAnsi="Arial" w:cs="Arial"/>
                    <w:sz w:val="18"/>
                    <w:szCs w:val="18"/>
                  </w:rPr>
                  <w:t xml:space="preserve">Gestão de TI realizada por empresa especializada contratada: controle de acessos por usuário e senha aos sistemas (Bsoft TMS, plataforma de rastreamento), antivírus e backup.</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Pr>
                    <w:rFonts w:ascii="Arial" w:hAnsi="Arial" w:cs="Arial"/>
                    <w:sz w:val="18"/>
                    <w:szCs w:val="18"/>
                  </w:rPr>
                  <w:t xml:space="preserve">Sim. As finalidades do tratamento de dados pessoais (cadastro de colaboradores, motoristas e clientes) e as autorizações de acesso são definidas com apoio da empresa contratada para gestão de TI.</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Pr>
                    <w:rFonts w:ascii="Arial" w:hAnsi="Arial" w:cs="Arial"/>
                    <w:sz w:val="18"/>
                    <w:szCs w:val="18"/>
                  </w:rPr>
                  <w:t xml:space="preserve">Sim. A função de encarregado (LGPD — Lei 13.709/2018, equivalente nacional ao RGPD) é exercida com apoio da empresa contratada para gestão de TI.</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Pr>
                    <w:rFonts w:ascii="Arial" w:hAnsi="Arial" w:cs="Arial"/>
                    <w:sz w:val="18"/>
                    <w:szCs w:val="18"/>
                  </w:rPr>
                  <w:t xml:space="preserve">Sim. Procedimentos de detecção, comunicação e investigação de incidentes de segurança da informação mantidos pela empresa contratada para gestão de TI.</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Pr>
                    <w:rFonts w:ascii="Arial" w:hAnsi="Arial" w:cs="Arial"/>
                    <w:sz w:val="18"/>
                    <w:szCs w:val="18"/>
                  </w:rPr>
                  <w:t xml:space="preserve">Sim. Os colaboradores que tratam dados pessoais (administrativo e RH) recebem orientação com apoio da empresa contratada para gestão de TI.</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Não. Os dados são tratados internamente; a empresa de TI presta suporte à infraestrutura.</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i</w:t>
            </w:r>
            <w:proofErr w:type="gramEnd"/>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Pr>
                    <w:rFonts w:ascii="Arial" w:hAnsi="Arial" w:cs="Arial"/>
                    <w:sz w:val="18"/>
                    <w:szCs w:val="18"/>
                  </w:rPr>
                  <w:t xml:space="preserve">Controle de acesso às instalações (galpão com vigilância por câmeras e serviço de segurança), verificações pré-emprego e procedimentos de segurança em rota (PAE-001 item 19 — roubo, furto e tentativa de roubo; gerenciadora de risco).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 w:val="18"/>
                    <w:szCs w:val="18"/>
                  </w:rPr>
                  <w:t xml:space="preserve">Consulta de antecedentes criminais, consulta Serasa, validação de CNH/MOPP junto ao DETRAN e demais consultas pertinentes; exame admissional (ASO) conforme PCMSO.</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a</w:t>
            </w:r>
            <w:proofErr w:type="gramEnd"/>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showingPlcHdr/>
                <w:text/>
              </w:sdtPr>
              <w:sdtEndPr>
                <w:rPr>
                  <w:rStyle w:val="Fontepargpadro"/>
                  <w:spacing w:val="-8"/>
                </w:rPr>
              </w:sdtEndPr>
              <w:sdtContent>
                <w:r w:rsidR="00C946BD" w:rsidRPr="00315E25">
                  <w:rPr>
                    <w:rStyle w:val="Geometria10"/>
                    <w:rFonts w:ascii="Arial" w:hAnsi="Arial" w:cs="Arial"/>
                    <w:color w:val="FFFFFF" w:themeColor="background1"/>
                    <w:sz w:val="19"/>
                    <w:szCs w:val="19"/>
                  </w:rPr>
                  <w:t>e</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Pr>
                    <w:rFonts w:ascii="Arial" w:hAnsi="Arial" w:cs="Arial"/>
                    <w:sz w:val="18"/>
                    <w:szCs w:val="18"/>
                  </w:rPr>
                  <w:t xml:space="preserve">Não há plano de continuidade de negócios formal. A resposta a emergências operacionais está estruturada no PAE-001 Rev. 03 (cenários, acionamento, órgãos externos, reboque e transbordo).</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Pr>
                    <w:rFonts w:ascii="Arial" w:hAnsi="Arial" w:cs="Arial"/>
                    <w:sz w:val="18"/>
                    <w:szCs w:val="18"/>
                  </w:rPr>
                  <w:t xml:space="preserve">Não há plano formal de recuperação de desastres com realocação; a operação de transporte pode ser mantida a partir da frota em rota e do apoio da gerenciadora de risco.</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color w:val="auto"/>
                <w:kern w:val="0"/>
                <w:sz w:val="20"/>
                <w:u w:val="single"/>
                <w:lang w:val="en-GB"/>
                <w14:ligatures w14:val="none"/>
                <w14:cntxtAlts w14:val="0"/>
              </w:rPr>
              <w:br w:type="page"/>
            </w:r>
            <w:r w:rsidRPr="00315E25">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 w:val="18"/>
                    <w:szCs w:val="18"/>
                  </w:rPr>
                  <w:t xml:space="preserve">Não. Não há condenação ou notificação. A empresa cumpre a legislação trabalhista brasileira (CNDT negativa nº 73074277/2026; CRF/FGTS regular; 25 colaboradores registrados com PGR/PCMSO).</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 w:val="18"/>
                    <w:szCs w:val="18"/>
                  </w:rPr>
                  <w:t xml:space="preserve">Não há política específica. A empresa avaliará a inclusão de compromisso de combate ao trabalho escravo e ao tráfico de pessoas no Termo de Compromisso SMS (PGS-002G-C) a ser firmado com a Pan Marine e nas próximas revisões dos procedimentos internos.</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sidR="00315E25">
                        <w:rPr>
                          <w:rFonts w:ascii="MS Gothic" w:eastAsia="MS Gothic" w:hAnsi="MS Gothic" w:cs="MS Gothic"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sz w:val="16"/>
                    </w:rPr>
                    <w:t>Faturamento anual muito inferior a £36 milhões (empresa de pequeno porte — EPP).</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