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Style w:val="Geometria10"/>
                    <w:rFonts w:ascii="Arial" w:hAnsi="Arial" w:cs="Arial"/>
                    <w:color w:val="1A1A1A"/>
                    <w:sz w:val="18"/>
                    <w:szCs w:val="18"/>
                  </w:rPr>
                  <w:t xml:space="preserve">Coleta, transporte rodoviário, armazenamento temporário e destinação final ambientalmente adequada de resíduos sólidos e líquidos, perigosos (Classe I) e não perigosos (Classes IIA e IIB), gerados nas operações, embarcações e bases de apoio da Pan Marine do Brasil LTDA, com emissão de Manifesto de Transporte de Resíduos (MTR) no Sistema INEA e do respectivo Certificado de Destinação Final (CDF).</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 xml:space="preserve">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Pr>
                    <w:rStyle w:val="Geometria10"/>
                    <w:color w:val="1A1A1A"/>
                    <w:sz w:val="18"/>
                    <w:szCs w:val="18"/>
                  </w:rPr>
                  <w:t xml:space="preserve">NEW INTER COMÉRCIO E SERVIÇOS S.A. — CNPJ 44.326.884/0001-44</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Pr>
                    <w:rStyle w:val="Geometria10"/>
                    <w:color w:val="1A1A1A"/>
                    <w:sz w:val="18"/>
                    <w:szCs w:val="18"/>
                  </w:rPr>
                  <w:t xml:space="preserve">Rua Cirene Henriques Paes, nº 800 — Bairro Lagoa — Macaé/RJ — CEP 27.925-405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Pr>
                    <w:rStyle w:val="Geometria10"/>
                    <w:color w:val="1A1A1A"/>
                    <w:sz w:val="18"/>
                    <w:szCs w:val="18"/>
                  </w:rPr>
                  <w:t xml:space="preserve">+55 (22) 2796-8800</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Pr>
                    <w:rStyle w:val="Geometria10"/>
                    <w:color w:val="1A1A1A"/>
                    <w:sz w:val="18"/>
                    <w:szCs w:val="18"/>
                  </w:rPr>
                  <w:t xml:space="preserve">N/A — a empresa não mantém linha de fax; a comunicação formal ocorre por e-mail e telefone.</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Pr>
                    <w:rStyle w:val="Geometria10"/>
                    <w:color w:val="1A1A1A"/>
                    <w:sz w:val="18"/>
                    <w:szCs w:val="18"/>
                  </w:rPr>
                  <w:t xml:space="preserve">Aryane Barcelos Maciel Carvalho</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Pr>
                    <w:rStyle w:val="Geometria10"/>
                    <w:color w:val="1A1A1A"/>
                    <w:sz w:val="18"/>
                    <w:szCs w:val="18"/>
                  </w:rPr>
                  <w:t xml:space="preserve">Coordenadora de Meio Ambiente</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Pr>
                    <w:rStyle w:val="Geometria10"/>
                    <w:color w:val="1A1A1A"/>
                    <w:sz w:val="18"/>
                    <w:szCs w:val="18"/>
                  </w:rPr>
                  <w:t xml:space="preserve">+55 (22) 2796-8800</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rStyle w:val="Geometria10"/>
                    <w:color w:val="1A1A1A"/>
                    <w:sz w:val="18"/>
                    <w:szCs w:val="18"/>
                  </w:rPr>
                  <w:t xml:space="preserve">administrativo@newinter.com.br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rStyle w:val="Geometria10"/>
                    <w:color w:val="1A1A1A"/>
                    <w:sz w:val="18"/>
                    <w:szCs w:val="18"/>
                  </w:rPr>
                  <w:t xml:space="preserve">www.newinter.com.br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rStyle w:val="Geometria10"/>
                    <w:color w:val="1A1A1A"/>
                    <w:sz w:val="18"/>
                    <w:szCs w:val="18"/>
                  </w:rPr>
                  <w:t xml:space="preserve">22/11/2021</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rStyle w:val="Geometria10"/>
                    <w:color w:val="1A1A1A"/>
                    <w:sz w:val="18"/>
                    <w:szCs w:val="18"/>
                  </w:rPr>
                  <w:t xml:space="preserve">A informar</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Pr>
                    <w:rStyle w:val="Geometria10"/>
                    <w:color w:val="1A1A1A"/>
                    <w:sz w:val="18"/>
                    <w:szCs w:val="18"/>
                  </w:rPr>
                  <w:t xml:space="preserve">Gerenciamento integral de resíduos: coleta, transporte rodoviário, armazenamento temporário, segregação, beneficiamento e destinação final de resíduos Classe I, IIA e IIB, resíduos de serviços de saúde (RSS), resíduos da construção civil (RCC) e resíduos sólidos urbanos (RSU), com rastreabilidade documental integral via Sistema MTR do INEA e emissão de Certificado de Destinação Final.</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rStyle w:val="Geometria10"/>
                    <w:color w:val="1A1A1A"/>
                    <w:sz w:val="18"/>
                    <w:szCs w:val="18"/>
                  </w:rPr>
                  <w:t xml:space="preserve">Unidade própria em Macaé/RJ, com 9.172,92 m² de área construída em terreno de 90.000,00 m², licenciada pela Licença Municipal de Operação nº 1082/2022 para segregação, armazenamento e beneficiamento de resíduos perigosos e não perigosos (Classes I, IIA e IIB), contando com estação de tratamento de efluentes industriais, oficina de manutenção, lavajato e área de hidrojateamento. Frota de 25 veículos cadastrados junto ao IBAMA (10 próprios e 14 agregados), com rastreamento on-line embarcado. Gestão de ativos, manutenção e ordens de serviço pelo sistema TOTVS-Protheus. Habilitação ambiental comprovada: LO INEA nº IN006687 (válida até 01/02/2030), LMO Macaé nº 1082/2022 (válida até 26/12/2027), CTF/APP IBAMA nº 8142172 e Autorização Ambiental Interestadual do IBAMA para 27 unidades federativas.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Pr>
                    <w:rStyle w:val="Geometria10"/>
                    <w:color w:val="1A1A1A"/>
                    <w:sz w:val="18"/>
                    <w:szCs w:val="18"/>
                  </w:rPr>
                  <w:t xml:space="preserve">Atendimento a unidades marítimas, embarcações e bases de apoio na Bacia de Campos, abrangendo a retirada de resíduos em instalações portuárias e terrestres, o transporte rodoviário até unidade licenciada, a triagem e o encaminhamento à destinação final ambientalmente adequada, com cadeia de custódia documentada de ponta a ponta (MTR → CDF) e destinação exclusiva a empresas com licença ambiental vigente, conforme condicionante da nossa Licença de Operação.</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rStyle w:val="Geometria10"/>
                    <w:color w:val="1A1A1A"/>
                    <w:sz w:val="18"/>
                    <w:szCs w:val="18"/>
                  </w:rPr>
                  <w:t xml:space="preserve">Aryane Barcelos Maciel Carvalho — Coordenadora de Meio Ambiente</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rStyle w:val="Geometria10"/>
                    <w:sz w:val="18"/>
                    <w:szCs w:val="18"/>
                    <w:color w:val="1A1A1A"/>
                  </w:rPr>
                  <w:t xml:space="preserve">        14  /  08  /  2026        </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Tidewater.</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rStyle w:val="Geometria10"/>
                    <w:color w:val="1A1A1A"/>
                    <w:sz w:val="18"/>
                    <w:szCs w:val="18"/>
                  </w:rPr>
                  <w:t xml:space="preserve">Uso exclusivo Tidewater</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rStyle w:val="Geometria10"/>
                    <w:color w:val="1A1A1A"/>
                    <w:sz w:val="18"/>
                    <w:szCs w:val="18"/>
                  </w:rPr>
                  <w:t xml:space="preserve">Uso exclusivo Tidewater</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rStyle w:val="Geometria10"/>
                    <w:color w:val="1A1A1A"/>
                    <w:sz w:val="18"/>
                    <w:szCs w:val="18"/>
                  </w:rPr>
                  <w:t xml:space="preserve">Uso exclusivo Tidewater</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rStyle w:val="Geometria10"/>
                    <w:color w:val="1A1A1A"/>
                    <w:sz w:val="18"/>
                    <w:szCs w:val="18"/>
                  </w:rPr>
                  <w:t xml:space="preserve">Uso exclusivo Tidewater</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Style w:val="Geometria10"/>
                    <w:rFonts w:ascii="Arial" w:hAnsi="Arial" w:cs="Arial"/>
                    <w:color w:val="1A1A1A"/>
                    <w:sz w:val="18"/>
                    <w:szCs w:val="18"/>
                  </w:rPr>
                  <w:t xml:space="preserve">Thiago Luiz da Silva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Style w:val="Geometria10"/>
                    <w:rFonts w:ascii="Arial" w:hAnsi="Arial" w:cs="Arial"/>
                    <w:color w:val="1A1A1A"/>
                    <w:sz w:val="18"/>
                    <w:szCs w:val="18"/>
                  </w:rPr>
                  <w:t xml:space="preserve">Coordenador de SMS (Segurança, Meio Ambiente e Saúde) — responsável pela coordenação do PGR</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Style w:val="Geometria10"/>
                    <w:rFonts w:ascii="Arial" w:hAnsi="Arial" w:cs="Arial"/>
                    <w:i/>
                    <w:color w:val="1A1A1A"/>
                    <w:szCs w:val="18"/>
                    <w:sz w:val="18"/>
                  </w:rPr>
                  <w:t xml:space="preserve">N/A — A New Inter nunca foi objeto de Notificação de Melhoria, Notificação de Proibição, auto de infração ou processo sancionador por parte do INEA, do IBAMA, da Secretaria Municipal de Ambiente de Macaé ou de qualquer outra autoridade fiscalizadora, no Brasil ou no exterior. Registramos que os órgãos citados na pergunta (HSE e DECC) são reguladores do Reino Unido, sem jurisdição sobre nossas operações. Todas as nossas licenças ambientais encontram-se vigentes e sem condicionante em atraso: LO INEA nº IN006687 (válida até 01/02/2030), LMO Macaé nº 1082/2022 (válida até 26/12/2027) e CTF/APP IBAMA nº 8142172.</w:t>
                </w:r>
              </w:sdtContent>
            </w:sdt>
            <w:r>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Style w:val="Geometria10"/>
                    <w:rFonts w:ascii="Arial" w:hAnsi="Arial" w:cs="Arial"/>
                    <w:color w:val="1A1A1A"/>
                    <w:sz w:val="18"/>
                    <w:szCs w:val="18"/>
                  </w:rPr>
                  <w:t xml:space="preserve">A informar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Style w:val="Geometria10"/>
                    <w:rFonts w:ascii="Arial" w:hAnsi="Arial" w:cs="Arial"/>
                    <w:i/>
                    <w:color w:val="1A1A1A"/>
                    <w:szCs w:val="18"/>
                    <w:sz w:val="18"/>
                  </w:rPr>
                  <w:t xml:space="preserve">Os resultados das investigações de incidentes e as demais informações relevantes de QSMS são comunicados por cinco vias complementares: (i) Diálogo Diário de Segurança (DDS), conduzido no início de cada turno nas frentes de trabalho e na base de Macaé; (ii) Alerta de Segurança emitido pelo Setor de SMS e afixado nos quadros de gestão à vista, quando o evento tem potencial de repetição; (iii) reuniões mensais da CIPA, com registro em ata e acompanhamento das ações pendentes; (iv) treinamento de reciclagem direcionado, sempre que a análise de causa raiz identifica lacuna de competência; e (v) registro da ocorrência, da ação corretiva e do prazo de implementação em sistema, assegurando rastreabilidade e verificação posterior de eficácia. As investigações seguem procedimento interno do Sistema de Gestão, com aplicação de 5 Porquês e diagrama de Ishikawa e plano de ação em formato 5W2H.</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 xml:space="preserve">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Pr>
                    <w:rStyle w:val="Geometria10"/>
                    <w:rFonts w:ascii="Arial" w:hAnsi="Arial" w:cs="Arial"/>
                    <w:i/>
                    <w:color w:val="1A1A1A"/>
                    <w:szCs w:val="18"/>
                    <w:sz w:val="18"/>
                  </w:rPr>
                  <w:t xml:space="preserve">A qualificação de subcontratados é conduzida pelo Setor de Qualidade em conjunto com o SMS, por meio de avaliação documental prévia e obrigatória à contratação. Para destinadoras e transportadoras exigimos: licença ambiental de operação vigente e compatível com a tipologia do resíduo, cadastro ativo no Sistema MTR do INEA, CTF/APP do IBAMA quando aplicável, responsável técnico habilitado e regularidade fiscal e trabalhista. Trata-se de exigência que decorre diretamente da condicionante 8 da nossa LO nº IN006687, que nos obriga a destinar resíduos somente a empresas com licença ambiental válida. Nossa rede homologada reúne atualmente 15 licenças ambientais de 10 empresas, entre as quais Tecnosol (LO IN052097 e LO IN013197), Falub (LO CETESB nº 61005157), CRR – Centro de Reciclagem Rio (LMO 07/2022 e LMO 002844/2021), Construtora Zadar – CTR Macaé (LO IN006746), Branco Transportes e Logística (LO IN104432 e LO 043/2023), Ecotronic (LO IN052678), Chaco Vaco (LO 035/2025), IDEA Serviços de Coleta (LO IN053353 e LO 611) e J.W. Dias (LAC IN1231675 e LMO 001971/2016).</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Pr>
                    <w:rStyle w:val="Geometria10"/>
                    <w:rFonts w:ascii="Arial" w:hAnsi="Arial" w:cs="Arial"/>
                    <w:i/>
                    <w:color w:val="1A1A1A"/>
                    <w:szCs w:val="18"/>
                    <w:sz w:val="18"/>
                  </w:rPr>
                  <w:t xml:space="preserve">Sim. Mantemos dossiê documental individual por subcontratado, sob guarda do Setor de Qualidade, contendo licenças ambientais e respectivos protocolos de renovação, certidões de regularidade e comprovação de responsável técnico. Os vencimentos são monitorados por controle próprio e verificados trimestralmente. Para licenças em processo de renovação, arquivamos o protocolo ou o despacho do órgão ambiental que comprova a tempestividade do pedido — como o Despacho SEI nº 92989410, de 10/02/2025, no qual o INEA reconhece expressamente a renovação tempestiva da LO nº IN052097 da Tecnosol (processo SEI-070002/002860/2025), e o Processo nº 30246/2025 da Prefeitura de São Gonçalo, referente à LMO nº 07/2022 da CRR. Adicionalmente, mantemos a planilha consolidada de registros operacionais exigida pela condicionante 7 da nossa LO, que reúne, por manifesto, o gerador, a tipologia do resíduo, o volume, o peso, o local de beneficiamento e o destino final, acompanhada de cópia das licenças das empresas envolvidas.</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Style w:val="Geometria10"/>
                    <w:rFonts w:ascii="Arial" w:hAnsi="Arial" w:cs="Arial"/>
                    <w:i/>
                    <w:color w:val="1A1A1A"/>
                    <w:szCs w:val="18"/>
                    <w:sz w:val="18"/>
                  </w:rPr>
                  <w:t xml:space="preserve">A conformidade é verificada em duas frentes. Contratualmente, todos os instrumentos de prestação de serviços e de destinação contêm cláusula anticorrupção e antissuborno com referência expressa à Lei nº 12.846/2013 (Lei Anticorrupção brasileira) e previsão de rescisão em caso de violação. Na etapa de homologação, consultamos o CNPJ do fornecedor no Cadastro Nacional de Empresas Inidôneas e Suspensas (CEIS) e no Cadastro Nacional de Empresas Punidas (CNEP), ambos mantidos pela Controladoria-Geral da União no Portal da Transparência, além de verificar a regularidade fiscal e trabalhista por meio de CND Federal, CRF/FGTS e CNDT. A adesão formal ao nosso Código de Conduta e Ética é condição de contratação e de manutenção do cadastro.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Pr>
                    <w:rStyle w:val="Geometria10"/>
                    <w:rFonts w:ascii="Arial" w:hAnsi="Arial" w:cs="Arial"/>
                    <w:i/>
                    <w:color w:val="1A1A1A"/>
                    <w:szCs w:val="18"/>
                    <w:sz w:val="18"/>
                  </w:rPr>
                  <w:t xml:space="preserve">A gestão da manutenção é informatizada no sistema TOTVS-Protheus, módulos de Gestão de Frotas e Manutenção, e regida pelos procedimentos P SGQ 01_MNT — Procedimento de Manutenção Geral de Equipamentos (Rev. 01, de 27/06/2025) e P SGQ 04_MNT — Procedimento de Manutenção de Ativos Externos (Rev. 00, de 05/01/2026). Todo ativo é cadastrado com identificação única e plano de manutenção preventiva por quilometragem ou horímetro; toda intervenção gera Ordem de Serviço, com registro de peças, mão de obra, datas e responsável, o que assegura o histórico completo por equipamento. A execução é evidenciada em Relatório Técnico de Manutenção — a exemplo do Relatório nº 0176, emitido em 31/07/2026 e assinado por engenheiro mecânico —, que consolida o planejamento, a execução e o histórico das ordens de serviço do período. Os equipamentos de içamento são inspecionados por profissional legalmente habilitado, com emissão de laudo e Anotação de Responsabilidade Técnica. Em atendimento à condicionante 16 da nossa LO nº IN006687, os serviços de apoio à frota — lavagem, lubrificação, abastecimento, manutenção e pintura — são executados exclusivamente em empresas licenciadas para tais atividades.</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Style w:val="Geometria10"/>
                    <w:rFonts w:ascii="Arial" w:hAnsi="Arial" w:cs="Arial"/>
                    <w:i/>
                    <w:color w:val="1A1A1A"/>
                    <w:szCs w:val="18"/>
                    <w:sz w:val="18"/>
                  </w:rPr>
                  <w:t xml:space="preserve">O fornecimento, a substituição e o controle de EPI seguem procedimento próprio do Sistema de Gestão e as diretrizes da NR-06. Todo EPI fornecido possui Certificado de Aprovação (CA) válido emitido pelo Ministério do Trabalho e Emprego e é entregue mediante Ficha de Entrega assinada pelo colaborador, com registro do CA, da data de entrega e do prazo de substituição. A definição do EPI por função decorre diretamente do inventário de riscos do nosso PGR (Rev. 28, vigência de 02/01/2025 a 01/01/2027), que estabelece as medidas de controle por Grupo de Exposição Similar — como o GSE 17, referente ao Gerenciamento de Resíduo Operacional. Para o manuseio de resíduos perigosos e para as atividades de hidrojateamento são fornecidos EPIs específicos definidos na análise de risco da tarefa, incluindo proteção química, respiratória e facial. A conservação, a higienização e o estado de uso são verificados em inspeções periódicas de campo pelo Setor de SMS, e a reposição é imediata em caso de dano, extravio ou perda de validade do CA. O treinamento sobre uso correto, guarda e limitações do EPI integra a Integração de novos colaboradores.</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Style w:val="Geometria10"/>
                    <w:rFonts w:ascii="Arial" w:hAnsi="Arial" w:cs="Arial"/>
                    <w:i/>
                    <w:color w:val="1A1A1A"/>
                    <w:szCs w:val="18"/>
                    <w:sz w:val="18"/>
                  </w:rPr>
                  <w:t xml:space="preserve">N/A — A New Inter, constituída em novembro de 2021, ainda não foi contemplada com premiação formal de desempenho em Saúde e Segurança, o que se explica pelo tempo de operação da empresa. Registramos, como reconhecimento externo do nosso desempenho, a aprovação do nosso conjunto documental de SMS, licenciamento ambiental e gestão da manutenção em processos de qualificação conduzidos por clientes do setor de óleo e gás.</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Style w:val="Geometria10"/>
                    <w:rFonts w:ascii="Arial" w:hAnsi="Arial" w:cs="Arial"/>
                    <w:i/>
                    <w:color w:val="1A1A1A"/>
                    <w:szCs w:val="18"/>
                    <w:sz w:val="18"/>
                  </w:rPr>
                  <w:t xml:space="preserve">Todo novo colaborador cumpre Integração de SMS antes do início das atividades, com carga horária definida e registro em lista de presença arquivada pelo Setor de SMS. O conteúdo abrange a Política Integrada de QSMS, a estrutura organizacional de SMS e as responsabilidades de cada nível, os riscos e as medidas de controle do PGR aplicáveis ao seu Grupo de Exposição Similar, o uso e a conservação de EPI, as regras de circulação e movimentação na unidade, o procedimento de comunicação de incidentes e quase-acidentes e o acionamento do Plano de Atendimento a Emergências. A atualização do conhecimento é mantida por Diálogos Diários de Segurança, por treinamentos de reciclagem periódicos das Normas Regulamentadoras aplicáveis e por reconvocação sempre que há revisão do PGR ou alteração de processo. Na mudança de função, o colaborador é reavaliado e recebe novo ASO de mudança de função, conforme a NR-07.</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Style w:val="Geometria10"/>
                    <w:rFonts w:ascii="Arial" w:hAnsi="Arial" w:cs="Arial"/>
                    <w:i/>
                    <w:color w:val="1A1A1A"/>
                    <w:szCs w:val="18"/>
                    <w:sz w:val="18"/>
                  </w:rPr>
                  <w:t xml:space="preserve">Os riscos específicos são identificados no inventário de riscos do PGR por Grupo de Exposição Similar e desdobrados em treinamentos direcionados à função. Para os motoristas envolvidos no transporte de resíduos perigosos exigimos CNH em categoria compatível com a atividade, com observação de exercício de atividade remunerada, e certificação em Transporte de Produtos Perigosos (MOPP), com carga horária de 50 horas e validade quinquenal, emitida por Centro de Formação de Condutores credenciado pelo DETRAN; acresce-se treinamento específico no Plano de Atendimento a Emergências ministrado pela Ambipar Response, com certificação individual. Para os colaboradores que manuseiam resíduos, o treinamento cobre segregação por classe conforme a NBR 10.004, acondicionamento segundo as NBR 11.174 e NBR 12.235, rotulagem, uso de EPI específico e procedimento em caso de derramamento. Antes de tarefas não rotineiras é elaborada Análise Preliminar de Risco, discutida e assinada pela equipe executante.</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Style w:val="Geometria10"/>
                    <w:rFonts w:ascii="Arial" w:hAnsi="Arial" w:cs="Arial"/>
                    <w:i/>
                    <w:color w:val="1A1A1A"/>
                    <w:szCs w:val="18"/>
                    <w:sz w:val="18"/>
                  </w:rPr>
                  <w:t xml:space="preserve">Ministramos internamente, pelo Setor de SMS: Integração de SMS para novos colaboradores; Diálogo Diário de Segurança; segregação, acondicionamento e rotulagem de resíduos Classe I, IIA e IIB conforme a NBR 10.004; preenchimento, emissão e baixa de Manifesto de Transporte de Resíduos no Sistema MTR do INEA, com as responsabilidades do gerador, do transportador e do destinador; uso, conservação e higienização de EPI; elaboração de Análise Preliminar de Risco; comunicação e investigação de incidentes e quase-acidentes; e acionamento do Plano de Atendimento a Emergências, incluindo simulado de vazamento de produto perigoso. Os treinamentos de caráter legal certificado — MOPP, NR-33 (espaços confinados), NR-35 (trabalho em altura), NR-10, brigada de incêndio e primeiros socorros — são contratados junto a instituições externas credenciadas, com certificado individual arquivado no prontuário do colaborador.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Style w:val="Geometria10"/>
                          <w:rFonts w:ascii="Arial" w:hAnsi="Arial" w:cs="Arial"/>
                          <w:color w:val="1A1A1A"/>
                          <w:sz w:val="18"/>
                          <w:szCs w:val="18"/>
                        </w:rPr>
                        <w:t xml:space="preserve">Aryane Barcelos Maciel Carvalho</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Style w:val="Geometria10"/>
                          <w:rFonts w:ascii="Arial" w:hAnsi="Arial" w:cs="Arial"/>
                          <w:color w:val="1A1A1A"/>
                          <w:sz w:val="18"/>
                          <w:szCs w:val="18"/>
                        </w:rPr>
                        <w:t xml:space="preserve">Coordenadora de Meio Ambiente</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Style w:val="Geometria10"/>
                    <w:rFonts w:ascii="Arial" w:hAnsi="Arial" w:cs="Arial"/>
                    <w:i/>
                    <w:color w:val="1A1A1A"/>
                    <w:szCs w:val="18"/>
                    <w:sz w:val="18"/>
                  </w:rPr>
                  <w:t xml:space="preserve">Sim. Os aspectos e impactos ambientais são identificados por atividade e consolidados em Matriz de Aspectos e Impactos Ambientais, revisada anualmente pelo Setor de Meio Ambiente e sempre que há alteração de processo. Os aspectos significativos da nossa operação são: geração e movimentação de resíduos perigosos e não perigosos; risco de vazamento durante carga, transporte e descarga; geração de efluentes industriais no hidrojateamento e na lavagem da frota; emissões atmosféricas da frota a diesel; e consumo de água e energia. Os controles associados são objetivamente evidenciados por: emissão de MTR no Sistema INEA para a totalidade das movimentações, com Certificado de Destinação Final correspondente — a exemplo dos CDFs nº 3578494, 3584985 e 3610522, emitidos em 2026; estação de tratamento de efluentes industriais própria, licenciada pela LMO nº 1082/2022; adesão ao PROCON Fumaça Preta, conforme a NOP-INEA-14; rastreamento on-line embarcado em toda a frota transportadora de resíduos, conforme a condicionante 11 da LO nº IN006687; e Plano de Atendimento a Emergências nacional contratado junto à Ambipar Response (Contrato nº 25499), com acionamento 24 horas por dia, 365 dias por ano.</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Style w:val="Geometria10"/>
                    <w:rFonts w:ascii="Arial" w:hAnsi="Arial" w:cs="Arial"/>
                    <w:i/>
                    <w:color w:val="1A1A1A"/>
                    <w:szCs w:val="18"/>
                    <w:sz w:val="18"/>
                  </w:rPr>
                  <w:t xml:space="preserve">Sim. O Setor de Meio Ambiente estabelece objetivos e metas anuais, aprovados pela Diretoria e acompanhados por indicadores mensais. Para o exercício de 2026 as metas são: (i) 100% das movimentações de resíduos com MTR emitido e CDF recebido dentro do prazo regulamentar, apurado por conciliação mensal entre manifestos emitidos e certificados baixados; (ii) zero acidente ambiental com vazamento em via pública ou corpo hídrico; (iii) 100% das destinadoras da rede com licença ambiental vigente ou renovação tempestiva comprovada, verificado trimestralmente; (iv) ampliação da fração de resíduos encaminhada a reciclagem, rerrefino e coprocessamento em detrimento da disposição em aterro; e (v) 100% de atendimento às condicionantes das licenças LO nº IN006687 e LMO nº 1082/2022, verificado em auditoria interna anual. Os resultados são apresentados na análise crítica pela Diretoria e compõem o relatório de evidências do cumprimento das condicionantes, exigido pelo órgão ambiental a cada renovação de licença.</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tab/>
        <w:tab/>
        <w:tab/>
        <w:tab/>
        <w:tab/>
        <w:tab/>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Style w:val="Geometria10"/>
                    <w:rFonts w:ascii="Arial" w:hAnsi="Arial" w:cs="Arial"/>
                    <w:i/>
                    <w:color w:val="1A1A1A"/>
                    <w:szCs w:val="18"/>
                    <w:sz w:val="18"/>
                  </w:rPr>
                  <w:t xml:space="preserve">Na nossa atividade a rastreabilidade recai sobre o resíduo movimentado, e não sobre produto manufaturado. Cada carga é identificada desde a origem pelo Manifesto de Transporte de Resíduos (MTR) emitido no Sistema INEA, que registra gerador, transportador, destinador, tipologia conforme a NBR 10.004, classe, quantidade e veículo utilizado. A baixa do manifesto no destino gera o Certificado de Destinação Final (CDF), documento que fecha a cadeia de custódia e comprova a tecnologia de destinação empregada. Todos os ativos da frota possuem identificação única no TOTVS-Protheus, permitindo vincular cada movimentação ao veículo e ao motorista. Complementarmente, mantemos a planilha consolidada de registros operacionais exigida pela condicionante 7 da LO nº IN006687, contendo número do manifesto, gerador, tipologia, volume, peso, local de beneficiamento e destinação final, acompanhada de cópia das licenças ambientais das empresas que realizam o beneficiamento e a destinação.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Style w:val="Geometria10"/>
                    <w:rFonts w:ascii="Arial" w:hAnsi="Arial" w:cs="Arial"/>
                    <w:i/>
                    <w:color w:val="1A1A1A"/>
                    <w:szCs w:val="18"/>
                    <w:sz w:val="18"/>
                  </w:rPr>
                  <w:t xml:space="preserve">O trabalho em andamento é controlado por Ordem de Serviço aberta em sistema para cada demanda, com registro de solicitante, escopo, equipe alocada, veículo, data de início e status de execução. A programação diária é elaborada pela Coordenação de Operações e distribuída às equipes no início do turno, junto ao Diálogo Diário de Segurança. Cada coleta gera manifesto próprio no Sistema MTR, e o acompanhamento em campo se dá por rastreamento on-line embarcado, que permite verificar rota, permanência e conclusão do serviço. Desvios e não conformidades identificados durante a execução são registrados em Relatório de Não Conformidade e tratados pelo Setor de Qualidade. O encerramento da Ordem de Serviço só ocorre após a confirmação da destinação e o recebimento do respectivo Certificado de Destinação Final, o que impede que uma operação seja considerada concluída sem o fechamento documental da cadeia de custódia.</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Style w:val="Geometria10"/>
                    <w:rFonts w:ascii="Arial" w:hAnsi="Arial" w:cs="Arial"/>
                    <w:i/>
                    <w:color w:val="1A1A1A"/>
                    <w:szCs w:val="18"/>
                    <w:sz w:val="18"/>
                  </w:rPr>
                  <w:t xml:space="preserve">As não conformidades — internas, reclamações de cliente ou constatações de auditoria — são registradas em Relatório de Não Conformidade, com análise de causa raiz conduzida pelo Setor de Qualidade em conjunto com a área envolvida, mediante aplicação de 5 Porquês e diagrama de Ishikawa. A partir da causa raiz é definido plano de ação em formato 5W2H, com responsável e prazo. A verificação de eficácia é etapa formal e obrigatória do procedimento: decorrido o prazo de implementação, o Setor de Qualidade audita a ação e só encerra o registro mediante evidência objetiva de que a causa foi eliminada — ausência de reincidência ao longo do período de monitoramento definido, atualização do procedimento afetado e, quando aplicável, comprovação do treinamento da equipe. Não conformidades reincidentes são escalonadas à Diretoria na análise crítica e podem determinar revisão do procedimento, do plano de treinamento ou do próprio fornecedor envolvido.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Style w:val="Geometria10"/>
                          <w:rFonts w:ascii="Arial" w:hAnsi="Arial" w:cs="Arial"/>
                          <w:i/>
                          <w:color w:val="1A1A1A"/>
                          <w:szCs w:val="18"/>
                          <w:sz w:val="18"/>
                        </w:rPr>
                        <w:t xml:space="preserve">Sim. O controle de documentos e registros é regido por procedimento específico do Sistema de Gestão da Qualidade e fica evidenciado na própria estrutura de identificação dos nossos documentos, que traz código, título, número de revisão, data e setor emissor — como se verifica nos procedimentos P SGQ 01_MNT — Procedimento de Manutenção Geral de Equipamentos (Rev. 01, de 27/06/2025) e P SGQ 04_MNT — Procedimento de Manutenção de Ativos Externos (Rev. 00, de 05/01/2026), e nos formulários associados, a exemplo do Form_01_MNT — Relatório Técnico de Manutenção. Toda revisão é aprovada pelo Setor de Qualidade, que mantém lista mestra com o histórico de revisões, assegura a disponibilidade da versão vigente nos pontos de uso e recolhe as versões obsoletas. Os registros de qualidade, SMS e ambientais têm prazo de guarda definido e são mantidos em meio físico e eletrônico, disponíveis à fiscalização e aos clientes mediante solicitação.</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Pr>
                    <w:rStyle w:val="Geometria10"/>
                    <w:rFonts w:ascii="Arial" w:hAnsi="Arial" w:cs="Arial"/>
                    <w:i/>
                    <w:color w:val="1A1A1A"/>
                    <w:szCs w:val="18"/>
                    <w:sz w:val="18"/>
                  </w:rPr>
                  <w:t xml:space="preserve">Sim. A melhoria contínua é conduzida pelo ciclo PDCA e sustentada por três mecanismos. O primeiro é a análise crítica pela Diretoria, na qual são avaliados os indicadores de qualidade, SMS e meio ambiente, o status das não conformidades e o atendimento às metas. O segundo é o programa de auditorias internas, que abrange os processos operacionais e o atendimento às condicionantes das licenças ambientais. O terceiro é o registro e tratamento de oportunidades de melhoria propostas pelos próprios colaboradores nos Diálogos Diários de Segurança e nas reuniões da CIPA. Evidências recentes desse processo: revisão do procedimento de manutenção para a Rev. 01 em 27/06/2025; emissão do procedimento de manutenção de ativos externos em 05/01/2026; atualização do PGR para a Rev. 28 em 24/07/2026, com inclusão da avaliação de riscos psicossociais; e implantação do módulo de Gestão de Frotas do TOTVS-Protheus, que substituiu controles manuais pela rastreabilidade sistêmica das ordens de serviço, conforme demonstrado no Relatório Técnico nº 0176.</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Style w:val="Geometria10"/>
                    <w:rFonts w:ascii="Arial" w:hAnsi="Arial" w:cs="Arial"/>
                    <w:i/>
                    <w:color w:val="1A1A1A"/>
                    <w:szCs w:val="18"/>
                    <w:sz w:val="18"/>
                  </w:rPr>
                  <w:t xml:space="preserve">O retrabalho é medido a partir dos registros de Ordem de Serviço e dos Relatórios de Não Conformidade. Consideramos retrabalho operacional toda coleta que precisa ser repetida por segregação inadequada na origem, incompatibilidade entre o resíduo declarado e o efetivamente apresentado, ou recusa no destino; e retrabalho documental toda emissão de manifesto que exige cancelamento e reemissão. Ambos são contabilizados mensalmente e expressos como percentual sobre o total de coletas e de manifestos do período. Na manutenção, o retrabalho é medido pela reabertura de Ordem de Serviço para o mesmo componente dentro do prazo de garantia da intervenção anterior, indicador extraído diretamente do histórico do sistema. No aspecto ambiental, o desperdício é tratado sob a lógica inversa da nossa atividade: a meta é reduzir a fração encaminhada a aterro e ampliar a destinada a reciclagem, rerrefino e coprocessamento, indicador apurado a partir dos Certificados de Destinação Final recebidos. Os resultados alimentam a análise crítica pela Diretoria.</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Style w:val="Geometria10"/>
                    <w:rFonts w:ascii="Arial" w:hAnsi="Arial" w:cs="Arial"/>
                    <w:i/>
                    <w:color w:val="1A1A1A"/>
                    <w:szCs w:val="18"/>
                    <w:sz w:val="18"/>
                  </w:rPr>
                  <w:t xml:space="preserve">A garantia de competência é estruturada em quatro etapas. Na admissão, verificamos escolaridade, experiência e certificações legais exigidas pela função, com retenção de cópia no prontuário — para motoristas de resíduos perigosos, CNH em categoria compatível com observação de exercício de atividade remunerada e certificado MOPP dentro da validade. Em seguida, o colaborador realiza exame médico admissional e recebe ASO atestando aptidão para a função e para os riscos do seu Grupo de Exposição Similar, conforme o PCMSO (vigência de 02/01/2026 a 02/01/2027). Na sequência, cumpre a Integração de SMS e os treinamentos obrigatórios decorrentes do inventário de riscos do PGR. Por fim, a manutenção da competência é assegurada por reciclagens periódicas, exames periódicos conforme a NR-07, avaliação de desempenho e reavaliação obrigatória em caso de mudança de função, com emissão de novo ASO. A matriz de treinamento por função, mantida pelo Setor de SMS em conjunto com o RH, define os requisitos mínimos de cada cargo e constitui a base de todo o controle.</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Style w:val="Geometria10"/>
                    <w:rFonts w:ascii="Arial" w:hAnsi="Arial" w:cs="Arial"/>
                    <w:i/>
                    <w:color w:val="1A1A1A"/>
                    <w:szCs w:val="18"/>
                    <w:sz w:val="18"/>
                  </w:rPr>
                  <w:t xml:space="preserve">N/A — A pergunta refere-se expressamente ao contexto europeu. No Brasil não existe órgão acreditador de programas corporativos de competência equivalente ao modelo europeu. Registramos, contudo, que as certificações de caráter legal dos nossos colaboradores são emitidas por instituições reconhecidas pela autoridade competente: o curso de Transporte de Produtos Perigosos (MOPP) é ministrado por Centro de Formação de Condutores credenciado pelo DETRAN, com registro do certificado no órgão estadual de trânsito e possibilidade de verificação de autenticidade; e os treinamentos das Normas Regulamentadoras seguem o conteúdo programático e a carga horária mínima definidos pelo Ministério do Trabalho e Emprego.</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Style w:val="Geometria10"/>
                    <w:rFonts w:ascii="Arial" w:hAnsi="Arial" w:cs="Arial"/>
                    <w:i/>
                    <w:color w:val="1A1A1A"/>
                    <w:szCs w:val="18"/>
                    <w:sz w:val="18"/>
                  </w:rPr>
                  <w:t xml:space="preserve">As necessidades de treinamento têm quatro origens. A primeira e principal é o inventário de riscos do PGR, que estabelece, por Grupo de Exposição Similar, os treinamentos obrigatórios decorrentes dos perigos identificados. A segunda é a legislação aplicável, que impõe requisitos por atividade — MOPP para transporte de produtos perigosos, NR-33 para espaços confinados, NR-35 para trabalho em altura, entre outros — e cujos vencimentos são monitorados individualmente. A terceira é a análise de incidentes, quase-acidentes e não conformidades, sempre que a causa raiz aponta lacuna de competência. A quarta são as exigências contratuais de clientes e as condicionantes das licenças ambientais, a exemplo da obrigação de treinamento periódico em situações emergenciais com os resíduos transportados, prevista na LO nº IN006687. As necessidades são consolidadas na matriz de treinamento por função, revisada anualmente e sempre que há revisão do PGR.</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Style w:val="Geometria10"/>
                    <w:rFonts w:ascii="Arial" w:hAnsi="Arial" w:cs="Arial"/>
                    <w:i/>
                    <w:color w:val="1A1A1A"/>
                    <w:szCs w:val="18"/>
                    <w:sz w:val="18"/>
                  </w:rPr>
                  <w:t xml:space="preserve">As necessidades identificadas são convertidas em Plano Anual de Treinamento, elaborado pelo Setor de SMS em conjunto com o RH e aprovado pela Diretoria, contendo tema, público-alvo por função, carga horária, modalidade, instituição executora, mês previsto e orçamento. A execução é acompanhada mensalmente contra o planejado, e os treinamentos de caráter legal têm prioridade absoluta de agendamento, com convocação disparada com antecedência suficiente em relação ao vencimento do certificado, de modo a jamais permitir que um colaborador execute atividade com certificação vencida. Cada evento gera lista de presença assinada, conteúdo programático e certificado individual, arquivados no prontuário do colaborador e disponíveis à fiscalização e aos clientes. Treinamentos não previstos, decorrentes de investigação de incidente ou de nova exigência contratual, são incorporados ao plano por revisão formal.</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Style w:val="Geometria10"/>
                    <w:rFonts w:ascii="Arial" w:hAnsi="Arial" w:cs="Arial"/>
                    <w:i/>
                    <w:color w:val="1A1A1A"/>
                    <w:szCs w:val="18"/>
                    <w:sz w:val="18"/>
                  </w:rPr>
                  <w:t xml:space="preserve">Sim. Mantemos controle de vencimentos que abrange certificados de treinamento, ASOs, CNHs e certificações MOPP, com alerta antecipado que dispara a convocação para reciclagem ou reexame. O controle é conduzido pelo Setor de SMS em conjunto com o RH e verificado em auditoria interna. A título de exemplo, as certificações em Transporte de Produtos Perigosos da nossa equipe de motoristas possuem vencimentos escalonados — fevereiro de 2028, agosto de 2028 e janeiro de 2029 — e os respectivos treinamentos em Plano de Atendimento Emergencial, realizados junto à Ambipar Response em novembro de 2025, já constam do controle para reciclagem no prazo devido.</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Style w:val="Geometria10"/>
                    <w:rFonts w:ascii="Arial" w:hAnsi="Arial" w:cs="Arial"/>
                    <w:i/>
                    <w:color w:val="1A1A1A"/>
                    <w:szCs w:val="18"/>
                    <w:sz w:val="18"/>
                  </w:rPr>
                  <w:t xml:space="preserve">Parcialmente. A administração dos treinamentos — matriz por função, plano anual, controle de vencimentos e arquivo de certificados — é realizada em sistema corporativo, com apoio do módulo de Recursos Humanos do TOTVS-Protheus, no qual estão cadastrados colaboradores, funções e centros de custo. A reserva e a contratação de turmas junto às instituições externas credenciadas ainda são conduzidas por processo administrativo próprio, e não por plataforma automatizada de agendamento.</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Style w:val="Geometria10"/>
                    <w:rFonts w:ascii="Arial" w:hAnsi="Arial" w:cs="Arial"/>
                    <w:i/>
                    <w:color w:val="1A1A1A"/>
                    <w:szCs w:val="18"/>
                    <w:sz w:val="18"/>
                  </w:rPr>
                  <w:t xml:space="preserve">O TOTVS-Protheus é o ERP corporativo da New Inter, adotado nos módulos de Recursos Humanos, Gestão de Frotas e Manutenção, Compras e Estoque. No que se refere à administração de pessoal e treinamento, o sistema mantém o cadastro de colaboradores, funções, centros de custo e vínculo com o Grupo de Exposição Similar, permitindo emitir relações por função e cruzar a matriz de treinamento com os registros individuais. O controle de vencimentos de certificados, ASOs, CNHs e MOPP opera de forma integrada a esse cadastro, com relatórios periódicos extraídos pelo Setor de SMS. O acesso é controlado por perfil de usuário, segundo o princípio do menor privilégio. O mesmo ambiente sustenta a rastreabilidade das Ordens de Serviço de manutenção, evidenciada no Relatório Técnico nº 0176, o que demonstra a maturidade do sistema em uso na empresa.</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Style w:val="Geometria10"/>
                    <w:rFonts w:ascii="Arial" w:hAnsi="Arial" w:cs="Arial"/>
                    <w:i/>
                    <w:color w:val="1A1A1A"/>
                    <w:szCs w:val="18"/>
                    <w:sz w:val="18"/>
                  </w:rPr>
                  <w:t xml:space="preserve">A supervisão é exercida em três níveis. Em campo, o Encarregado de Operações acompanha diretamente as equipes, conduz o Diálogo Diário de Segurança, verifica o uso de EPI, valida a Análise Preliminar de Risco das tarefas não rotineiras e autoriza o início do serviço. Na base de Macaé, a Coordenação de Operações programa e distribui as atividades e responde pelo cumprimento do escopo e dos prazos. De forma transversal, o Setor de SMS realiza inspeções planejadas de segurança e auditorias comportamentais, com registro em relatório e prazo definido para tratamento dos desvios. As equipes em trânsito são monitoradas por rastreamento on-line embarcado, exigência da condicionante 11 da nossa LO nº IN006687, o que permite acompanhar rota, velocidade e permanência em tempo real. Quando a atividade ocorre em instalação de cliente, nossa equipe submete-se adicionalmente às regras e ao sistema de permissão de trabalho da contratante.</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Style w:val="Geometria10"/>
                    <w:rFonts w:ascii="Arial" w:hAnsi="Arial" w:cs="Arial"/>
                    <w:i/>
                    <w:color w:val="1A1A1A"/>
                    <w:szCs w:val="18"/>
                    <w:sz w:val="18"/>
                  </w:rPr>
                  <w:t xml:space="preserve">Os resultados da supervisão seguem dois fluxos. Para a alta administração, os indicadores de SMS, qualidade e meio ambiente, o status das inspeções e o tratamento dos desvios são consolidados em relatório mensal e apresentados na análise crítica pela Diretoria, momento em que são deliberadas ações estruturantes e a alocação de recursos. Para os funcionários da unidade, o retorno é dado no Diálogo Diário de Segurança, nas reuniões mensais da CIPA com registro em ata, nos quadros de gestão à vista da base e em Alertas de Segurança emitidos quando o desvio ou incidente tem potencial de repetição. Desvios com risco grave e iminente são comunicados imediatamente, com interrupção da atividade quando necessário, e o encerramento formal só ocorre após a verificação da eficácia da ação corretiva pelo Setor de Qualidade.</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Pr>
                    <w:rStyle w:val="Geometria10"/>
                    <w:rFonts w:ascii="Arial" w:hAnsi="Arial" w:cs="Arial"/>
                    <w:i/>
                    <w:color w:val="1A1A1A"/>
                    <w:szCs w:val="18"/>
                    <w:sz w:val="18"/>
                  </w:rPr>
                  <w:t xml:space="preserve">A conformidade é assegurada por um encadeamento entre documento, treinamento e verificação. As práticas de trabalho estão formalizadas em procedimentos e instruções do Sistema de Gestão, com identificação, revisão e controle de versão; os colaboradores são treinados nesses procedimentos e o registro fica arquivado no prontuário; e o cumprimento é verificado por inspeções planejadas de campo, auditorias internas e supervisão direta do Encarregado. Sobrepõe-se a esse ciclo a verificação de conformidade legal: as condicionantes da LO nº IN006687, da LMO nº 1082/2022 e do CTF/APP IBAMA são desdobradas em matriz de requisitos legais, com responsável e periodicidade definidos, cujo atendimento é auditado internamente e reportado anualmente ao órgão ambiental por meio de relatório de evidências assinado pelo representante legal. Qualquer desvio identificado gera Relatório de Não Conformidade, com análise de causa raiz, plano de ação e verificação de eficácia antes do encerramento.</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Pr>
                    <w:rStyle w:val="Geometria10"/>
                    <w:rFonts w:ascii="Arial" w:hAnsi="Arial" w:cs="Arial"/>
                    <w:i/>
                    <w:color w:val="1A1A1A"/>
                    <w:szCs w:val="18"/>
                    <w:sz w:val="18"/>
                  </w:rPr>
                  <w:t xml:space="preserve">Os gestores e encarregados que planejam, supervisionam e executam os trabalhos receberam treinamento formal em suas responsabilidades de SMS, abrangendo: as atribuições legais do empregador e da supervisão previstas na NR-01, incluindo o dever de interromper a atividade diante de risco grave e iminente; a estrutura, o inventário de riscos e o plano de ação do PGR; a condução da Análise Preliminar de Risco e do Diálogo Diário de Segurança; a comunicação, o registro e a investigação de incidentes e quase-acidentes com análise de causa raiz; e o acionamento do Plano de Atendimento a Emergências. Os gestores diretamente envolvidos com o transporte de produtos perigosos possuem ainda formação específica na legislação aplicável — Resolução ANTT e NBR 13.221 — e no fluxo do Sistema MTR do INEA. Os registros de participação, o conteúdo programático e os certificados estão arquivados no Setor de SMS e disponíveis para verificação.</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Pr>
                    <w:rStyle w:val="Geometria10"/>
                    <w:rFonts w:ascii="Arial" w:hAnsi="Arial" w:cs="Arial"/>
                    <w:i/>
                    <w:color w:val="1A1A1A"/>
                    <w:szCs w:val="18"/>
                    <w:sz w:val="18"/>
                  </w:rPr>
                  <w:t xml:space="preserve">Ministramos internamente, pelo Setor de SMS, os módulos de: responsabilidades da supervisão em SMS conforme a NR-01; elaboração e validação de Análise Preliminar de Risco; condução do Diálogo Diário de Segurança e da inspeção planejada de segurança; investigação de incidentes com aplicação de 5 Porquês e diagrama de Ishikawa e elaboração de plano de ação em 5W2H; classificação, segregação e acondicionamento de resíduos conforme a NBR 10.004; e fluxo de emissão e baixa de manifestos no Sistema MTR do INEA, com as responsabilidades do gerador, do transportador e do destinador. Os módulos de caráter legal certificado, como NR-33, NR-35 e brigada de incêndio, são contratados junto a instituições externas credenciadas.</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G</w:t>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Style w:val="Geometria10"/>
                    <w:rFonts w:ascii="Arial" w:hAnsi="Arial" w:cs="Arial"/>
                    <w:color w:val="1A1A1A"/>
                    <w:sz w:val="18"/>
                    <w:szCs w:val="18"/>
                  </w:rPr>
                  <w:t xml:space="preserve">N/A — A New Inter não possui certificação ISO 27001. A gestão da segurança da informação é conduzida internamente por política corporativa e pelos controles técnicos e administrativos descritos no item (c) a seguir.</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Style w:val="Geometria10"/>
                    <w:rFonts w:ascii="Arial" w:hAnsi="Arial" w:cs="Arial"/>
                    <w:color w:val="1A1A1A"/>
                    <w:sz w:val="18"/>
                    <w:szCs w:val="18"/>
                  </w:rPr>
                  <w:t xml:space="preserve">N/A — O IASME Governance Standard e o Cyber Essentials Scheme são esquemas de certificação do Reino Unido, sem aplicação, representatividade ou organismo certificador no mercado brasileiro. A New Inter não possui tais certificações.</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Pr>
                    <w:rStyle w:val="Geometria10"/>
                    <w:rFonts w:ascii="Arial" w:hAnsi="Arial" w:cs="Arial"/>
                    <w:i/>
                    <w:color w:val="1A1A1A"/>
                    <w:szCs w:val="18"/>
                    <w:sz w:val="18"/>
                  </w:rPr>
                  <w:t xml:space="preserve">O ambiente corporativo é centralizado no ERP TOTVS-Protheus e no serviço de e-mail corporativo, com acesso individual nominal, senha de complexidade mínima obrigatória e renovação periódica. O acesso é concedido por perfil, segundo o princípio do menor privilégio, mediante solicitação formal do gestor da área, e é revogado imediatamente no desligamento do colaborador. A infraestrutura conta com firewall perimetral, antivírus corporativo com atualização automática em estações e servidores, e segmentação da rede administrativa. As rotinas de backup dos dados do ERP são executadas periodicamente, com cópia mantida em local distinto do servidor de produção e teste de restauração. O acesso remoto, quando necessário, ocorre por conexão autenticada. Não é permitida a instalação de software não homologado nas estações, e o uso dos recursos de TI é regido por termo de responsabilidade assinado pelo colaborador na admissão.</w:t>
                </w:r>
              </w:sdtContent>
            </w:sdt>
            <w:r>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Pr>
                    <w:rStyle w:val="Geometria10"/>
                    <w:rFonts w:ascii="Arial" w:hAnsi="Arial" w:cs="Arial"/>
                    <w:i/>
                    <w:color w:val="1A1A1A"/>
                    <w:szCs w:val="18"/>
                    <w:sz w:val="18"/>
                  </w:rPr>
                  <w:t xml:space="preserve">Sim. Os tratamentos de dados pessoais realizados pela New Inter estão mapeados por finalidade e base legal, em conformidade com a Lei nº 13.709/2018 — Lei Geral de Proteção de Dados Pessoais (LGPD), diploma brasileiro equivalente ao RGPD europeu. As finalidades identificadas são: execução do contrato de trabalho e cumprimento de obrigações legais e regulatórias trabalhistas e previdenciárias, o que abrange os dados de saúde ocupacional coletados no âmbito do PCMSO e dos ASOs; cumprimento de obrigação legal perante órgãos ambientais e de trânsito, com o registro de motoristas e veículos no Sistema MTR do INEA, no CTF/APP do IBAMA e nas autorizações de transporte; e execução de contratos com clientes e fornecedores, incluindo dados de contato de representantes. O acesso interno é autorizado por perfil funcional e restrito a quem necessita do dado para a finalidade declarada; o compartilhamento externo ocorre apenas quando exigido por lei ou expressamente previsto em contrato.</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Pr>
                    <w:rStyle w:val="Geometria10"/>
                    <w:rFonts w:ascii="Arial" w:hAnsi="Arial" w:cs="Arial"/>
                    <w:i/>
                    <w:color w:val="1A1A1A"/>
                    <w:szCs w:val="18"/>
                    <w:sz w:val="18"/>
                  </w:rPr>
                  <w:t xml:space="preserve">Sim. A New Inter designou encarregado pelo tratamento de dados pessoais, nos termos do art. 41 da Lei nº 13.709/2018 (LGPD), com atribuição de receber comunicações dos titulares e da autoridade nacional, orientar os colaboradores sobre as práticas a serem adotadas e responder pela conformidade dos procedimentos organizacionais. O canal de contato do encarregado é divulgado internamente e disponibilizado a titulares mediante solicitação. Registramos que a legislação aplicável às nossas operações é a LGPD; o RGPD europeu não incide sobre a New Inter, cujas atividades se desenvolvem integralmente em território brasileiro.</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Pr>
                    <w:rStyle w:val="Geometria10"/>
                    <w:rFonts w:ascii="Arial" w:hAnsi="Arial" w:cs="Arial"/>
                    <w:i/>
                    <w:color w:val="1A1A1A"/>
                    <w:szCs w:val="18"/>
                    <w:sz w:val="18"/>
                  </w:rPr>
                  <w:t xml:space="preserve">Sim. Está estabelecido procedimento de resposta a incidente de segurança envolvendo dados pessoais, que prevê: comunicação imediata ao encarregado por qualquer colaborador que identifique ou suspeite de violação; contenção e preservação de evidências pela área de TI; avaliação, pelo encarregado, da natureza dos dados afetados, do número de titulares envolvidos e do risco relevante aos seus direitos e liberdades; e, quando configurado risco relevante, comunicação à Autoridade Nacional de Proteção de Dados e aos titulares afetados em prazo razoável, conforme o art. 48 da LGPD. Todo incidente é registrado, submetido a análise de causa raiz e tratado com plano de ação, seguindo o mesmo rito de não conformidade adotado no Sistema de Gestão da Qualidade, com verificação formal de eficácia.</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Pr>
                    <w:rStyle w:val="Geometria10"/>
                    <w:rFonts w:ascii="Arial" w:hAnsi="Arial" w:cs="Arial"/>
                    <w:i/>
                    <w:color w:val="1A1A1A"/>
                    <w:szCs w:val="18"/>
                    <w:sz w:val="18"/>
                  </w:rPr>
                  <w:t xml:space="preserve">Sim. Os colaboradores que tratam dados pessoais no exercício de suas funções — Recursos Humanos, SMS, Administrativo, Comercial e TI — recebem orientação sobre os princípios da LGPD, as bases legais aplicáveis, o dever de sigilo, a vedação ao uso do dado para finalidade diversa da declarada e o procedimento de comunicação de incidentes. A orientação integra a Integração de novos colaboradores e é reforçada periodicamente. Todos assinam termo de confidencialidade na admissão, e os registros de participação ficam arquivados no prontuário.</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Style w:val="Geometria10"/>
                    <w:rFonts w:ascii="Arial" w:hAnsi="Arial" w:cs="Arial"/>
                    <w:i/>
                    <w:color w:val="1A1A1A"/>
                    <w:szCs w:val="18"/>
                    <w:sz w:val="18"/>
                  </w:rPr>
                  <w:t xml:space="preserve">Sim. A New Inter utiliza operadores de dados, na acepção do art. 5º, VII, da LGPD, nas seguintes frentes: provedor do ERP corporativo TOTVS-Protheus, que hospeda dados cadastrais de colaboradores; escritório de contabilidade e processamento de folha de pagamento; clínica de medicina do trabalho responsável pelo PCMSO e pela emissão dos ASOs; instituições de ensino credenciadas que emitem os certificados de treinamento; e provedor do serviço de rastreamento veicular. Os contratos com esses operadores contemplam cláusula de confidencialidade e de tratamento de dados, com obrigação de utilizá-los exclusivamente para a finalidade contratada e de comunicar à New Inter qualquer incidente de segurança.</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Pr>
                    <w:rStyle w:val="Geometria10"/>
                    <w:rFonts w:ascii="Arial" w:hAnsi="Arial" w:cs="Arial"/>
                    <w:i/>
                    <w:color w:val="1A1A1A"/>
                    <w:szCs w:val="18"/>
                    <w:sz w:val="18"/>
                  </w:rPr>
                  <w:t xml:space="preserve">O acesso à unidade de Macaé é controlado por portaria, com identificação de visitantes, registro de entrada e saída e acompanhamento por colaborador responsável; o perímetro é cercado e monitorado. Os colaboradores utilizam crachá de identificação e uniforme, e o acesso às áreas de armazenamento de resíduos perigosos é restrito a pessoal treinado e expressamente autorizado. Os veículos possuem rastreamento on-line permanente, o que permite acompanhar a equipe em trânsito e acionar apoio em caso de ocorrência. Todos os colaboradores assinam termo de confidencialidade e aderem ao Código de Conduta e Ética na admissão. Quando a atividade ocorre em instalação de cliente, portuária ou offshore, nossos colaboradores atendem adicionalmente aos requisitos de credenciamento e de segurança patrimonial da contratante.</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Style w:val="Geometria10"/>
                    <w:rFonts w:ascii="Arial" w:hAnsi="Arial" w:cs="Arial"/>
                    <w:i/>
                    <w:color w:val="1A1A1A"/>
                    <w:szCs w:val="18"/>
                    <w:sz w:val="18"/>
                  </w:rPr>
                  <w:t xml:space="preserve">Sim. O processo admissional contempla: conferência de documentos pessoais e comprovação de escolaridade; validação das certificações legais exigidas pela função, com verificação de autenticidade junto ao órgão emissor quando aplicável — no caso dos motoristas, consulta da situação da CNH e do curso MOPP junto ao DETRAN, incluindo pontuação e eventuais restrições; checagem de referências profissionais junto a empregadores anteriores; exame médico admissional com emissão de ASO atestando aptidão para a função e para os riscos do respectivo Grupo de Exposição Similar, conforme o PCMSO; e assinatura de termo de confidencialidade e de adesão ao Código de Conduta e Ética. Para funções com acesso a áreas restritas de clientes, atendemos adicionalmente às exigências de credenciamento e verificação da contratante.</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Style w:val="Geometria10"/>
                    <w:rFonts w:ascii="Arial" w:hAnsi="Arial" w:cs="Arial"/>
                    <w:color w:val="1A1A1A"/>
                    <w:sz w:val="18"/>
                    <w:szCs w:val="18"/>
                  </w:rPr>
                  <w:t xml:space="preserve">N/A — A New Inter não possui certificação ISO 22301. A continuidade das operações é assegurada pelos mecanismos formais descritos nos itens (b) e (c) a seguir.</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Pr>
                    <w:rStyle w:val="Geometria10"/>
                    <w:rFonts w:ascii="Arial" w:hAnsi="Arial" w:cs="Arial"/>
                    <w:i/>
                    <w:color w:val="1A1A1A"/>
                    <w:szCs w:val="18"/>
                    <w:sz w:val="18"/>
                  </w:rPr>
                  <w:t xml:space="preserve">Sim. A continuidade operacional está estruturada em torno dos riscos concretos da nossa atividade. Quanto à frota, mantemos 25 veículos cadastrados junto ao IBAMA, sendo 10 próprios e 14 agregados — arranjo que permite realocar carga entre veículos e acionar capacidade adicional de terceiros licenciados em caso de indisponibilidade; a manutenção preventiva programada no TOTVS-Protheus reduz a probabilidade de parada não planejada. Quanto à destinação, trabalhamos deliberadamente com rede diversificada de destinadoras licenciadas por tipologia de resíduo, o que evita dependência de fornecedor único: para resíduos Classe I dispomos de alternativas de coprocessamento, blendagem e aterro industrial; para recicláveis e óleo usado, de reciclagem e rerrefino. Quanto a emergências, mantemos contrato nacional com a Ambipar Response (Contrato nº 25499, vigente até 28/02/2027), com acionamento 24 horas por dia, 365 dias por ano, e Plano de Atendimento a Emergências revisado (Rev. 7, de 23/03/2026) contemplando hipóteses acidentais, estrutura organizacional de resposta, recursos e procedimentos pós-emergenciais. Quanto ao licenciamento, o controle de vencimentos assegura o protocolo de renovação com a antecedência mínima legal de 120 dias, garantindo a continuidade da operação por prorrogação automática.</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Pr>
                    <w:rStyle w:val="Geometria10"/>
                    <w:rFonts w:ascii="Arial" w:hAnsi="Arial" w:cs="Arial"/>
                    <w:i/>
                    <w:color w:val="1A1A1A"/>
                    <w:szCs w:val="18"/>
                    <w:sz w:val="18"/>
                  </w:rPr>
                  <w:t xml:space="preserve">Sim, em escopo proporcional ao porte e à natureza da nossa operação. Na hipótese de indisponibilidade da unidade de Macaé, as atividades administrativas podem ser retomadas remotamente, uma vez que o ERP TOTVS-Protheus e o correio corporativo são acessados por rede autenticada e os dados possuem rotina de backup com cópia mantida em local distinto do servidor de produção. Quanto à operação de campo, a coleta e o transporte não dependem fisicamente da base para serem executados: as equipes podem ser mobilizadas diretamente do ponto de coleta para as unidades de destinação licenciadas da nossa rede, e o armazenamento temporário pode ser transferido para destinadora parceira licenciada, mediante comunicação prévia ao INEA. Os documentos legais e registros obrigatórios são mantidos também em meio eletrônico, o que preserva a capacidade de atender às obrigações regulatórias — inclusive a emissão de manifestos no Sistema MTR, que é plataforma web do órgão ambiental e independe da nossa infraestrutura local.</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Style w:val="Geometria10"/>
                    <w:rFonts w:ascii="Arial" w:hAnsi="Arial" w:cs="Arial"/>
                    <w:i/>
                    <w:color w:val="1A1A1A"/>
                    <w:szCs w:val="18"/>
                    <w:sz w:val="18"/>
                  </w:rPr>
                  <w:t xml:space="preserve">N/A — A New Inter é empresa brasileira, com operações desenvolvidas integralmente em território nacional, e não está sujeita à jurisdição da Lei da Escravatura Moderna do Reino Unido de 2015. Nunca foi condenada nem recebeu notificação de qualquer órgão regulador com base nessa legislação ou em norma nacional equivalente. No ordenamento brasileiro a matéria é regida pelo art. 149 do Código Penal e pelo Cadastro de Empregadores autuados por submeter trabalhadores a condições análogas à de escravo, mantido pelo Ministério do Trabalho e Emprego — a New Inter não consta e nunca constou desse cadastro. Nossa regularidade trabalhista é atestada pela Certidão Negativa de Débitos Trabalhistas nº 59690535/2026, emitida pelo Tribunal Superior do Trabalho e válida até 02/01/2027, e pelo Certificado de Regularidade do FGTS emitido pela Caixa Econômica Federal.</w:t>
                </w:r>
              </w:sdtContent>
            </w:sdt>
            <w:r>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Style w:val="Geometria10"/>
                    <w:rFonts w:ascii="Arial" w:hAnsi="Arial" w:cs="Arial"/>
                    <w:i/>
                    <w:color w:val="1A1A1A"/>
                    <w:szCs w:val="18"/>
                    <w:sz w:val="18"/>
                  </w:rPr>
                  <w:t xml:space="preserve">N/A — O campo destina-se a respondentes que assinalaram 'Não'. A New Inter possui política vigente sobre a matéria, incorporada ao seu Código de Conduta e Ética, que veda expressamente o trabalho forçado, o trabalho infantil, o tráfico de pessoas e qualquer forma de trabalho em condições degradantes, tanto no âmbito interno quanto na sua cadeia de fornecimento. A política é divulgada na integração de novos colaboradores, está disponível a todos os empregados e sua observância constitui condição contratual para fornecedores e subcontratados. Cópia pode ser encaminhada mediante solicitação.</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