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showingPlcHdr/>
                <w:text/>
              </w:sdtPr>
              <w:sdtEndPr>
                <w:rPr>
                  <w:rStyle w:val="Fontepargpadro"/>
                  <w:spacing w:val="-8"/>
                </w:rPr>
              </w:sdtEndPr>
              <w:sdtContent>
                <w:r w:rsidR="00A94986" w:rsidRPr="00315E25">
                  <w:rPr>
                    <w:rStyle w:val="Geometria10"/>
                    <w:rFonts w:ascii="Arial" w:hAnsi="Arial" w:cs="Arial"/>
                    <w:color w:val="FFFFFF" w:themeColor="background1"/>
                    <w:sz w:val="19"/>
                    <w:szCs w:val="19"/>
                  </w:rPr>
                  <w:t>e</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EndPr>
                <w:rPr>
                  <w:rStyle w:val="Fontepargpadro"/>
                  <w:rFonts w:ascii="Trebuchet MS" w:hAnsi="Trebuchet MS"/>
                  <w:spacing w:val="-8"/>
                </w:rPr>
              </w:sdtEndPr>
              <w:sdtContent>
                <w:r w:rsidR="00A94986" w:rsidRPr="00A94986">
                  <w:rPr>
                    <w:rStyle w:val="Geometria10"/>
                    <w:sz w:val="19"/>
                    <w:szCs w:val="19"/>
                  </w:rPr>
                  <w:t xml:space="preserve">SEA SUPPLY SOLUTIONS LTDA</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Fontepargpadro"/>
                  <w:rFonts w:ascii="Trebuchet MS" w:hAnsi="Trebuchet MS"/>
                  <w:spacing w:val="-8"/>
                </w:rPr>
              </w:sdtEndPr>
              <w:sdtContent>
                <w:r w:rsidR="00A94986" w:rsidRPr="00A94986">
                  <w:rPr>
                    <w:rStyle w:val="Geometria10"/>
                    <w:sz w:val="19"/>
                    <w:szCs w:val="19"/>
                  </w:rPr>
                  <w:t xml:space="preserve">Rua Saturno, nº 400, Novo Cavaleiros, Macaé/RJ, CEP 27.930-190</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EndPr>
                <w:rPr>
                  <w:rStyle w:val="Fontepargpadro"/>
                  <w:rFonts w:ascii="Trebuchet MS" w:hAnsi="Trebuchet MS"/>
                  <w:spacing w:val="-8"/>
                </w:rPr>
              </w:sdtEndPr>
              <w:sdtContent>
                <w:r w:rsidR="00A94986" w:rsidRPr="00A94986">
                  <w:rPr>
                    <w:rStyle w:val="Geometria10"/>
                    <w:sz w:val="19"/>
                    <w:szCs w:val="19"/>
                  </w:rPr>
                  <w:t xml:space="preserve">(22) 2142-3961</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sidR="00A94986" w:rsidRPr="00A94986">
                  <w:rPr>
                    <w:rStyle w:val="Geometria10"/>
                    <w:sz w:val="19"/>
                    <w:szCs w:val="19"/>
                  </w:rPr>
                  <w:t xml:space="preserve">Não aplicável</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Fontepargpadro"/>
                  <w:rFonts w:ascii="Trebuchet MS" w:hAnsi="Trebuchet MS"/>
                  <w:spacing w:val="-8"/>
                </w:rPr>
              </w:sdtEndPr>
              <w:sdtContent>
                <w:r w:rsidR="00A94986" w:rsidRPr="00A94986">
                  <w:rPr>
                    <w:rStyle w:val="Geometria10"/>
                    <w:sz w:val="19"/>
                    <w:szCs w:val="19"/>
                  </w:rPr>
                  <w:t xml:space="preserve">Márcio Santana Rocha</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Fontepargpadro"/>
                  <w:rFonts w:ascii="Trebuchet MS" w:hAnsi="Trebuchet MS"/>
                  <w:spacing w:val="-8"/>
                </w:rPr>
              </w:sdtEndPr>
              <w:sdtContent>
                <w:r w:rsidR="005B43BB" w:rsidRPr="00A94986">
                  <w:rPr>
                    <w:rStyle w:val="Geometria10"/>
                    <w:sz w:val="19"/>
                    <w:szCs w:val="19"/>
                  </w:rPr>
                  <w:t xml:space="preserve">Diretor / Responsável Legal</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EndPr>
                <w:rPr>
                  <w:rStyle w:val="Fontepargpadro"/>
                  <w:rFonts w:ascii="Trebuchet MS" w:hAnsi="Trebuchet MS"/>
                  <w:spacing w:val="-8"/>
                </w:rPr>
              </w:sdtEndPr>
              <w:sdtContent>
                <w:r w:rsidR="005B43BB" w:rsidRPr="00A94986">
                  <w:rPr>
                    <w:rStyle w:val="Geometria10"/>
                    <w:sz w:val="19"/>
                    <w:szCs w:val="19"/>
                  </w:rPr>
                  <w:t xml:space="preserve">(22) 2142-3961</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sidR="005B43BB" w:rsidRPr="00A94986">
                  <w:rPr>
                    <w:rStyle w:val="Geometria10"/>
                    <w:sz w:val="19"/>
                    <w:szCs w:val="19"/>
                  </w:rPr>
                  <w:t xml:space="preserve">comercial@seasupply.com.br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sidR="005B43BB" w:rsidRPr="00A94986">
                  <w:rPr>
                    <w:rStyle w:val="Geometria10"/>
                    <w:sz w:val="19"/>
                    <w:szCs w:val="19"/>
                  </w:rPr>
                  <w:t xml:space="preserve">Não aplicável (empresa não possui site próprio até o momento)</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sidR="005B43BB" w:rsidRPr="00A94986">
                  <w:rPr>
                    <w:rStyle w:val="Geometria10"/>
                    <w:sz w:val="19"/>
                    <w:szCs w:val="19"/>
                  </w:rPr>
                  <w:t xml:space="preserve">22/02/2019 (início das atividades, conforme Alvará de Funcionamento nº 36972)</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sidR="005B43BB" w:rsidRPr="00A94986">
                  <w:rPr>
                    <w:rStyle w:val="Geometria10"/>
                    <w:sz w:val="19"/>
                    <w:szCs w:val="19"/>
                  </w:rPr>
                  <w:t xml:space="preserve">13 colaboradores (podendo variar conforme a demanda operacional)</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Fontepargpadro"/>
                  <w:rFonts w:ascii="Trebuchet MS" w:hAnsi="Trebuchet MS"/>
                  <w:spacing w:val="-8"/>
                </w:rPr>
              </w:sdtEndPr>
              <w:sdtContent>
                <w:r w:rsidR="005B43BB" w:rsidRPr="00A94986">
                  <w:rPr>
                    <w:rStyle w:val="Geometria10"/>
                    <w:sz w:val="19"/>
                    <w:szCs w:val="19"/>
                  </w:rPr>
                  <w:t xml:space="preserve">Fornecimento de gêneros alimentícios (rancho) para embarcações e unidades operacionais offshore/onshore, incluindo armazenamento e distribuição de produtos alimentícios perecíveis e não perecíveis.</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sidR="005B43BB" w:rsidRPr="00A94986">
                  <w:rPr>
                    <w:rStyle w:val="Geometria10"/>
                    <w:sz w:val="19"/>
                    <w:szCs w:val="19"/>
                  </w:rPr>
                  <w:t xml:space="preserve">Base operacional em Macaé/RJ com estrutura de armazenamento seco e refrigerado, containers/câmaras frias para produtos perecíveis, veículo próprio para transporte e equipe permanente de auxiliares operacionais, estoquista, motorista e nutricionista responsável técnica.</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text/>
              </w:sdtPr>
              <w:sdtEndPr>
                <w:rPr>
                  <w:rStyle w:val="Fontepargpadro"/>
                  <w:rFonts w:ascii="Trebuchet MS" w:hAnsi="Trebuchet MS"/>
                  <w:spacing w:val="-8"/>
                </w:rPr>
              </w:sdtEndPr>
              <w:sdtContent>
                <w:r w:rsidR="005B43BB" w:rsidRPr="00A94986">
                  <w:rPr>
                    <w:rStyle w:val="Geometria10"/>
                    <w:sz w:val="19"/>
                    <w:szCs w:val="19"/>
                  </w:rPr>
                  <w:t xml:space="preserve">Fornecimento de rancho (gêneros alimentícios) conforme especificações e cronograma definidos pelo Contratante/Engenheiro.</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sidR="005B43BB" w:rsidRPr="00A94986">
                  <w:rPr>
                    <w:rStyle w:val="Geometria10"/>
                    <w:sz w:val="19"/>
                    <w:szCs w:val="19"/>
                  </w:rPr>
                  <w:t xml:space="preserve">Márcio Santana Rocha</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sidR="00A374D3">
                  <w:rPr>
                    <w:rStyle w:val="Geometria10"/>
                    <w:sz w:val="18"/>
                    <w:szCs w:val="18"/>
                  </w:rPr>
                  <w:t xml:space="preserve">13/08/2026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E10A" w14:font="Segoe UI Symbol"/>
                  <w14:uncheckedState w14:val="2610" w14:font="MS Gothic"/>
                </w14:checkbox>
              </w:sdtPr>
              <w:sdtContent>
                <w:r w:rsidR="00315E25">
                  <w:rPr>
                    <w:rFonts w:ascii="MS Gothic" w:eastAsia="MS Gothic" w:hAnsi="MS Gothic" w:cs="Aria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sidR="006379FF" w:rsidRPr="00315E25">
                  <w:rPr>
                    <w:rStyle w:val="Geometria10"/>
                    <w:rFonts w:ascii="Arial" w:hAnsi="Arial" w:cs="Arial"/>
                    <w:sz w:val="19"/>
                    <w:szCs w:val="19"/>
                  </w:rPr>
                  <w:t xml:space="preserve"> Márcio Santana Rocha</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sidR="006379FF" w:rsidRPr="00315E25">
                  <w:rPr>
                    <w:rStyle w:val="Geometria10"/>
                    <w:rFonts w:ascii="Arial" w:hAnsi="Arial" w:cs="Arial"/>
                    <w:sz w:val="19"/>
                    <w:szCs w:val="19"/>
                  </w:rPr>
                  <w:t xml:space="preserve"> Diretor / Responsável Legal</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sidR="00EC2107" w:rsidRPr="00315E25">
                  <w:rPr>
                    <w:rStyle w:val="Geometria10"/>
                    <w:rFonts w:ascii="Arial" w:hAnsi="Arial" w:cs="Arial"/>
                    <w:szCs w:val="18"/>
                  </w:rPr>
                  <w:t xml:space="preserve">Não aplicável — a empresa não recebeu notificações de melhoria ou proibição de órgãos reguladores e não está sendo processada.</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sidR="00C742CE" w:rsidRPr="00315E25">
                  <w:rPr>
                    <w:rStyle w:val="Geometria10"/>
                    <w:rFonts w:ascii="Arial" w:hAnsi="Arial" w:cs="Arial"/>
                    <w:sz w:val="19"/>
                    <w:szCs w:val="19"/>
                  </w:rPr>
                  <w:t xml:space="preserve">16.000 (estimado)</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sidR="008E08FE" w:rsidRPr="00315E25">
                  <w:rPr>
                    <w:rStyle w:val="Geometria10"/>
                    <w:rFonts w:ascii="Arial" w:hAnsi="Arial" w:cs="Arial"/>
                    <w:sz w:val="19"/>
                    <w:szCs w:val="19"/>
                  </w:rPr>
                  <w:t xml:space="preserve">18.000 (estimado)</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sidR="008E08FE" w:rsidRPr="00315E25">
                  <w:rPr>
                    <w:rStyle w:val="Geometria10"/>
                    <w:rFonts w:ascii="Arial" w:hAnsi="Arial" w:cs="Arial"/>
                    <w:sz w:val="19"/>
                    <w:szCs w:val="19"/>
                  </w:rPr>
                  <w:t xml:space="preserve">20.000 (estimado)</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sidR="008E08FE" w:rsidRPr="00315E25">
                  <w:rPr>
                    <w:rStyle w:val="Geometria10"/>
                    <w:rFonts w:ascii="Arial" w:hAnsi="Arial" w:cs="Arial"/>
                    <w:sz w:val="19"/>
                    <w:szCs w:val="19"/>
                  </w:rPr>
                  <w:t xml:space="preserve">24.000 (estimado)</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sidR="008E08FE" w:rsidRPr="00315E25">
                  <w:rPr>
                    <w:rStyle w:val="Geometria10"/>
                    <w:rFonts w:ascii="Arial" w:hAnsi="Arial" w:cs="Arial"/>
                    <w:sz w:val="19"/>
                    <w:szCs w:val="19"/>
                  </w:rPr>
                  <w:t xml:space="preserve">14.000 (estimado, parcial 2026)</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sidR="008E08FE" w:rsidRPr="00315E25">
                  <w:rPr>
                    <w:rStyle w:val="Geometria10"/>
                    <w:rFonts w:ascii="Arial" w:hAnsi="Arial" w:cs="Arial"/>
                    <w:sz w:val="19"/>
                    <w:szCs w:val="19"/>
                  </w:rPr>
                  <w:t xml:space="preserve">0</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sidR="00EC2107" w:rsidRPr="00315E25">
                  <w:rPr>
                    <w:rStyle w:val="Geometria10"/>
                    <w:rFonts w:ascii="Arial" w:hAnsi="Arial" w:cs="Arial"/>
                    <w:szCs w:val="18"/>
                  </w:rPr>
                  <w:t xml:space="preserve">Os resultados de investigações de incidentes e demais informações de SSMA relevantes são comunicados aos colaboradores por meio de reuniões e treinamentos presenciais registrados em listas de presença (Sistema de Gestão Integrado da empresa), complementados por comunicação direta da gerência e da nutricionista responsável técnica durante as atividades diárias na base operacional de Macaé/RJ.</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Fontepargpadro"/>
                  <w:spacing w:val="-8"/>
                </w:rPr>
              </w:sdtEndPr>
              <w:sdtContent>
                <w:r w:rsidR="00EC2107" w:rsidRPr="00315E25">
                  <w:rPr>
                    <w:rStyle w:val="Geometria10"/>
                    <w:rFonts w:ascii="Arial" w:hAnsi="Arial" w:cs="Arial"/>
                    <w:szCs w:val="18"/>
                  </w:rPr>
                  <w:t xml:space="preserve">Antes da contratação, subcontratados e fornecedores de insumos são avaliados quanto à regularidade documental (licenças, certidões, ASOs) e à conformidade sanitária, seguindo critérios semelhantes aos aplicados à própria Sea Supply em seu processo de qualificação junto à Pan Marine/TMS.</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sidR="00EC2107" w:rsidRPr="00315E25">
                  <w:rPr>
                    <w:rStyle w:val="Geometria10"/>
                    <w:rFonts w:ascii="Arial" w:hAnsi="Arial" w:cs="Arial"/>
                    <w:szCs w:val="18"/>
                  </w:rPr>
                  <w:t xml:space="preserve">Sim. Mantemos cópias das principais licenças, certidões e documentos sanitários dos fornecedores diretos de insumos alimentícios, arquivadas junto à documentação administrativa da empresa.</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sidR="00EC2107" w:rsidRPr="00315E25">
                  <w:rPr>
                    <w:rStyle w:val="Geometria10"/>
                    <w:rFonts w:ascii="Arial" w:hAnsi="Arial" w:cs="Arial"/>
                    <w:szCs w:val="18"/>
                  </w:rPr>
                  <w:t xml:space="preserve">Exigimos de subcontratados e fornecedores o cumprimento da legislação brasileira aplicável, incluindo a Lei nº 12.846/2013 (Lei Anticorrupção), sendo este compromisso reforçado em nossas relações comerciais e contratuais.</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sidR="00EC2107" w:rsidRPr="00315E25">
                  <w:rPr>
                    <w:rStyle w:val="Geometria10"/>
                    <w:rFonts w:ascii="Arial" w:hAnsi="Arial" w:cs="Arial"/>
                    <w:szCs w:val="18"/>
                  </w:rPr>
                  <w:t xml:space="preserve">Os equipamentos utilizados na operação — como câmaras frias, containers refrigerados e o veículo de transporte — são registrados e submetidos a inspeções periódicas de manutenção, conforme evidenciado pela Ficha de Inspeção de Contêineres (julho/2026), com registros mantidos pela gerência operacional.</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sidR="00EC2107" w:rsidRPr="00315E25">
                  <w:rPr>
                    <w:rStyle w:val="Geometria10"/>
                    <w:rFonts w:ascii="Arial" w:hAnsi="Arial" w:cs="Arial"/>
                    <w:szCs w:val="18"/>
                  </w:rPr>
                  <w:t xml:space="preserve">A empresa fornece Equipamentos de Proteção Individual adequados às funções desempenhadas (ex.: luvas, toucas e uniformes para manipulação de alimentos), com reposição sob demanda e acompanhamento da nutricionista responsável técnica, em conformidade com o Manual de Boas Práticas de Fabricação (Rev. 04).</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sidR="00EC2107" w:rsidRPr="00315E25">
                  <w:rPr>
                    <w:rStyle w:val="Geometria10"/>
                    <w:rFonts w:ascii="Arial" w:hAnsi="Arial" w:cs="Arial"/>
                    <w:szCs w:val="18"/>
                  </w:rPr>
                  <w:t xml:space="preserve">Não recebemos prêmios formais de desempenho em Saúde e Segurança até o momento, por se tratar de empresa de pequeno porte com atuação predominantemente local.</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w:t>
            </w:r>
            <w:proofErr w:type="gramStart"/>
            <w:r>
              <w:rPr>
                <w:rFonts w:ascii="Arial" w:hAnsi="Arial" w:cs="Arial"/>
              </w:rPr>
              <w:t>a</w:t>
            </w:r>
            <w:proofErr w:type="gramEnd"/>
            <w:r>
              <w:rPr>
                <w:rFonts w:ascii="Arial" w:hAnsi="Arial" w:cs="Arial"/>
              </w:rPr>
              <w:t>)</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sidR="00EC2107" w:rsidRPr="00315E25">
                  <w:rPr>
                    <w:rStyle w:val="Geometria10"/>
                    <w:rFonts w:ascii="Arial" w:hAnsi="Arial" w:cs="Arial"/>
                    <w:szCs w:val="18"/>
                  </w:rPr>
                  <w:t xml:space="preserve">Novos colaboradores participam de treinamento de integração abordando higiene, boas práticas de fabricação e segurança do trabalho, com atualização periódica por meio de treinamentos de capacitação profissional (ex.: sessões de julho/2026 sobre Higienização de Instalações, Asseio Pessoal, Manual de Boas Práticas e Microrganismos/DTA), registrados em listas de presença assinadas.</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sidR="00EC2107" w:rsidRPr="00315E25">
                  <w:rPr>
                    <w:rStyle w:val="Geometria10"/>
                    <w:rFonts w:ascii="Arial" w:hAnsi="Arial" w:cs="Arial"/>
                    <w:szCs w:val="18"/>
                  </w:rPr>
                  <w:t xml:space="preserve">Os riscos específicos de cada função são apresentados no exame admissional (ASO) e no treinamento inicial, com base no PGR (Programa de Gerenciamento de Riscos) e no PCMSO vigentes, que mapeiam os agentes de risco por Grupo Similar de Exposição (GSE).</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sidR="00EC2107" w:rsidRPr="00315E25">
                  <w:rPr>
                    <w:rStyle w:val="Geometria10"/>
                    <w:rFonts w:ascii="Arial" w:hAnsi="Arial" w:cs="Arial"/>
                    <w:szCs w:val="18"/>
                  </w:rPr>
                  <w:t xml:space="preserve">Os treinamentos internos são ministrados pela nutricionista responsável técnica (Ana Raquel Monteiro, CRN-4 nº 01100583) e cobrem: higienização de instalações/equipamentos/utensílios; higiene e asseio pessoal; aplicação do Manual de Boas Práticas; e prevenção de microrganismos e doenças transmitidas por alimentos (DTA), com carga horária de 30 minutos por sessão.</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 xml:space="preserve"> ☒</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 xml:space="preserve"> ☐</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sidR="00BB557C" w:rsidRPr="00315E25">
                        <w:rPr>
                          <w:rStyle w:val="Geometria10"/>
                          <w:rFonts w:ascii="Arial" w:hAnsi="Arial" w:cs="Arial"/>
                          <w:sz w:val="19"/>
                          <w:szCs w:val="19"/>
                        </w:rPr>
                        <w:t xml:space="preserve"> Ana Raquel Monteiro</w:t>
                      </w:r>
                    </w:sdtContent>
                  </w:sdt>
                </w:p>
                <w:p w14:paraId="45D5DFBE" w14:textId="77777777"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sidR="00BB557C" w:rsidRPr="00315E25">
                        <w:rPr>
                          <w:rStyle w:val="Geometria10"/>
                          <w:rFonts w:ascii="Arial" w:hAnsi="Arial" w:cs="Arial"/>
                          <w:sz w:val="19"/>
                          <w:szCs w:val="19"/>
                        </w:rPr>
                        <w:t xml:space="preserve"> Nutricionista / Responsável Técnica (SSMA e Meio Ambiente)</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sidR="00EC2107" w:rsidRPr="00315E25">
                  <w:rPr>
                    <w:rStyle w:val="Geometria10"/>
                    <w:rFonts w:ascii="Arial" w:hAnsi="Arial" w:cs="Arial"/>
                    <w:szCs w:val="18"/>
                  </w:rPr>
                  <w:t xml:space="preserve">Ainda que sem um Sistema de Gestão Ambiental certificado, a empresa gerencia seus principais aspectos ambientais operacionais — como descarte de resíduos orgânicos e controle de validade de produtos perecíveis — por meio de procedimentos internos descritos no Manual de Boas Práticas e na sistemática de controle de validade de produtos.</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sidR="00EC2107" w:rsidRPr="00315E25">
                  <w:rPr>
                    <w:rStyle w:val="Geometria10"/>
                    <w:rFonts w:ascii="Arial" w:hAnsi="Arial" w:cs="Arial"/>
                    <w:szCs w:val="18"/>
                  </w:rPr>
                  <w:t xml:space="preserve">Não possuímos metas ambientais formalizadas; o foco atual da empresa está na conformidade sanitária e de segurança alimentar, com potencial evolução futura para metas ambientais estruturadas.</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sidR="00EC2107" w:rsidRPr="00315E25">
                  <w:rPr>
                    <w:rStyle w:val="Geometria10"/>
                    <w:rFonts w:ascii="Arial" w:hAnsi="Arial" w:cs="Arial"/>
                    <w:szCs w:val="18"/>
                  </w:rPr>
                  <w:t xml:space="preserve">Todos os produtos recebidos são identificados por lote e data de validade, registrados na planilha de controle de validade de produtos, permitindo rastrear a origem e o prazo de cada item desde o recebimento até a expedição para o cliente.</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sidR="008232CA" w:rsidRPr="00315E25">
                  <w:rPr>
                    <w:rStyle w:val="Geometria10"/>
                    <w:rFonts w:ascii="Arial" w:hAnsi="Arial" w:cs="Arial"/>
                    <w:szCs w:val="18"/>
                  </w:rPr>
                  <w:t xml:space="preserve">O controle do trabalho em andamento é realizado por meio de checklists operacionais diários (recebimento, armazenamento e expedição de mercadorias) e da planilha de controle de validade de produtos, atualizada periodicamente pela equipe de estoque sob supervisão da gerência.</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1"/>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sidR="008232CA" w:rsidRPr="00315E25">
                  <w:rPr>
                    <w:rStyle w:val="Geometria10"/>
                    <w:rFonts w:ascii="Arial" w:hAnsi="Arial" w:cs="Arial"/>
                    <w:szCs w:val="18"/>
                  </w:rPr>
                  <w:t xml:space="preserve">Produtos identificados como não conformes (ex.: validade vencida ou fora de especificação) são imediatamente segregados e descartados, com ajuste posterior da sistemática de controle de validade, sob acompanhamento da nutricionista responsável técnica, garantindo que a causa raiz seja tratada.</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sidR="008232CA" w:rsidRPr="00315E25">
                        <w:rPr>
                          <w:rStyle w:val="Geometria10"/>
                          <w:rFonts w:ascii="Arial" w:hAnsi="Arial" w:cs="Arial"/>
                          <w:szCs w:val="18"/>
                        </w:rPr>
                        <w:t xml:space="preserve">Documentos legais e técnicos (Contrato Social, licenças, PGR, PCMSO, Manual de Boas Práticas) são organizados e mantidos atualizados pela gestão administrativa da empresa, e disponibilizados à Pan Marine/TMS mediante solicitação, conforme evidenciado no processo de habilitação de fornecedores conduzido pela TMS.</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Fontepargpadro"/>
                  <w:spacing w:val="-8"/>
                </w:rPr>
              </w:sdtEndPr>
              <w:sdtContent>
                <w:r w:rsidR="008232CA" w:rsidRPr="00315E25">
                  <w:rPr>
                    <w:rStyle w:val="Geometria10"/>
                    <w:rFonts w:ascii="Arial" w:hAnsi="Arial" w:cs="Arial"/>
                    <w:szCs w:val="18"/>
                  </w:rPr>
                  <w:t xml:space="preserve">Sim. As revisões periódicas do PGR, do PCMSO e do Manual de Boas Práticas (última revisão em 2026) refletem o processo de melhoria contínua da empresa, assim como a atualização constante dos treinamentos de capacitação da equipe.</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sidR="00E749D0" w:rsidRPr="00315E25">
                  <w:rPr>
                    <w:rStyle w:val="Geometria10"/>
                    <w:rFonts w:ascii="Arial" w:hAnsi="Arial" w:cs="Arial"/>
                    <w:szCs w:val="18"/>
                  </w:rPr>
                  <w:t xml:space="preserve">O desperdício é monitorado por meio do controle de validade de produtos, o que permite identificar itens próximos ao vencimento, ajustar o giro de estoque e reduzir perdas de mercadorias perecíveis.</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sidR="006F1A99" w:rsidRPr="00315E25">
                  <w:rPr>
                    <w:rStyle w:val="Geometria10"/>
                    <w:rFonts w:ascii="Arial" w:hAnsi="Arial" w:cs="Arial"/>
                    <w:szCs w:val="18"/>
                  </w:rPr>
                  <w:t xml:space="preserve">O programa de garantia de competências da Sea Supply é baseado em treinamentos periódicos de capacitação profissional, ministrados pela nutricionista responsável técnica (Ana Raquel Monteiro, CRN-4 nº 01100583), com registro em listas de presença assinadas e reciclagem conforme necessidade identificada.</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sidR="006F1A99" w:rsidRPr="00315E25">
                  <w:rPr>
                    <w:rStyle w:val="Geometria10"/>
                    <w:rFonts w:ascii="Arial" w:hAnsi="Arial" w:cs="Arial"/>
                    <w:szCs w:val="18"/>
                  </w:rPr>
                  <w:t xml:space="preserve">N/A — pergunta aplicável apenas à Europa; a Sea Supply é uma empresa brasileira sediada em Macaé/RJ.</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sidR="006F1A99" w:rsidRPr="00315E25">
                  <w:rPr>
                    <w:rStyle w:val="Geometria10"/>
                    <w:rFonts w:ascii="Arial" w:hAnsi="Arial" w:cs="Arial"/>
                    <w:szCs w:val="18"/>
                  </w:rPr>
                  <w:t xml:space="preserve">As necessidades de treinamento são identificadas com base nas funções desempenhadas e nos riscos ocupacionais mapeados no PGR (Programa de Gerenciamento de Riscos), sob avaliação da nutricionista responsável técnica e da gerência.</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sidR="006F1A99" w:rsidRPr="00315E25">
                  <w:rPr>
                    <w:rStyle w:val="Geometria10"/>
                    <w:rFonts w:ascii="Arial" w:hAnsi="Arial" w:cs="Arial"/>
                    <w:szCs w:val="18"/>
                  </w:rPr>
                  <w:t xml:space="preserve">As necessidades identificadas são convertidas em sessões de treinamento programadas ao longo do ano — como as realizadas em julho/2026, cobrindo higienização de instalações, asseio pessoal, Manual de Boas Práticas e prevenção de microrganismos/DTA — com participação obrigatória de toda a equipe operacional.</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sidR="006F1A99" w:rsidRPr="00315E25">
                  <w:rPr>
                    <w:rStyle w:val="Geometria10"/>
                    <w:rFonts w:ascii="Arial" w:hAnsi="Arial" w:cs="Arial"/>
                    <w:szCs w:val="18"/>
                  </w:rPr>
                  <w:t xml:space="preserve">Sim. O controle de validade de certidões, licenças e certificados dos colaboradores (ASOs, CRN, entre outros) é acompanhado pela gestão administrativa da empresa, com apoio da TMS/Pan Marine no monitoramento de vencimentos durante o processo de habilitação de fornecedores.</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sidR="006F1A99" w:rsidRPr="00315E25">
                  <w:rPr>
                    <w:rStyle w:val="Geometria10"/>
                    <w:rFonts w:ascii="Arial" w:hAnsi="Arial" w:cs="Arial"/>
                    <w:szCs w:val="18"/>
                  </w:rPr>
                  <w:t xml:space="preserve">Não possuímos um sistema informatizado dedicado à administração de treinamentos; o controle é realizado de forma administrativa, com listas de presença físicas arquivadas.</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sidR="006F1A99" w:rsidRPr="00315E25">
                  <w:rPr>
                    <w:rStyle w:val="Geometria10"/>
                    <w:rFonts w:ascii="Arial" w:hAnsi="Arial" w:cs="Arial"/>
                    <w:szCs w:val="18"/>
                  </w:rPr>
                  <w:t xml:space="preserve">N/A — não aplicável, considerando a resposta ao item (f).</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sidR="006F1A99" w:rsidRPr="00315E25">
                  <w:rPr>
                    <w:rStyle w:val="Geometria10"/>
                    <w:rFonts w:ascii="Arial" w:hAnsi="Arial" w:cs="Arial"/>
                    <w:szCs w:val="18"/>
                  </w:rPr>
                  <w:t xml:space="preserve">A supervisão é realizada diretamente pela gerência operacional e pela nutricionista responsável técnica, com acompanhamento diário das atividades de recebimento, armazenamento e expedição na base operacional de Macaé/RJ.</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sidR="006F1A99" w:rsidRPr="00315E25">
                  <w:rPr>
                    <w:rStyle w:val="Geometria10"/>
                    <w:rFonts w:ascii="Arial" w:hAnsi="Arial" w:cs="Arial"/>
                    <w:szCs w:val="18"/>
                  </w:rPr>
                  <w:t xml:space="preserve">Os resultados da supervisão e do monitoramento são comunicados em reuniões internas e reforçados durante os treinamentos periódicos de capacitação da equipe.</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Fontepargpadro"/>
                  <w:spacing w:val="-8"/>
                </w:rPr>
              </w:sdtEndPr>
              <w:sdtContent>
                <w:r w:rsidR="006F1A99" w:rsidRPr="00315E25">
                  <w:rPr>
                    <w:rStyle w:val="Geometria10"/>
                    <w:rFonts w:ascii="Arial" w:hAnsi="Arial" w:cs="Arial"/>
                    <w:szCs w:val="18"/>
                  </w:rPr>
                  <w:t xml:space="preserve">A conformidade das práticas de trabalho com os objetivos e regulamentações de QHSE é garantida por meio do cumprimento do Manual de Boas Práticas, do PGR, do PCMSO e da legislação sanitária municipal aplicável, verificados periodicamente pela responsável técnica.</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EndPr>
                <w:rPr>
                  <w:rStyle w:val="Fontepargpadro"/>
                  <w:spacing w:val="-8"/>
                </w:rPr>
              </w:sdtEndPr>
              <w:sdtContent>
                <w:r w:rsidR="006F1A99" w:rsidRPr="00315E25">
                  <w:rPr>
                    <w:rStyle w:val="Geometria10"/>
                    <w:rFonts w:ascii="Arial" w:hAnsi="Arial" w:cs="Arial"/>
                    <w:szCs w:val="18"/>
                  </w:rPr>
                  <w:t xml:space="preserve">O gerente responsável pela base (Laercio Santos de Oliveira) participa dos treinamentos de capacitação da equipe e acompanha diretamente as rotinas de segurança alimentar e operacional.</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EndPr>
                <w:rPr>
                  <w:rStyle w:val="Fontepargpadro"/>
                  <w:spacing w:val="-8"/>
                </w:rPr>
              </w:sdtEndPr>
              <w:sdtContent>
                <w:r w:rsidR="006F1A99" w:rsidRPr="00315E25">
                  <w:rPr>
                    <w:rStyle w:val="Geometria10"/>
                    <w:rFonts w:ascii="Arial" w:hAnsi="Arial" w:cs="Arial"/>
                    <w:szCs w:val="18"/>
                  </w:rPr>
                  <w:t xml:space="preserve">Treinamento interno ministrado pela nutricionista responsável técnica, abrangendo boas práticas de fabricação, higienização de instalações e equipamentos, asseio pessoal e prevenção de microrganismos/doenças transmitidas por alimentos (DTA), com carga horária de 30 minutos por sessão e registro em lista de presença.</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47496F"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sidR="00C946BD" w:rsidRPr="00315E25">
                  <w:rPr>
                    <w:rStyle w:val="Geometria10"/>
                    <w:rFonts w:ascii="Arial" w:hAnsi="Arial" w:cs="Arial"/>
                    <w:sz w:val="19"/>
                    <w:szCs w:val="19"/>
                  </w:rPr>
                  <w:t xml:space="preserve">Não aplicável — a empresa não possui certificação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sidR="00C946BD" w:rsidRPr="00315E25">
                  <w:rPr>
                    <w:rStyle w:val="Geometria10"/>
                    <w:rFonts w:ascii="Arial" w:hAnsi="Arial" w:cs="Arial"/>
                    <w:sz w:val="19"/>
                    <w:szCs w:val="19"/>
                  </w:rPr>
                  <w:t xml:space="preserve">Não aplicável — a empresa não possui certificação IASME Governance Standard nem Cyber Essentials Scheme.</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Fontepargpadro"/>
                  <w:spacing w:val="-8"/>
                </w:rPr>
              </w:sdtEndPr>
              <w:sdtContent>
                <w:r w:rsidR="00C946BD" w:rsidRPr="00315E25">
                  <w:rPr>
                    <w:rStyle w:val="Geometria10"/>
                    <w:rFonts w:ascii="Arial" w:hAnsi="Arial" w:cs="Arial"/>
                    <w:szCs w:val="18"/>
                  </w:rPr>
                  <w:t xml:space="preserve">Como empresa de pequeno porte, adotamos medidas básicas de segurança da informação: acesso a computadores e sistemas protegido por senha, e acesso a documentos administrativos e financeiros restrito à diretoria e à equipe administrativa.</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EndPr>
                <w:rPr>
                  <w:rStyle w:val="Fontepargpadro"/>
                  <w:spacing w:val="-8"/>
                </w:rPr>
              </w:sdtEndPr>
              <w:sdtContent>
                <w:r w:rsidR="00C946BD" w:rsidRPr="00315E25">
                  <w:rPr>
                    <w:rStyle w:val="Geometria10"/>
                    <w:rFonts w:ascii="Arial" w:hAnsi="Arial" w:cs="Arial"/>
                    <w:szCs w:val="18"/>
                  </w:rPr>
                  <w:t xml:space="preserve">Os dados pessoais de colaboradores e clientes são utilizados exclusivamente para fins administrativos, contratuais e de conformidade legal (ex.: folha de pagamento, documentação de SSMA e exames ocupacionais), com acesso restrito à equipe administrativa da empresa.</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Fontepargpadro"/>
                  <w:spacing w:val="-8"/>
                </w:rPr>
              </w:sdtEndPr>
              <w:sdtContent>
                <w:r w:rsidR="00C946BD" w:rsidRPr="00315E25">
                  <w:rPr>
                    <w:rStyle w:val="Geometria10"/>
                    <w:rFonts w:ascii="Arial" w:hAnsi="Arial" w:cs="Arial"/>
                    <w:szCs w:val="18"/>
                  </w:rPr>
                  <w:t xml:space="preserve">Não possuímos um Encarregado de Proteção de Dados (DPO) formalmente nomeado. A responsabilidade pela conformidade com a LGPD (Lei Geral de Proteção de Dados, equivalente brasileira ao RGPD) é da diretoria da empresa.</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Fontepargpadro"/>
                  <w:spacing w:val="-8"/>
                </w:rPr>
              </w:sdtEndPr>
              <w:sdtContent>
                <w:r w:rsidR="00C946BD" w:rsidRPr="00315E25">
                  <w:rPr>
                    <w:rStyle w:val="Geometria10"/>
                    <w:rFonts w:ascii="Arial" w:hAnsi="Arial" w:cs="Arial"/>
                    <w:szCs w:val="18"/>
                  </w:rPr>
                  <w:t xml:space="preserve">Não possuímos um procedimento formalizado especificamente para violações de dados pessoais; eventuais incidentes seriam tratados diretamente pela diretoria, com adoção de medidas corretivas imediatas.</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Fontepargpadro"/>
                  <w:spacing w:val="-8"/>
                </w:rPr>
              </w:sdtEndPr>
              <w:sdtContent>
                <w:r w:rsidR="00C946BD" w:rsidRPr="00315E25">
                  <w:rPr>
                    <w:rStyle w:val="Geometria10"/>
                    <w:rFonts w:ascii="Arial" w:hAnsi="Arial" w:cs="Arial"/>
                    <w:szCs w:val="18"/>
                  </w:rPr>
                  <w:t xml:space="preserve">Não há treinamento formal específico sobre proteção de dados pessoais; orientações básicas de confidencialidade são repassadas verbalmente pela gestão no momento da admissão.</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sidR="00C946BD" w:rsidRPr="00315E25">
                  <w:rPr>
                    <w:rStyle w:val="Geometria10"/>
                    <w:rFonts w:ascii="Arial" w:hAnsi="Arial" w:cs="Arial"/>
                    <w:szCs w:val="18"/>
                  </w:rPr>
                  <w:t xml:space="preserve">Sim. Utilizamos serviços terceirizados de contabilidade e de medicina do trabalho (Clínica L2 Saúde Ocupacional), que processam dados de colaboradores para fins de folha de pagamento e exames ocupacionais.</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i</w:t>
            </w:r>
            <w:proofErr w:type="gramEnd"/>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EndPr>
                <w:rPr>
                  <w:rStyle w:val="Fontepargpadro"/>
                  <w:spacing w:val="-8"/>
                </w:rPr>
              </w:sdtEndPr>
              <w:sdtContent>
                <w:r w:rsidR="00C946BD" w:rsidRPr="00315E25">
                  <w:rPr>
                    <w:rStyle w:val="Geometria10"/>
                    <w:rFonts w:ascii="Arial" w:hAnsi="Arial" w:cs="Arial"/>
                    <w:szCs w:val="18"/>
                  </w:rPr>
                  <w:t xml:space="preserve">Controle de acesso à base operacional, identificação dos colaboradores e acompanhamento contínuo de saúde ocupacional (ASOs e PCMSO) para garantir a segurança do pessoal.</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sidR="00C946BD" w:rsidRPr="00315E25">
                  <w:rPr>
                    <w:rStyle w:val="Geometria10"/>
                    <w:rFonts w:ascii="Arial" w:hAnsi="Arial" w:cs="Arial"/>
                    <w:szCs w:val="18"/>
                  </w:rPr>
                  <w:t xml:space="preserve">São verificados documentos pessoais (RG/CPF), regularidade cadastral e realizado exame médico admissional (ASO) antes da contratação de cada colaborador.</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a</w:t>
            </w:r>
            <w:proofErr w:type="gramEnd"/>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sidR="00C946BD" w:rsidRPr="00315E25">
                  <w:rPr>
                    <w:rStyle w:val="Geometria10"/>
                    <w:rFonts w:ascii="Arial" w:hAnsi="Arial" w:cs="Arial"/>
                    <w:sz w:val="19"/>
                    <w:szCs w:val="19"/>
                  </w:rPr>
                  <w:t xml:space="preserve">Não aplicável — a empresa não possui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EndPr>
                <w:rPr>
                  <w:rStyle w:val="Fontepargpadro"/>
                  <w:spacing w:val="-8"/>
                </w:rPr>
              </w:sdtEndPr>
              <w:sdtContent>
                <w:r w:rsidR="00C946BD" w:rsidRPr="00315E25">
                  <w:rPr>
                    <w:rStyle w:val="Geometria10"/>
                    <w:rFonts w:ascii="Arial" w:hAnsi="Arial" w:cs="Arial"/>
                    <w:szCs w:val="18"/>
                  </w:rPr>
                  <w:t xml:space="preserve">Não possuímos um plano de continuidade de negócios formalizado e documentado. A empresa mitiga riscos operacionais mantendo relacionamento com fornecedores alternativos de insumos para reduzir o risco de desabastecimento.</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EndPr>
                <w:rPr>
                  <w:rStyle w:val="Fontepargpadro"/>
                  <w:spacing w:val="-8"/>
                </w:rPr>
              </w:sdtEndPr>
              <w:sdtContent>
                <w:r w:rsidR="00C946BD" w:rsidRPr="00315E25">
                  <w:rPr>
                    <w:rStyle w:val="Geometria10"/>
                    <w:rFonts w:ascii="Arial" w:hAnsi="Arial" w:cs="Arial"/>
                    <w:szCs w:val="18"/>
                  </w:rPr>
                  <w:t xml:space="preserve">Não possuímos um plano formal de recuperação de desastres que permita a realocação para outro local em caso de indisponibilidade da base atual.</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color w:val="auto"/>
                <w:kern w:val="0"/>
                <w:sz w:val="20"/>
                <w:u w:val="single"/>
                <w:lang w:val="en-GB"/>
                <w14:ligatures w14:val="none"/>
                <w14:cntxtAlts w14:val="0"/>
              </w:rPr>
              <w:br w:type="page"/>
            </w:r>
            <w:r w:rsidRPr="00315E25">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sidR="00C946BD" w:rsidRPr="00315E25">
                  <w:rPr>
                    <w:rStyle w:val="Geometria10"/>
                    <w:rFonts w:ascii="Arial" w:hAnsi="Arial" w:cs="Arial"/>
                    <w:szCs w:val="18"/>
                  </w:rPr>
                  <w:t xml:space="preserve">Não aplicável — a empresa nunca foi condenada nem recebeu notificações de órgãos reguladores relacionadas à Lei de Escravidão Moderna de 2015 ou legislação equivalente.</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sidR="00C946BD" w:rsidRPr="00315E25">
                  <w:rPr>
                    <w:rStyle w:val="Geometria10"/>
                    <w:rFonts w:ascii="Arial" w:hAnsi="Arial" w:cs="Arial"/>
                    <w:szCs w:val="18"/>
                  </w:rPr>
                  <w:t xml:space="preserve">Não possuímos ainda uma política formal específica de combate ao tráfico de pessoas/trabalho escravo. A empresa segue a legislação trabalhista brasileira (CLT) e os princípios de combate ao trabalho análogo à escravidão previstos na Portaria MTE nº 1.293/2017, e pretende formalizar uma política própria a partir das diretrizes de compliance da Pan Marine/TMS.</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0"/>
                        <w14:checkedState w14:val="E10A" w14:font="Segoe UI Symbol"/>
                        <w14:uncheckedState w14:val="2610" w14:font="MS Gothic"/>
                      </w14:checkbox>
                    </w:sdtPr>
                    <w:sdtContent>
                      <w:r w:rsidR="00315E25">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1"/>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Content>
                      <w:r w:rsidR="00315E25">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Content>
                      <w:r w:rsidR="00315E25">
                        <w:rPr>
                          <w:rFonts w:ascii="MS Gothic" w:eastAsia="MS Gothic" w:hAnsi="MS Gothic" w:cs="Arial"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