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Style w:val="Geometria10"/>
                    <w:rFonts w:ascii="Arial" w:hAnsi="Arial" w:cs="Arial"/>
                    <w:sz w:val="19"/>
                    <w:szCs w:val="19"/>
                  </w:rPr>
                  <w:t>Análises físico-químicas e microbiológicas de água (potável, natural e de reúso), análises de efluentes industriais e sanitários, análises de água oleosa, e demais ensaios laboratoriais no âmbito da acreditação INMETRO ABNT NBR ISO/IEC 17025 (CRL 1519).</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 xml:space="preserve">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Style w:val="Geometria10"/>
                    <w:sz w:val="19"/>
                    <w:szCs w:val="19"/>
                  </w:rPr>
                  <w:t>TESA-LAB TECNOLOGIA EM SERVIÇOS AMBIENTAIS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Style w:val="Geometria10"/>
                    <w:sz w:val="19"/>
                    <w:szCs w:val="19"/>
                  </w:rPr>
                  <w:t>Rua Doutor Francisco Portela, 229 - Centro, Macaé/RJ, CEP 27913-350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Style w:val="Geometria10"/>
                    <w:sz w:val="19"/>
                    <w:szCs w:val="19"/>
                  </w:rPr>
                  <w:t>(22) 2762-3000</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Style w:val="Geometria10"/>
                    <w:sz w:val="19"/>
                    <w:szCs w:val="19"/>
                  </w:rPr>
                  <w:t>Não possui</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Style w:val="Geometria10"/>
                    <w:sz w:val="19"/>
                    <w:szCs w:val="19"/>
                  </w:rPr>
                  <w:t>Bruna Baptista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Style w:val="Geometria10"/>
                    <w:sz w:val="19"/>
                    <w:szCs w:val="19"/>
                  </w:rPr>
                  <w:t>Química - Responsável pela Qualidade e Controle de Equipamentos</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Style w:val="Geometria10"/>
                    <w:sz w:val="19"/>
                    <w:szCs w:val="19"/>
                  </w:rPr>
                  <w:t>(22) 99999-0000</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Style w:val="Geometria10"/>
                    <w:sz w:val="19"/>
                    <w:szCs w:val="19"/>
                  </w:rPr>
                  <w:t>comercial@tesalab.com.br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Style w:val="Geometria10"/>
                    <w:sz w:val="19"/>
                    <w:szCs w:val="19"/>
                  </w:rPr>
                  <w:t>www.tesalab.com.br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Style w:val="Geometria10"/>
                    <w:sz w:val="19"/>
                    <w:szCs w:val="19"/>
                  </w:rPr>
                  <w:t>2020</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Style w:val="Geometria10"/>
                    <w:sz w:val="19"/>
                    <w:szCs w:val="19"/>
                  </w:rPr>
                  <w:t>20</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Style w:val="Geometria10"/>
                    <w:sz w:val="19"/>
                    <w:szCs w:val="19"/>
                  </w:rPr>
                  <w:t>Análises laboratoriais de água e efluentes (físico-químicas e microbiológicas)</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Style w:val="Geometria10"/>
                    <w:sz w:val="19"/>
                    <w:szCs w:val="19"/>
                  </w:rPr>
                  <w:t>Laboratório próprio em Macaé/RJ, acreditado pelo INMETRO na norma ABNT NBR ISO/IEC 17025 (CRL 1519), com 148 equipamentos e 328 vidrarias sob programa formal de calibração rastreável (FOR 122), corpo técnico habilitado (Química Responsável, CRQ-RJ) e procedimentos documentados de operação, limpeza e verificação dos laboratórios de água (ITLAB 053) e efluente (ITLAB 055).</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Style w:val="Geometria10"/>
                    <w:sz w:val="19"/>
                    <w:szCs w:val="19"/>
                  </w:rPr>
                  <w:t>Coleta, análise e emissão de laudos técnicos de qualidade de água e efluentes, incluindo parâmetros físico-químicos e microbiológicos, para clientes do setor offshore e industrial.</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Style w:val="Geometria10"/>
                    <w:sz w:val="19"/>
                    <w:szCs w:val="19"/>
                  </w:rPr>
                  <w:t>Maria José Alves</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Style w:val="Geometria10"/>
                    <w:sz w:val="18"/>
                    <w:szCs w:val="18"/>
                  </w:rPr>
                  <w:t xml:space="preserve">16      /      07      /      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Content>
                <w:r>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Content>
                <w:r>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Tidewater.</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showingPlcHdr/>
                <w:text/>
              </w:sdtPr>
              <w:sdtEndPr>
                <w:rPr>
                  <w:rStyle w:val="Fontepargpadro"/>
                  <w:spacing w:val="-8"/>
                </w:rPr>
              </w:sdtEndPr>
              <w:sdtContent>
                <w:r>
                  <w:rPr>
                    <w:rStyle w:val="Geometria10"/>
                    <w:rFonts w:ascii="Arial" w:hAnsi="Arial" w:cs="Arial"/>
                    <w:color w:val="FFFFFF" w:themeColor="background1"/>
                    <w:sz w:val="19"/>
                    <w:szCs w:val="19"/>
                  </w:rPr>
                  <w:t>e</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Style w:val="Geometria10"/>
                    <w:rFonts w:ascii="Arial" w:hAnsi="Arial" w:cs="Arial"/>
                    <w:szCs w:val="18"/>
                  </w:rPr>
                  <w:t>N/A</w:t>
                </w:r>
              </w:sdtContent>
            </w:sdt>
            <w:r>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Style w:val="Geometria10"/>
                    <w:rFonts w:ascii="Arial" w:hAnsi="Arial" w:cs="Arial"/>
                    <w:sz w:val="19"/>
                    <w:szCs w:val="19"/>
                  </w:rPr>
                  <w:t>N/A</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Style w:val="Geometria10"/>
                    <w:rFonts w:ascii="Arial" w:hAnsi="Arial" w:cs="Arial"/>
                    <w:sz w:val="19"/>
                    <w:szCs w:val="19"/>
                  </w:rPr>
                  <w:t>N/A</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Style w:val="Geometria10"/>
                    <w:rFonts w:ascii="Arial" w:hAnsi="Arial" w:cs="Arial"/>
                    <w:sz w:val="19"/>
                    <w:szCs w:val="19"/>
                  </w:rPr>
                  <w:t>N/A</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Style w:val="Geometria10"/>
                    <w:rFonts w:ascii="Arial" w:hAnsi="Arial" w:cs="Arial"/>
                    <w:sz w:val="19"/>
                    <w:szCs w:val="19"/>
                  </w:rPr>
                  <w:t>N/A</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Style w:val="Geometria10"/>
                    <w:rFonts w:ascii="Arial" w:hAnsi="Arial" w:cs="Arial"/>
                    <w:sz w:val="19"/>
                    <w:szCs w:val="19"/>
                  </w:rPr>
                  <w:t>N/A</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Style w:val="Geometria10"/>
                    <w:rFonts w:ascii="Arial" w:hAnsi="Arial" w:cs="Arial"/>
                    <w:sz w:val="19"/>
                    <w:szCs w:val="19"/>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Style w:val="Geometria10"/>
                    <w:rFonts w:ascii="Arial" w:hAnsi="Arial" w:cs="Arial"/>
                    <w:szCs w:val="18"/>
                  </w:rPr>
                  <w:t>Os resultados de investigações de incidentes e demais informações relevantes de QHSE são comunicados por meio de comunicados internos, reuniões técnicas e da Química Responsável, seguindo o Manual de Gestão da TESALAB.</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 xml:space="preserve">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Style w:val="Geometria10"/>
                    <w:rFonts w:ascii="Arial" w:hAnsi="Arial" w:cs="Arial"/>
                    <w:szCs w:val="18"/>
                  </w:rPr>
                  <w:t>A competência QHSE de subcontratados é avaliada com base na documentação legal e de SST apresentada (contrato social, PGR, PCMSO, ASOs) e no histórico de atendimento a requisitos técnicos e de segurança exigidos pela TESALAB e por seus clientes.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Style w:val="Geometria10"/>
                    <w:rFonts w:ascii="Arial" w:hAnsi="Arial" w:cs="Arial"/>
                    <w:szCs w:val="18"/>
                  </w:rPr>
                  <w:t>Sim, são mantidos registros documentais dos subcontratados e fornecedores contratados.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Style w:val="Geometria10"/>
                    <w:rFonts w:ascii="Arial" w:hAnsi="Arial" w:cs="Arial"/>
                    <w:szCs w:val="18"/>
                  </w:rPr>
                  <w:t>A conformidade de subcontratados com normas anticorrupção e antissuborno é verificada por meio de cláusulas contratuais e da documentação legal exigida no processo de qualificação.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Style w:val="Geometria10"/>
                    <w:rFonts w:ascii="Arial" w:hAnsi="Arial" w:cs="Arial"/>
                    <w:szCs w:val="18"/>
                  </w:rPr>
                  <w:t>Todos os equipamentos e instrumentos laboratoriais são cadastrados e controlados por meio do Plano de Manutenção e Calibração dos Equipamentos (FOR 122), que abrange 148 equipamentos e 328 vidrarias, com certificados de calibração rastreáveis ao INMETRO. Equipamentos com defeito ou fora de calibração são imediatamente isolados e etiquetados "Fora de Uso", sendo retirados de operação até a regularização. As verificações e a manutenção seguem os procedimentos ITLAB 053 (Laboratório de Água) e ITLAB 055 (Laboratório de Efluente).</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Style w:val="Geometria10"/>
                    <w:rFonts w:ascii="Arial" w:hAnsi="Arial" w:cs="Arial"/>
                    <w:szCs w:val="18"/>
                  </w:rPr>
                  <w:t>Os EPIs (jaleco, luvas de procedimento e nitrílicas, óculos de proteção, protetor respiratório quando aplicável) são fornecidos gratuitamente aos colaboradores, com Certificado de Aprovação (CA) válido, conforme a atividade laboratorial executada. Os colaboradores recebem treinamento sobre uso correto, higienização e substituição dos equipamentos, com controle de entrega individual e inspeção periódica.</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Style w:val="Geometria10"/>
                    <w:rFonts w:ascii="Arial" w:hAnsi="Arial" w:cs="Arial"/>
                    <w:szCs w:val="18"/>
                  </w:rPr>
                  <w:t>Não obteve prêmios formais de desempenho em Saúde e Segurança até o momento.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Style w:val="Geometria10"/>
                    <w:rFonts w:ascii="Arial" w:hAnsi="Arial" w:cs="Arial"/>
                    <w:szCs w:val="18"/>
                  </w:rPr>
                  <w:t>Novos funcionários passam por integração inicial abordando as normas de QHSE do setor laboratorial, política de gestão e procedimentos internos, com reciclagens periódicas para manter o conhecimento atualizado.</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szCs w:val="18"/>
                  </w:rPr>
                  <w:t>São realizados treinamentos específicos sobre os riscos associados às atividades de coleta e análise (manuseio de produtos químicos, biossegurança e uso de EPIs), conforme os procedimentos ITLAB e o Programa de Gerenciamento de Riscos (PGR).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Style w:val="Geometria10"/>
                    <w:rFonts w:ascii="Arial" w:hAnsi="Arial" w:cs="Arial"/>
                    <w:szCs w:val="18"/>
                  </w:rPr>
                  <w:t>Os treinamentos internos abordam procedimentos de coleta, técnicas analíticas, uso e conservação de EPIs e boas práticas de laboratório (BPL), ministrados pela Química Responsável e demais analistas seniores.</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Style w:val="Geometria10"/>
                          <w:rFonts w:ascii="Arial" w:hAnsi="Arial" w:cs="Arial"/>
                          <w:sz w:val="19"/>
                          <w:szCs w:val="19"/>
                        </w:rPr>
                        <w:t>Paulo Venícius Lima Machado</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Style w:val="Geometria10"/>
                          <w:rFonts w:ascii="Arial" w:hAnsi="Arial" w:cs="Arial"/>
                          <w:sz w:val="19"/>
                          <w:szCs w:val="19"/>
                        </w:rPr>
                        <w:t>Engenheiro Químico - Responsável Técnico (CRQ-RJ nº 03313856)</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Style w:val="Geometria10"/>
                    <w:rFonts w:ascii="Arial" w:hAnsi="Arial" w:cs="Arial"/>
                    <w:szCs w:val="18"/>
                  </w:rPr>
                  <w:t>A TESALAB identifica e gerencia os aspectos ambientais de suas atividades por meio do Manual de Gestão e dos procedimentos ITLAB 053/055, que tratam do descarte adequado de resíduos e reagentes utilizados nas análises.</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Style w:val="Geometria10"/>
                    <w:rFonts w:ascii="Arial" w:hAnsi="Arial" w:cs="Arial"/>
                    <w:szCs w:val="18"/>
                  </w:rPr>
                  <w:t>Os objetivos e metas ambientais estão vinculados à manutenção da acreditação INMETRO ABNT NBR ISO/IEC 17025 (CRL 1519) e às ações de melhoria contínua do Sistema de Gestão.</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tab/>
        <w:tab/>
        <w:tab/>
        <w:tab/>
        <w:tab/>
        <w:tab/>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Style w:val="Geometria10"/>
                    <w:rFonts w:ascii="Arial" w:hAnsi="Arial" w:cs="Arial"/>
                    <w:szCs w:val="18"/>
                  </w:rPr>
                  <w:t>Cada amostra recebida é identificada por código único de cadeia de custódia, registrado desde a coleta até a emissão do laudo, garantindo a rastreabilidade completa do resultado analítico.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Style w:val="Geometria10"/>
                    <w:rFonts w:ascii="Arial" w:hAnsi="Arial" w:cs="Arial"/>
                    <w:szCs w:val="18"/>
                  </w:rPr>
                  <w:t>O trabalho em andamento é controlado por meio de Ordens de Serviço (OS) e do cronograma analítico, com acompanhamento pela Química Responsável até a emissão do laudo final.</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Style w:val="Geometria10"/>
                    <w:rFonts w:ascii="Arial" w:hAnsi="Arial" w:cs="Arial"/>
                    <w:szCs w:val="18"/>
                  </w:rPr>
                  <w:t>As não conformidades identificadas (em amostras, equipamentos ou resultados) são registradas, analisadas quanto à causa raiz e tratadas com ações corretivas, sendo o fechamento verificado pela Química Responsável antes da liberação do laudo.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Style w:val="Geometria10"/>
                          <w:rFonts w:ascii="Arial" w:hAnsi="Arial" w:cs="Arial"/>
                          <w:szCs w:val="18"/>
                        </w:rPr>
                        <w:t>Sistema de controle de documentos e registros conforme procedimento PG 01 (Controle de Documentos) do Manual de Gestão da TESALAB.</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Style w:val="Geometria10"/>
                    <w:rFonts w:ascii="Arial" w:hAnsi="Arial" w:cs="Arial"/>
                    <w:szCs w:val="18"/>
                  </w:rPr>
                  <w:t>A melhoria contínua é conduzida por meio de auditorias internas, análise crítica dos indicadores de qualidade e ações corretivas decorrentes de não conformidades, exigidas pela acreditação ABNT NBR ISO/IEC 17025.</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Style w:val="Geometria10"/>
                    <w:rFonts w:ascii="Arial" w:hAnsi="Arial" w:cs="Arial"/>
                    <w:szCs w:val="18"/>
                  </w:rPr>
                  <w:t>O desperdício e retrabalho são monitorados por meio do índice de reanálises (repetição de ensaios) e do consumo de reagentes e vidrarias, com apuração das causas e ações corretivas quando aplicável.</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Style w:val="Geometria10"/>
                    <w:rFonts w:ascii="Arial" w:hAnsi="Arial" w:cs="Arial"/>
                    <w:szCs w:val="18"/>
                  </w:rPr>
                  <w:t>O Programa de Garantia de Competências da TESALAB baseia-se na formação técnica exigida para cada função (Química Responsável - CRQ, analistas de laboratório), na integração inicial de novos colaboradores e em treinamentos periódicos sobre procedimentos analíticos, uso de EPIs e boas práticas de laboratório (BPL), com registros mantidos conforme os procedimentos ITLAB 053/055.</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Style w:val="Geometria10"/>
                    <w:rFonts w:ascii="Arial" w:hAnsi="Arial" w:cs="Arial"/>
                    <w:szCs w:val="18"/>
                  </w:rPr>
                  <w:t>Não aplicável (pergunta específica para a Europa).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Style w:val="Geometria10"/>
                    <w:rFonts w:ascii="Arial" w:hAnsi="Arial" w:cs="Arial"/>
                    <w:szCs w:val="18"/>
                  </w:rPr>
                  <w:t>As necessidades de treinamento são identificadas a partir dos requisitos da acreditação ABNT NBR ISO/IEC 17025, da legislação aplicável e das atividades executadas pelos analistas.</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Style w:val="Geometria10"/>
                    <w:rFonts w:ascii="Arial" w:hAnsi="Arial" w:cs="Arial"/>
                    <w:szCs w:val="18"/>
                  </w:rPr>
                  <w:t>As necessidades identificadas são traduzidas em um plano de treinamento que contempla tema, público-alvo, carga horária e prazo, com registros mantidos e monitorados quanto aos vencimentos de certificações.</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Style w:val="Geometria10"/>
                    <w:rFonts w:ascii="Arial" w:hAnsi="Arial" w:cs="Arial"/>
                    <w:szCs w:val="18"/>
                  </w:rPr>
                  <w:t>Sim.</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Style w:val="Geometria10"/>
                    <w:rFonts w:ascii="Arial" w:hAnsi="Arial" w:cs="Arial"/>
                    <w:szCs w:val="18"/>
                  </w:rPr>
                  <w:t>Não.</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Style w:val="Geometria10"/>
                    <w:rFonts w:ascii="Arial" w:hAnsi="Arial" w:cs="Arial"/>
                    <w:szCs w:val="18"/>
                  </w:rPr>
                  <w:t>O controle é realizado por meio de planilha de gestão de treinamentos, com monitoramento periódico dos vencimentos de certificados e capacitações da equipe.</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Style w:val="Geometria10"/>
                    <w:rFonts w:ascii="Arial" w:hAnsi="Arial" w:cs="Arial"/>
                    <w:szCs w:val="18"/>
                  </w:rPr>
                  <w:t>A supervisão das atividades é realizada pela Química Responsável e pelos analistas seniores, que acompanham a execução das coletas e análises conforme os procedimentos ITLAB e o Manual de Gestão, verificando o cumprimento das boas práticas de laboratório.</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Style w:val="Geometria10"/>
                    <w:rFonts w:ascii="Arial" w:hAnsi="Arial" w:cs="Arial"/>
                    <w:szCs w:val="18"/>
                  </w:rPr>
                  <w:t>Os resultados da supervisão são repassados por meio de reuniões técnicas internas e de relatórios de não conformidade, quando aplicável, sendo as conclusões relevantes levadas à administração da TESALAB.</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Style w:val="Geometria10"/>
                    <w:rFonts w:ascii="Arial" w:hAnsi="Arial" w:cs="Arial"/>
                    <w:szCs w:val="18"/>
                  </w:rPr>
                  <w:t>A conformidade das práticas de trabalho com os objetivos de QHSE é garantida pela aplicação dos procedimentos documentados (ITLAB 053/055, PG 01, PG 03) e pelas auditorias internas exigidas pela acreditação ABNT NBR ISO/IEC 17025.</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Style w:val="Geometria10"/>
                    <w:rFonts w:ascii="Arial" w:hAnsi="Arial" w:cs="Arial"/>
                    <w:szCs w:val="18"/>
                  </w:rPr>
                  <w:t>A Química Responsável e os analistas seniores recebem orientação formal sobre suas responsabilidades técnicas e de segurança, incluindo a supervisão de boas práticas de laboratório (BPL) e de procedimentos analíticos.</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Style w:val="Geometria10"/>
                    <w:rFonts w:ascii="Arial" w:hAnsi="Arial" w:cs="Arial"/>
                    <w:szCs w:val="18"/>
                  </w:rPr>
                  <w:t>Quando ministrado internamente, o treinamento aborda os procedimentos ITLAB 053/055 (operação, limpeza, manutenção e verificação dos equipamentos), boas práticas de laboratório e uso correto dos EPIs.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G</w:t>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Style w:val="Geometria10"/>
                    <w:rFonts w:ascii="Arial" w:hAnsi="Arial" w:cs="Arial"/>
                    <w:sz w:val="19"/>
                    <w:szCs w:val="19"/>
                  </w:rPr>
                  <w:t>N/A</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Style w:val="Geometria10"/>
                    <w:rFonts w:ascii="Arial" w:hAnsi="Arial" w:cs="Arial"/>
                    <w:sz w:val="19"/>
                    <w:szCs w:val="19"/>
                  </w:rPr>
                  <w:t>N/A</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Style w:val="Geometria10"/>
                    <w:rFonts w:ascii="Arial" w:hAnsi="Arial" w:cs="Arial"/>
                    <w:szCs w:val="18"/>
                  </w:rPr>
                  <w:t>A TESALAB mantém política de acesso restrito por usuário e senha aos sistemas internos que armazenam dados de clientes e resultados analíticos.</w:t>
                </w:r>
              </w:sdtContent>
            </w:sdt>
            <w:r>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Style w:val="Geometria10"/>
                    <w:rFonts w:ascii="Arial" w:hAnsi="Arial" w:cs="Arial"/>
                    <w:szCs w:val="18"/>
                  </w:rPr>
                  <w:t>Sim, em conformidade com a Lei Geral de Proteção de Dados (Lei nº 13.709/2018 - LGPD).</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Style w:val="Geometria10"/>
                    <w:rFonts w:ascii="Arial" w:hAnsi="Arial" w:cs="Arial"/>
                    <w:szCs w:val="18"/>
                  </w:rPr>
                  <w:t>Não possui encarregado de proteção de dados (DPO) formalmente nomeado até o momento.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Style w:val="Geometria10"/>
                    <w:rFonts w:ascii="Arial" w:hAnsi="Arial" w:cs="Arial"/>
                    <w:szCs w:val="18"/>
                  </w:rPr>
                  <w:t>Sim, por meio de protocolo interno de resposta a incidentes de segurança da informação.</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Style w:val="Geometria10"/>
                    <w:rFonts w:ascii="Arial" w:hAnsi="Arial" w:cs="Arial"/>
                    <w:szCs w:val="18"/>
                  </w:rPr>
                  <w:t>Sim, é fornecida orientação básica sobre proteção de dados nas integrações de colaboradores.</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Style w:val="Geometria10"/>
                    <w:rFonts w:ascii="Arial" w:hAnsi="Arial" w:cs="Arial"/>
                    <w:szCs w:val="18"/>
                  </w:rPr>
                  <w:t>Sim, utiliza sistemas de gestão laboratorial e armazenamento em nuvem de fornecedores de tecnologia.</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Style w:val="Geometria10"/>
                    <w:rFonts w:ascii="Arial" w:hAnsi="Arial" w:cs="Arial"/>
                    <w:szCs w:val="18"/>
                  </w:rPr>
                  <w:t>Controle de acesso às instalações e verificação documental na admissão dos colaboradores.</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Style w:val="Geometria10"/>
                    <w:rFonts w:ascii="Arial" w:hAnsi="Arial" w:cs="Arial"/>
                    <w:szCs w:val="18"/>
                  </w:rPr>
                  <w:t>Verificação de antecedentes e conferência da documentação admissional dos colaboradores.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Style w:val="Geometria10"/>
                    <w:rFonts w:ascii="Arial" w:hAnsi="Arial" w:cs="Arial"/>
                    <w:sz w:val="19"/>
                    <w:szCs w:val="19"/>
                  </w:rPr>
                  <w:t>N/A</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Style w:val="Geometria10"/>
                    <w:rFonts w:ascii="Arial" w:hAnsi="Arial" w:cs="Arial"/>
                    <w:szCs w:val="18"/>
                  </w:rPr>
                  <w:t>N/A</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Style w:val="Geometria10"/>
                    <w:rFonts w:ascii="Arial" w:hAnsi="Arial" w:cs="Arial"/>
                    <w:szCs w:val="18"/>
                  </w:rPr>
                  <w:t>A TESALAB não possui, até o momento, um plano formal de recuperação de desastres com realocação para outro local; a documentação encontra-se em desenvolvimento.</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Style w:val="Geometria10"/>
                    <w:rFonts w:ascii="Arial" w:hAnsi="Arial" w:cs="Arial"/>
                    <w:szCs w:val="18"/>
                  </w:rPr>
                  <w:t>N/A</w:t>
                </w:r>
              </w:sdtContent>
            </w:sdt>
            <w:r>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Style w:val="Geometria10"/>
                    <w:rFonts w:ascii="Arial" w:hAnsi="Arial" w:cs="Arial"/>
                    <w:szCs w:val="18"/>
                  </w:rPr>
                  <w:t>N/A</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1"/>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1"/>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E10A" w14:font="Segoe UI Symbol"/>
                        <w14:uncheckedState w14:val="2610" w14:font="MS Gothic"/>
                      </w14:checkbox>
                    </w:sdtPr>
                    <w:sdtContent>
                      <w:r>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