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New Metrics for Assessing Virginia Tech Student Success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 Sponsor:</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Virginia Tech Office of the Executive Vice President and Provost</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 Client:</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Ken Smith, Vice Provost, Academic Resource Management</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 Background</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In terms of data operations, Virginia Tech has operated over the past few decades through a data warehouse enterprise systems architecture. In this type of architecture, administrative data systems are generally purpose-oriented and traditionally siloed from each other. Such an architecture can pose significant barriers to effective use of administrative data for analytic and decision-making purposes. To better enabling the use of administrative data for decision-making purposes, Virginia Tech currently has an initiative to establish a “data lake” architecture allowing for the extraction and cross-system analysis of data from these separate enterprise systems (including HR, Finance, Facilities, Space, and Donors).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Using the newly available data in the “data lake”, in conjunction with other pertinent data that do not exist in the Virginia Tech administrative data systems, Virginia Tech would like to build a new set of metrics with the goal of creating multiple profiles to gain better understanding in a number of strategic areas like Student Success, Faculty Retention, Academic Analytics, and Research Facility Usage. The hope is that these profiles will be useful in determining, and possibly improving, the alignment of University budgets with specific aspects of the University Strategic Plan.</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 Goal(s)</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Use the new Virginia Tech Data Lake and other available external data, to create new metrics to measure student success in the areas of:</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Admissions/Acquisition: VT currently knows a lot about students who choose to attend, but would like to know about students who were accepted but choose to attend elsewhere. Are they going up or down market?</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Student Progression/Success: Are VT students on predicted trajectory towards their degrees? Are they graduating on time?</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Post-Graduation Success: VT currently conducts a survey approximately 6 months after graduation to determine whether a student is employed, in graduate school, or doing something else? The response rate is currently 50-60% - is there a different way to get a higher percentage?</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From this assessment, one or two new metrics of student success will be chosen, developed, and analyzed.</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1"/>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 Tasks: </w:t>
      </w:r>
      <w:r w:rsidDel="00000000" w:rsidR="00000000" w:rsidRPr="00000000">
        <w:rPr>
          <w:rFonts w:ascii="Liberation Sans" w:cs="Liberation Sans" w:eastAsia="Liberation Sans" w:hAnsi="Liberation Sans"/>
          <w:b w:val="0"/>
          <w:i w:val="1"/>
          <w:smallCaps w:val="0"/>
          <w:strike w:val="0"/>
          <w:color w:val="000000"/>
          <w:sz w:val="22"/>
          <w:szCs w:val="22"/>
          <w:u w:val="none"/>
          <w:shd w:fill="auto" w:val="clear"/>
          <w:vertAlign w:val="baseline"/>
          <w:rtl w:val="0"/>
        </w:rPr>
        <w:t xml:space="preserve">(categories to be expanded)</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Problem Definition</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Data Discovery</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Data Profiling, Preparation and Exploration</w:t>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Metric Creation and Validation</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Projected Time:</w:t>
      </w: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 10 weeks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2"/>
          <w:szCs w:val="22"/>
          <w:u w:val="none"/>
          <w:shd w:fill="auto" w:val="clear"/>
          <w:vertAlign w:val="baseline"/>
          <w:rtl w:val="0"/>
        </w:rPr>
        <w:t xml:space="preserve">Projected Cost:</w:t>
      </w:r>
      <w:r w:rsidDel="00000000" w:rsidR="00000000" w:rsidRPr="00000000">
        <w:rPr>
          <w:rFonts w:ascii="Liberation Sans" w:cs="Liberation Sans" w:eastAsia="Liberation Sans" w:hAnsi="Liberation Sans"/>
          <w:b w:val="0"/>
          <w:i w:val="0"/>
          <w:smallCaps w:val="0"/>
          <w:strike w:val="0"/>
          <w:color w:val="000000"/>
          <w:sz w:val="22"/>
          <w:szCs w:val="22"/>
          <w:u w:val="none"/>
          <w:shd w:fill="auto" w:val="clear"/>
          <w:vertAlign w:val="baseline"/>
          <w:rtl w:val="0"/>
        </w:rPr>
        <w:t xml:space="preserve"> $10,000</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Liberation Sans" w:cs="Liberation Sans" w:eastAsia="Liberation Sans" w:hAnsi="Liberation Sans"/>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eration Sans"/>
  <w:font w:name="Noto Sans Symbol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