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*Perfect* Open Data Portal </w:t>
      </w:r>
    </w:p>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All of the cool kids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Opening/Background: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Process: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contextualSpacing w:val="0"/>
        <w:rPr/>
      </w:pPr>
      <w:r w:rsidDel="00000000" w:rsidR="00000000" w:rsidRPr="00000000">
        <w:rPr>
          <w:b w:val="1"/>
          <w:rtl w:val="0"/>
        </w:rPr>
        <w:t xml:space="preserve">User Interface</w:t>
      </w:r>
      <w:r w:rsidDel="00000000" w:rsidR="00000000" w:rsidRPr="00000000">
        <w:rPr>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r>
      <w:r w:rsidDel="00000000" w:rsidR="00000000" w:rsidRPr="00000000">
        <w:rPr>
          <w:u w:val="single"/>
          <w:rtl w:val="0"/>
        </w:rPr>
        <w:t xml:space="preserve">Organization</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definition of an Open Data Portal (ODP) suggests that users of an ODP will have a variety of previous knowledge and experience with how an ODP functions. Therefore, an ODP should be structured such that a user’s knowledge or experience level does not limit them from learning how the ODP operates using the resources provided on the web page. One key aspect of achieving this objective is organization.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In terms of the user interface, organization refers to the structure of the website. “A logical, consistently names site organization allows users to make successful predictions about where to find things. Consistent methods of organizing and displaying information permits users to extend their knowledge from familiar pages to unfamiliar ones” (Web Page Style Guide 3). Essentially, the site should be organized with context that allows the user to easily flow through the ODP. For instance, an ODP that requires several clicks before reaching a dataset could be frustrating and disorienting for the user; especially, if it is difficult to return to the homepage. Similarly, the concept of consistency applies to lists. Most websites order lists alphabetically, however, an option to sort by date or other format could be included as an additional feature to give users an opportunity to make adjustments in a way that works best for them.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r>
      <w:r w:rsidDel="00000000" w:rsidR="00000000" w:rsidRPr="00000000">
        <w:rPr>
          <w:u w:val="single"/>
          <w:rtl w:val="0"/>
        </w:rPr>
        <w:t xml:space="preserve">Navigation</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Navigation within an ODP is just as important as a GPS in the physical world; the whole purpose is to make sure the user either knows where they are, or knows how to get back to familiar territory. Because of this, every button clicked or feature added needs to be made explicitly clear to the user to prevent confusion. For instance, if the user expects to toggle through categories by selecting a category outside of what they are currently viewing, then the user should, in fact, toggle. Some features may seem to be just as, if not more, helpful as the user gains experience, which is the fickle part of designing navigation. At the end of the day, the ODP needs to accommodate the amature user if it wants to ever accumulate frequent users. This means that buttons and features should be clearly labelled and predictable. The other “must” in terms of navigation would be to have a button or link back to the home page in case the user realizes they are too far into a search and need to start over. This button, like all the rest, should also be clearly labelled and its purpose made explicitly clear. While some of the “standard” features that belong in ODP may not be the most powerful options, bear in mind that if the ODP cannot market towards new users, there will be no users to frequent the site.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contextualSpacing w:val="0"/>
        <w:rPr>
          <w:u w:val="singl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contextualSpacing w:val="0"/>
        <w:rPr>
          <w:u w:val="singl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contextualSpacing w:val="0"/>
        <w:rPr/>
      </w:pPr>
      <w:r w:rsidDel="00000000" w:rsidR="00000000" w:rsidRPr="00000000">
        <w:rPr>
          <w:u w:val="single"/>
          <w:rtl w:val="0"/>
        </w:rPr>
        <w:t xml:space="preserve">Design</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Design is not the first thing many would worry about when creating an open data portal, but it is an important factor that can determine the extent to which people actually use the resource presented to them.  The design of an open data portal will be the first thing users notice when they visit the website, so its design should be carefully considered.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w:t>
        <w:tab/>
        <w:t xml:space="preserve">An ODP exists to disseminate information, so its design should</w:t>
      </w:r>
      <w:r w:rsidDel="00000000" w:rsidR="00000000" w:rsidRPr="00000000">
        <w:rPr>
          <w:rtl w:val="0"/>
        </w:rPr>
        <w:t xml:space="preserve"> reflect that.  A simple palette of high contrast colors, preferably based in white, black, and/or blue should make up the bulk of the site, leaving many colors available as accents.  Additionally, the site’s color palette should remain the same throughout the site to aid in navigation and appear more unified.</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An ODP should be easy to read, with text in a typeface and color that are easy to look at for potentially extended periods.  A user could easily have to spend a long time collecting all the data relevant to their query, so the site should be designed with that in mind.  Black text on a white background is the easiest to read, so a designer should think carefully before choosing another option.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An ODP needs a strong home page.  This doesn’t mean a flashy one, or one that tries to do more than necessary.  A strong home page should tell the user where they are, and act as a simple jumping off point for a user that tells them where they can go, and where the data they’re looking for might be.  A good example of this is an open data portal having data categories on the home page.  A search function on the home page is also a useful tool.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When a user is looking for data, the design of the open data portal plays an important role in their ability to find what they’re looking for.  The use of accent colors and graphics to differentiate the types of data available can make the site look more useable, and actually improve a user’s ability to track down the information they want.  The best designed open data portals have a legend that assigns to each type of data available a unique graphic and color to help people scrolling through a long list of search results land on the data that they need.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Once they’ve found the data they’re looking for, a user will generally want to manipulate the data, or represent them visually.  The design of the open data portal can make a difference in the user’s ability to do what they want.  As in the case of looking for data, the best designed open data portals assign unique graphics, colors, and labels to each key tool that tells more about the data (e.g. metadata, visualizations, filtering)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contextualSpacing w:val="0"/>
        <w:rPr/>
      </w:pPr>
      <w:r w:rsidDel="00000000" w:rsidR="00000000" w:rsidRPr="00000000">
        <w:rPr>
          <w:b w:val="1"/>
          <w:rtl w:val="0"/>
        </w:rPr>
        <w:t xml:space="preserve">Data</w:t>
      </w:r>
      <w:r w:rsidDel="00000000" w:rsidR="00000000" w:rsidRPr="00000000">
        <w:rPr>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r>
      <w:r w:rsidDel="00000000" w:rsidR="00000000" w:rsidRPr="00000000">
        <w:rPr>
          <w:u w:val="single"/>
          <w:rtl w:val="0"/>
        </w:rPr>
        <w:t xml:space="preserve">Tidiness</w:t>
      </w:r>
      <w:r w:rsidDel="00000000" w:rsidR="00000000" w:rsidRPr="00000000">
        <w:rPr>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Data “tidiness” refers to the format and structure of the data, not the content of the data.  In other words, two data tables may contain exactly the same information, but one may be in a format that is tidy while the other is not.  Having data in a tidy structure is essential before performing any exploratory data analysis and visualization.  Tidy data also simplifies the process of profiling and cleaning the data, and facilitates further analysis after any preliminary examinations.  Hadley Wickham offers three simple criteria that define tidy data: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“1. Each variable forms a column.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2. Each observation forms a row.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3. Each type of observational unit forms a table.”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The first two criteria are complementary.  In tidy data tables, each row represents a distinct “object,” and each column should correspond to some characteristic of that object type.  We call each unique object an “observation” and each characteristic a “variable.”  For instance, Table 1 is in a tidy format: each row represents a different person (observation) and the columns record various qualities (variables) of each person such as name, date of birth, sex, or height.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Table 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tbl>
      <w:tblPr>
        <w:tblStyle w:val="Table1"/>
        <w:tblW w:w="9360.0" w:type="dxa"/>
        <w:jc w:val="left"/>
        <w:tblInd w:w="14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tcMar>
              <w:top w:w="140.0" w:type="dxa"/>
              <w:left w:w="140.0" w:type="dxa"/>
              <w:bottom w:w="140.0" w:type="dxa"/>
              <w:right w:w="140.0" w:type="dxa"/>
            </w:tcMar>
            <w:vAlign w:val="top"/>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8"/>
                <w:szCs w:val="28"/>
                <w:rtl w:val="0"/>
              </w:rPr>
              <w:t xml:space="preserve">Name</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8"/>
                <w:szCs w:val="28"/>
                <w:rtl w:val="0"/>
              </w:rPr>
              <w:t xml:space="preserve">Sex</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8"/>
                <w:szCs w:val="28"/>
                <w:rtl w:val="0"/>
              </w:rPr>
              <w:t xml:space="preserve">Date of Birth</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8"/>
                <w:szCs w:val="28"/>
                <w:rtl w:val="0"/>
              </w:rPr>
              <w:t xml:space="preserve">Height (in)</w:t>
            </w:r>
            <w:r w:rsidDel="00000000" w:rsidR="00000000" w:rsidRPr="00000000">
              <w:rPr>
                <w:rtl w:val="0"/>
              </w:rPr>
            </w:r>
          </w:p>
        </w:tc>
      </w:tr>
      <w:tr>
        <w:tc>
          <w:tcPr>
            <w:tcMar>
              <w:top w:w="140.0" w:type="dxa"/>
              <w:left w:w="140.0" w:type="dxa"/>
              <w:bottom w:w="140.0" w:type="dxa"/>
              <w:right w:w="140.0" w:type="dxa"/>
            </w:tcMar>
            <w:vAlign w:val="top"/>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Amanda</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F</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03/07/1968</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66</w:t>
            </w:r>
            <w:r w:rsidDel="00000000" w:rsidR="00000000" w:rsidRPr="00000000">
              <w:rPr>
                <w:rtl w:val="0"/>
              </w:rPr>
            </w:r>
          </w:p>
        </w:tc>
      </w:tr>
      <w:tr>
        <w:tc>
          <w:tcPr>
            <w:tcMar>
              <w:top w:w="140.0" w:type="dxa"/>
              <w:left w:w="140.0" w:type="dxa"/>
              <w:bottom w:w="140.0" w:type="dxa"/>
              <w:right w:w="140.0" w:type="dxa"/>
            </w:tcMar>
            <w:vAlign w:val="top"/>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Bradley</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M</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11/05/1971</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70</w:t>
            </w:r>
            <w:r w:rsidDel="00000000" w:rsidR="00000000" w:rsidRPr="00000000">
              <w:rPr>
                <w:rtl w:val="0"/>
              </w:rPr>
            </w:r>
          </w:p>
        </w:tc>
      </w:tr>
      <w:tr>
        <w:tc>
          <w:tcPr>
            <w:tcMar>
              <w:top w:w="140.0" w:type="dxa"/>
              <w:left w:w="140.0" w:type="dxa"/>
              <w:bottom w:w="140.0" w:type="dxa"/>
              <w:right w:w="140.0" w:type="dxa"/>
            </w:tcMar>
            <w:vAlign w:val="top"/>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Connor</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M</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07/17/1964</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68</w:t>
            </w:r>
            <w:r w:rsidDel="00000000" w:rsidR="00000000" w:rsidRPr="00000000">
              <w:rPr>
                <w:rtl w:val="0"/>
              </w:rPr>
            </w:r>
          </w:p>
        </w:tc>
      </w:tr>
      <w:tr>
        <w:tc>
          <w:tcPr>
            <w:tcMar>
              <w:top w:w="140.0" w:type="dxa"/>
              <w:left w:w="140.0" w:type="dxa"/>
              <w:bottom w:w="140.0" w:type="dxa"/>
              <w:right w:w="140.0" w:type="dxa"/>
            </w:tcMar>
            <w:vAlign w:val="top"/>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Danielle</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F</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10/22/1970</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sz w:val="28"/>
                <w:szCs w:val="28"/>
              </w:rPr>
            </w:pPr>
            <w:r w:rsidDel="00000000" w:rsidR="00000000" w:rsidRPr="00000000">
              <w:rPr>
                <w:rFonts w:ascii="Arial Narrow" w:cs="Arial Narrow" w:eastAsia="Arial Narrow" w:hAnsi="Arial Narrow"/>
                <w:sz w:val="24"/>
                <w:szCs w:val="24"/>
                <w:rtl w:val="0"/>
              </w:rPr>
              <w:t xml:space="preserve">67</w:t>
            </w:r>
            <w:r w:rsidDel="00000000" w:rsidR="00000000" w:rsidRPr="00000000">
              <w:rPr>
                <w:rtl w:val="0"/>
              </w:rPr>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Wickham’s third criterion requires that different observational units are not recorded under a single table.  That is, all objects, or rows, should be of the same general object “type”.  Note that in Table 1, the objects are all people.  This criteria can also be abstractly viewed as a requirement that if many columns are constant across rows and only one column varies between the rows, the table should be split into two or more tables.  Just as multiple observation types should not be recorded under a single table, a single observational unit should not be recorded in multiple tables.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0" w:firstLine="720"/>
        <w:contextualSpacing w:val="0"/>
        <w:rPr/>
      </w:pPr>
      <w:r w:rsidDel="00000000" w:rsidR="00000000" w:rsidRPr="00000000">
        <w:rPr>
          <w:rtl w:val="0"/>
        </w:rPr>
        <w:t xml:space="preserve">Most tidiness errors pertain to the table’s variables.  Wickham summarises three common errors: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0" w:firstLine="720"/>
        <w:contextualSpacing w:val="0"/>
        <w:rPr/>
      </w:pPr>
      <w:r w:rsidDel="00000000" w:rsidR="00000000" w:rsidRPr="00000000">
        <w:rPr>
          <w:rtl w:val="0"/>
        </w:rPr>
        <w:t xml:space="preserve">“• Column headers are values, not variable names.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0" w:firstLine="720"/>
        <w:contextualSpacing w:val="0"/>
        <w:rPr/>
      </w:pPr>
      <w:r w:rsidDel="00000000" w:rsidR="00000000" w:rsidRPr="00000000">
        <w:rPr>
          <w:rtl w:val="0"/>
        </w:rPr>
        <w:t xml:space="preserve">• Multiple variables are stored in one column.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0" w:firstLine="720"/>
        <w:contextualSpacing w:val="0"/>
        <w:rPr/>
      </w:pPr>
      <w:r w:rsidDel="00000000" w:rsidR="00000000" w:rsidRPr="00000000">
        <w:rPr>
          <w:rtl w:val="0"/>
        </w:rPr>
        <w:t xml:space="preserve">• Variables are stored in both rows and columns.”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0" w:firstLine="720"/>
        <w:contextualSpacing w:val="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0" w:firstLine="720"/>
        <w:contextualSpacing w:val="0"/>
        <w:rPr/>
      </w:pPr>
      <w:r w:rsidDel="00000000" w:rsidR="00000000" w:rsidRPr="00000000">
        <w:rPr>
          <w:rtl w:val="0"/>
        </w:rPr>
        <w:t xml:space="preserve">In some messy tables, columns represent values, and not variables.  In these tables, the column headers will themselves be values of an encompassing variable, and the cell values will oftentimes be frequency counts or percentages.  Another common error is to store more than one variable in a single column.   This error frequently occurs in conjunction with the error of columns representing values.  The column headers may in this case convey two values of two different variables.  Another clue that a table stores more than one variable in one column is if the cell values are a numerical range.  If so, the column should likely be split into two separate columns.  Lastly, variables should never be stored in both rows and columns.  A simple way to determine if variables are stored in rows and columns is if the top left cell of the table is empty, though this will not capture all instances of this error.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0" w:firstLine="720"/>
        <w:contextualSpacing w:val="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0" w:firstLine="720"/>
        <w:contextualSpacing w:val="0"/>
        <w:rPr/>
      </w:pPr>
      <w:r w:rsidDel="00000000" w:rsidR="00000000" w:rsidRPr="00000000">
        <w:rPr>
          <w:rtl w:val="0"/>
        </w:rPr>
        <w:t xml:space="preserve">It is open for debate whether the onus of tidying the data is on the data portal or the portal users.  However, there is an incentive for open data portals to provide tidy data tables.  Portals that provide tidy data may attract more users than portals with data that require users to tidy the data themselves.  Depending on the goal and maturity of the organization supporting the portal, it could benefit them to take this step in order to spread their content.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tab/>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contextualSpacing w:val="0"/>
        <w:rPr/>
      </w:pPr>
      <w:r w:rsidDel="00000000" w:rsidR="00000000" w:rsidRPr="00000000">
        <w:rPr>
          <w:u w:val="single"/>
          <w:rtl w:val="0"/>
        </w:rPr>
        <w:t xml:space="preserve">Accessibility</w:t>
      </w:r>
      <w:r w:rsidDel="00000000" w:rsidR="00000000" w:rsidRPr="00000000">
        <w:rPr>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Data Accessibility is a broad term which entails the logistics and qualifications for calling an Open Data Portal, ‘open’. In order to assess the ‘openness’ or accessibility of the data sets, it  is important to ask three questions.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Can the user get to the data?</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What data can the user get? And, </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Is the data available usable?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data availability or actually getting to the data can be hindered in many ways. First, in order for the data portal to be truly open, there must be zero restrictions and data must be license free. It is important that users have minimal hoops to jump through to actually access the data, this includes membership programs, fees and data download limits.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contextualSpacing w:val="0"/>
        <w:rPr>
          <w:color w:val="ff0000"/>
        </w:rPr>
      </w:pPr>
      <w:r w:rsidDel="00000000" w:rsidR="00000000" w:rsidRPr="00000000">
        <w:rPr>
          <w:rtl w:val="0"/>
        </w:rPr>
        <w:t xml:space="preserve">But just as restrictions and licenses can hinder the openness of the data, poor organization and labelling of the datasets also keep users from full access freedom. In labeling datasets, try to answer the “who, what, where, when and why”. To illustrate this, a common dataset among open data portal is an average housing costs. While the title, “Average Housing Costs”, answers the what, the title, “County Average Housing Costs 2000-2010” adds only 15 extra characters but answers, the where what and why. In addition to an explanatory title, the most successful open data portal included a brief description of the dataset in both the search page and the dataset page itself. This information should cover the “who” by giving the source of the dataset and the why in an explanation of what information lives within the dataset. </w:t>
      </w:r>
      <w:r w:rsidDel="00000000" w:rsidR="00000000" w:rsidRPr="00000000">
        <w:rPr>
          <w:color w:val="ff0000"/>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While it is important and exciting to allow all data in the system to be public, it is important to make sure to consider the safety of the constituents when uploading data to the portal. The major concern being Personally Identifiable Information (PIIs). In general, it is important to avoid having information such as names, social security numbers or biometric records open to the public which could be used to identify one specific person. PIIs are determined on a case to case basis but can lead to legal fines if the proper guidelines. Be sure to understand the localities rules and regulations regarding PIIs before dumping data onto an open data portal. In general, if the PII is questionable, a unique identifier, a series of numbers or letters, can be used to replace the potentially personal data.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Lastly, when assessing accessibility, the ability to share the data is essential. In order for companies and research groups to use the data for the cool apps and studies governments release data for, the appropriate resources must be available. To begin, the code for both the website and datasets should be made publicly available. And APIs should be created. It is important to note, that for APIs to be used, the dataset must be in a tidy format with appropriate dates and addresses. </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r>
      <w:r w:rsidDel="00000000" w:rsidR="00000000" w:rsidRPr="00000000">
        <w:rPr>
          <w:u w:val="single"/>
          <w:rtl w:val="0"/>
        </w:rPr>
        <w:t xml:space="preserve">Documentation</w:t>
      </w:r>
      <w:r w:rsidDel="00000000" w:rsidR="00000000" w:rsidRPr="00000000">
        <w:rPr>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Proper documentation of the data sources is just as essential as proper documentation of the data itself. Questions such as “where did this data come from?” are not ones that open data portal users should have to search long and hard to find the answers to. In order to avoid such a process, a precautionary step is to include a publishing page highlighting particularly attractive data sources on the homepage of the portal. A list of commissions, agencies, and government resources that have made their data publically available could work to enhance both the attractiveness and the credibility of the portal. In addition, the information tab under each data set should specify where in particular the data was collected from and, if applicable, how that data was collected.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Metadata is another imperative aspect of a quality open data portal. Users should be able to know exactly what they are working with at any given time. A comprehensive dictionary defining the variables from each dataset that is readily accessible and searchable would be of great value. This would give users the ability to find variables in more than one dataset and compile and cross-reference information. Additionally, a feature that allows site users to scroll over column headers for an explanation would greatly simplify using the data portal. Aside from just defining variables, adding a description and context to the datasets themselves brings an added value.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 final aspect of data documentation is how the data is constructed. File type is a critical component of data to many frequent users. Some greatly prefer one type to another, while some simply do not have the software to support certain files. To avoid users downloading or attempting to work with files they are unfamiliar with, it should be clearly indicated exactly what format is accessible. File names should also be appropriate and descriptive. Users should not have to search backward to remember exactly what they are working with. Datasets should also contain the raw, unaltered, yet tidy data within their files. Summary statistics, averages, and rates should all be explained if they are contained in the data. Lastly, missing values should be left blank and not filled in with useless characters or expressions. This makes the datasets much easier to perform analysis on and makes it more clear for users to see what information they do not have at their disposal.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r>
      <w:r w:rsidDel="00000000" w:rsidR="00000000" w:rsidRPr="00000000">
        <w:rPr>
          <w:u w:val="single"/>
          <w:rtl w:val="0"/>
        </w:rPr>
        <w:t xml:space="preserve">Visualization</w:t>
      </w:r>
      <w:r w:rsidDel="00000000" w:rsidR="00000000" w:rsidRPr="00000000">
        <w:rPr>
          <w:rtl w:val="0"/>
        </w:rPr>
        <w:t xml:space="preserve">:</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highlight w:val="white"/>
          <w:rtl w:val="0"/>
        </w:rPr>
        <w:t xml:space="preserve">Our final criteria for an excellent open data portal ecompasses many aspects of data visualization.  Data visualization refers to any view of the data that is not in table format, including maps, plots, charts, and more. There are a few different ways to incorporate data visualization into an open data portal. First, the administrators and/or creators of the portal can provide visualizations to the users within the portal. These types of visualizations are typically more complex, and they usually tell a specific story about the data that the administrators want the public to see. Another way to incorporate visualization is by providing a set of tools allowing users to create their own. These tools help users explore the data and allow them to get the most use out of the open data portal. Finally, the open data portal can provide links to visualizations created by third parties who create them by accessing the data through the portal and posting them to separate sites. This can increase the use and potential of a portal by drawing people in from those third party sites.  Some data portals only incorporate the first two methods of visualization, while other, more sophisticated portals have all three.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highlight w:val="white"/>
          <w:rtl w:val="0"/>
        </w:rPr>
        <w:t xml:space="preserve">No matter what type of visualization view a government incorporates into its open data portal, all visualizations from the portal should follow some basic guidelines.  First and foremost, all visualizations should be clearly labeled throughout. This includes titles, axes, legends, and the like. Accurate, thorough labelling is of the utmost importance: without it, users can become easily confused or experience unnecessary mental fatigue trying to interpret the visualization. A properly labelled graph guides the user through the data in a clear and enlightening fashion. </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highlight w:val="white"/>
          <w:rtl w:val="0"/>
        </w:rPr>
        <w:t xml:space="preserve">In addition, all visualizations should remain true to the data they are showing. They should not distort the data view in a way that misleads the viewer and misrepresents the data. A misleading data visualization can be frustrating at best and a lie at worst. Common mistakes that need to be avoided are: starting the y-axis at the minimum data value instead of at 0 or another reasonable value and ignoring conventions (e.g. reversing order of axes).</w:t>
      </w:r>
      <w:r w:rsidDel="00000000" w:rsidR="00000000" w:rsidRPr="00000000">
        <w:rPr>
          <w:highlight w:val="white"/>
          <w:vertAlign w:val="superscript"/>
        </w:rPr>
        <w:footnoteReference w:customMarkFollows="0" w:id="0"/>
      </w: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margin">
              <wp:posOffset>3314700</wp:posOffset>
            </wp:positionH>
            <wp:positionV relativeFrom="paragraph">
              <wp:posOffset>1047750</wp:posOffset>
            </wp:positionV>
            <wp:extent cx="2514600" cy="192405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15942" l="4827" r="4137" t="10869"/>
                    <a:stretch>
                      <a:fillRect/>
                    </a:stretch>
                  </pic:blipFill>
                  <pic:spPr>
                    <a:xfrm>
                      <a:off x="0" y="0"/>
                      <a:ext cx="2514600" cy="1924050"/>
                    </a:xfrm>
                    <a:prstGeom prst="rect"/>
                    <a:ln/>
                  </pic:spPr>
                </pic:pic>
              </a:graphicData>
            </a:graphic>
          </wp:anchor>
        </w:drawing>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highlight w:val="white"/>
          <w:rtl w:val="0"/>
        </w:rPr>
        <w:t xml:space="preserve">Visualizations should be visually appealing but should avoid the use of “chartjunk,” a term coined by Edward Tufte to mean extra visual elements that crowd the view and can obscure the data. The figure on the right</w:t>
      </w:r>
      <w:r w:rsidDel="00000000" w:rsidR="00000000" w:rsidRPr="00000000">
        <w:rPr>
          <w:highlight w:val="white"/>
          <w:vertAlign w:val="superscript"/>
        </w:rPr>
        <w:footnoteReference w:customMarkFollows="0" w:id="1"/>
      </w:r>
      <w:r w:rsidDel="00000000" w:rsidR="00000000" w:rsidRPr="00000000">
        <w:rPr>
          <w:highlight w:val="white"/>
          <w:rtl w:val="0"/>
        </w:rPr>
        <w:t xml:space="preserve"> is a classic example of chartjunk: the 3D bar chart. The green arrows indicate where information is actually being shown, while the red arrows indicate elements that add to the perceptive work the viewer needs to do without adding any more information. Good data visualizations can contain many different elements, but they should also be dense. Adding extra visual matter to the view is ineffectual, and can be annoying at best and misleading at worst.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highlight w:val="white"/>
          <w:rtl w:val="0"/>
        </w:rPr>
        <w:t xml:space="preserve">Truly excellent data visualizations contribute to the overall understanding and utility of the data they show. The best data visualizations even tell a complete and engaging story through the data. Not every data visualization on an open data portal needs to be dense and descriptive like this, but they should all be easy to view.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line="240" w:lineRule="auto"/>
        <w:contextualSpacing w:val="0"/>
        <w:rPr>
          <w:highlight w:val="white"/>
        </w:rPr>
      </w:pP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rPr>
          <w:highlight w:val="white"/>
        </w:rPr>
      </w:pPr>
      <w:r w:rsidDel="00000000" w:rsidR="00000000" w:rsidRPr="00000000">
        <w:rPr>
          <w:highlight w:val="white"/>
          <w:rtl w:val="0"/>
        </w:rPr>
        <w:t xml:space="preserve">Finally, if there are tools provided in an open data portal for visualization, they should be readily available to the user. Having these options hidden or several clicks away discourages the user from finding them, limiting the potential reach of the open data portal. Ideally, the visualization tools should be accessible by only one click from within the data view. Furthermore, the possible options should be clearly labeled and easy to navigate. The more work a user has to do to create a visualization, the less likely they are to complete their task. The best data visualization tools within an open data portal will also match the type of data that the user is trying to view. As an example, a user viewing stock price data will have line graphs and scatter plots available to them, but not bar charts, which are for categorical data. This is not strictly required, but is an excellent way to streamline the user experience.  </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rPr>
          <w:highlight w:val="whit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Conclusion: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Sources: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Source: </w:t>
      </w:r>
      <w:hyperlink r:id="rId1">
        <w:r w:rsidDel="00000000" w:rsidR="00000000" w:rsidRPr="00000000">
          <w:rPr>
            <w:color w:val="1155cc"/>
            <w:sz w:val="20"/>
            <w:szCs w:val="20"/>
            <w:u w:val="single"/>
            <w:rtl w:val="0"/>
          </w:rPr>
          <w:t xml:space="preserve">http://data.heapanalytics.com/how-to-lie-with-data-visualization</w:t>
        </w:r>
      </w:hyperlink>
      <w:r w:rsidDel="00000000" w:rsidR="00000000" w:rsidRPr="00000000">
        <w:rPr>
          <w:sz w:val="20"/>
          <w:szCs w:val="20"/>
          <w:rtl w:val="0"/>
        </w:rPr>
        <w:t xml:space="preserve"> </w:t>
      </w:r>
    </w:p>
  </w:footnote>
  <w:footnote w:id="1">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40" w:lineRule="auto"/>
        <w:contextualSpacing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Source: </w:t>
      </w:r>
      <w:hyperlink r:id="rId2">
        <w:r w:rsidDel="00000000" w:rsidR="00000000" w:rsidRPr="00000000">
          <w:rPr>
            <w:color w:val="1155cc"/>
            <w:sz w:val="20"/>
            <w:szCs w:val="20"/>
            <w:u w:val="single"/>
            <w:rtl w:val="0"/>
          </w:rPr>
          <w:t xml:space="preserve">http://www.infovis-wiki.net/index.php?title=Chart_Junk</w:t>
        </w:r>
      </w:hyperlink>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data.heapanalytics.com/how-to-lie-with-data-visualization" TargetMode="External"/><Relationship Id="rId2" Type="http://schemas.openxmlformats.org/officeDocument/2006/relationships/hyperlink" Target="http://www.infovis-wiki.net/index.php?title=Chart_Ju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