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Criteria for an Excellent Open Data Portal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r w:rsidDel="00000000" w:rsidR="00000000" w:rsidRPr="00000000">
        <w:rPr>
          <w:rtl w:val="0"/>
        </w:rPr>
        <w:t xml:space="preserve">Mark Almanza, Madison Arnsbarger, Jessica Flynn, Millicent Grant,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r w:rsidDel="00000000" w:rsidR="00000000" w:rsidRPr="00000000">
        <w:rPr>
          <w:rtl w:val="0"/>
        </w:rPr>
        <w:t xml:space="preserve"> Adrienne Rogers, William Sandholtz, Emily Stark, Samantha Tyner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r w:rsidDel="00000000" w:rsidR="00000000" w:rsidRPr="00000000">
        <w:rPr>
          <w:rtl w:val="0"/>
        </w:rPr>
        <w:t xml:space="preserve">Data Science for the Public Good, Social and Decision Analytics Laboratory, </w:t>
        <w:br w:type="textWrapping"/>
        <w:t xml:space="preserve">Biocomplexity Institute of Virginia Tech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35"/>
        <w:tblGridChange w:id="0">
          <w:tblGrid>
            <w:gridCol w:w="2340"/>
            <w:gridCol w:w="7035"/>
          </w:tblGrid>
        </w:tblGridChange>
      </w:tblGrid>
      <w:tr>
        <w:trPr>
          <w:trHeight w:val="42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Interface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Organization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web page and each dataset should be organized consistently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Nest folders and links by topics (e.g. Utilities &gt; Water Meters &gt; Data set, Map, Graphic, etc.)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Site hierarchy need to be clear and minimize the user’s steps to navigate to a particular page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Lists of any kind should be sorted in the same manner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Alphabetically (standard)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Optional: provide users with alternative sorting methods (e.g. relevance, date, etc.)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users with context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 descriptive information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Give explicit cues on each page to give context and organization to the site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additional resources to aid users in their exploration</w:t>
            </w:r>
          </w:p>
        </w:tc>
      </w:tr>
      <w:t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Easily accessible from County site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[1] “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portal must be accessible through a city-provided internet domain name (e.g.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  <w:rtl w:val="0"/>
              </w:rPr>
              <w:t xml:space="preserve">data.somecity.gov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Search function should search by metadata and between many data sets if you have one variable in mind (i.e. be able to search for housing prices from the main page) 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[1] “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must be able to search for datasets by one or more terms contained in dataset metadata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[2] “</w:t>
            </w:r>
            <w:r w:rsidDel="00000000" w:rsidR="00000000" w:rsidRPr="00000000">
              <w:rPr>
                <w:color w:val="413e3c"/>
                <w:sz w:val="21"/>
                <w:szCs w:val="21"/>
                <w:rtl w:val="0"/>
              </w:rPr>
              <w:t xml:space="preserve">Data portals and similar websites can facilitate the distribution of open data by providing an easy-to-access, searchable hub for multiple data sets.”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Be able to browse by file type (i.e. be able to see all maps) within and between categories exclusively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Should be a trap door to get to the home page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Be able to toggle through categories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[1]”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must be able to browse or explore data by category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00" w:hRule="atLeast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Easy to read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Text should be displayed cleanly and legibly, hopefully with high contrast to the backgro</w:t>
            </w:r>
            <w:r w:rsidDel="00000000" w:rsidR="00000000" w:rsidRPr="00000000">
              <w:rPr>
                <w:rtl w:val="0"/>
              </w:rPr>
              <w:t xml:space="preserve">und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 Consistent visual environment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Unless meant to highlight a different environment/functionality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Section headers should be easily viewable from the homepage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One shouldn’t have to go searching for a primary function i.e. buttons, search bars, etc.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Different types of data and different types of visuals should be differentiable at a glance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Use of different color or graphic is recommended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The use of any tool presented to the user should be clear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 person who’s reasonably internet proficient (not necessarily proficient in statistics) should not be uncertain</w:t>
            </w:r>
            <w:r w:rsidDel="00000000" w:rsidR="00000000" w:rsidRPr="00000000">
              <w:rPr>
                <w:rtl w:val="0"/>
              </w:rPr>
              <w:t xml:space="preserve"> of the use of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Color coding tools is encouraged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Tidiness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Basic criteria for “tidy data”: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variable forms a column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observation forms a row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Common </w:t>
            </w:r>
            <w:r w:rsidDel="00000000" w:rsidR="00000000" w:rsidRPr="00000000">
              <w:rPr>
                <w:u w:val="single"/>
                <w:rtl w:val="0"/>
              </w:rPr>
              <w:t xml:space="preserve">problems</w:t>
            </w:r>
            <w:r w:rsidDel="00000000" w:rsidR="00000000" w:rsidRPr="00000000">
              <w:rPr>
                <w:rtl w:val="0"/>
              </w:rPr>
              <w:t xml:space="preserve"> with data: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Columns headers are values, not variable names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Multiple variables are stored in one column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Variables are stored in both rows and columns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More tidy suggestions: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units in column headers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variables are internally consistent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to format special data types (dates, currency, etc) in a coherent, consistent manner across datasets 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Source: Wickham, Hadley. “Tidy Data.” </w:t>
            </w:r>
            <w:r w:rsidDel="00000000" w:rsidR="00000000" w:rsidRPr="00000000">
              <w:rPr>
                <w:i w:val="1"/>
                <w:rtl w:val="0"/>
              </w:rPr>
              <w:t xml:space="preserve">Journal of Statistical Software</w:t>
            </w:r>
            <w:r w:rsidDel="00000000" w:rsidR="00000000" w:rsidRPr="00000000">
              <w:rPr>
                <w:rtl w:val="0"/>
              </w:rPr>
              <w:t xml:space="preserve"> [Online], 59.10 (2014): 1 - 23. Web. 1 Jun. 2016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restrictions are removed from data allowing for complete access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Data is license free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Datasets are clearly labeled for their intended use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Datasets are kept up to date and new data is added periodically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Datasets with historical data (datasets over multiple years) are available and properly labeled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Safety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Personally Identifiable Information (PIIs) are removed from data. (eg. names, Social Security numbers, biometric records, etc.)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2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http://www.gsa.gov/portal/mediaId/199847/fileName/CIO_P21801_GSA_Rules_of_Behavior_for_Handling_Personally_Identifiable_Information_%28PII%29_%28Signed_on_October_29__2014%29.action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Unique Identifiers replace PIIs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Sharing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Code used to create website, datasets and charts are publicly available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 APIs are available to access information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Dictionary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Ability to scroll over a variable column/row and have it defined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Explanation of coding for each level of categorical variables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Publishing page highlighting key interest sources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of each dataset under information page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Sets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describing what each data set entails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indication of what time frame the data spans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explanation of how the data was collected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type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clearly indicated (csv, xlsx, etc.)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data should be available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2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Original, unaltered file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2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Cites averages, summaries, etc.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2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values are left blank</w:t>
            </w:r>
          </w:p>
        </w:tc>
      </w:tr>
      <w:tr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All Visualizations: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Are 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learly labeled</w:t>
            </w:r>
            <w:r w:rsidDel="00000000" w:rsidR="00000000" w:rsidRPr="00000000">
              <w:rPr>
                <w:highlight w:val="white"/>
                <w:rtl w:val="0"/>
              </w:rPr>
              <w:t xml:space="preserve"> throughout (titles, axes, legends, etc.) so there is no confusion about what information is being shown.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Remain 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true to the data</w:t>
            </w:r>
            <w:r w:rsidDel="00000000" w:rsidR="00000000" w:rsidRPr="00000000">
              <w:rPr>
                <w:highlight w:val="white"/>
                <w:rtl w:val="0"/>
              </w:rPr>
              <w:t xml:space="preserve">. They do not distort the information presented.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“chartjunk:” visual elements that do not add to wor may even 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distract</w:t>
            </w:r>
            <w:r w:rsidDel="00000000" w:rsidR="00000000" w:rsidRPr="00000000">
              <w:rPr>
                <w:highlight w:val="white"/>
                <w:rtl w:val="0"/>
              </w:rPr>
              <w:t xml:space="preserve"> from the viewer's’ comprehension of the information presented.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Optional: Contribute to the overall 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understanding and utility</w:t>
            </w:r>
            <w:r w:rsidDel="00000000" w:rsidR="00000000" w:rsidRPr="00000000">
              <w:rPr>
                <w:highlight w:val="white"/>
                <w:rtl w:val="0"/>
              </w:rPr>
              <w:t xml:space="preserve"> of the data source they show. Tell a </w:t>
            </w:r>
            <w:r w:rsidDel="00000000" w:rsidR="00000000" w:rsidRPr="00000000">
              <w:rPr>
                <w:i w:val="1"/>
                <w:highlight w:val="white"/>
                <w:rtl w:val="0"/>
              </w:rPr>
              <w:t xml:space="preserve">story </w:t>
            </w:r>
            <w:r w:rsidDel="00000000" w:rsidR="00000000" w:rsidRPr="00000000">
              <w:rPr>
                <w:highlight w:val="white"/>
                <w:rtl w:val="0"/>
              </w:rPr>
              <w:t xml:space="preserve">about the data.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Creating Visualizations: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Users can access the data visualization creation area quickly and easily.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Tools provided for visualization are clearly labeled and easy to navigate.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Optional: Data visualization options presented to the user are matched appropriately to data type. (e.g. boxplot is not an option for categorical data, but bar charts are)</w:t>
            </w:r>
          </w:p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See for more: Tufte, Edward. </w:t>
            </w:r>
            <w:r w:rsidDel="00000000" w:rsidR="00000000" w:rsidRPr="00000000">
              <w:rPr>
                <w:i w:val="1"/>
                <w:sz w:val="20"/>
                <w:szCs w:val="20"/>
                <w:highlight w:val="white"/>
                <w:rtl w:val="0"/>
              </w:rPr>
              <w:t xml:space="preserve">The Visual Display of Quantitative Information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, 2nd Ed, Graphics Press (2001)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Citations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[1] Open Data Portal Requirements. (n.d.). Retrieved June 03, 2016, from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contextualSpacing w:val="0"/>
        <w:rPr/>
      </w:pPr>
      <w:r w:rsidDel="00000000" w:rsidR="00000000" w:rsidRPr="00000000">
        <w:rPr>
          <w:rtl w:val="0"/>
        </w:rPr>
        <w:t xml:space="preserve">http://labs.centerforgov.org/open-data-portal-requirements/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[2] Open Data Policy Guidelines. (n.d.). Retrieved June 03, 2016, from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contextualSpacing w:val="0"/>
        <w:rPr/>
      </w:pPr>
      <w:r w:rsidDel="00000000" w:rsidR="00000000" w:rsidRPr="00000000">
        <w:rPr>
          <w:rtl w:val="0"/>
        </w:rPr>
        <w:t xml:space="preserve">http://sunlightfoundation.com/opendataguidelines/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[3] City Open Data Policies. (n.d.). Retrieved June 3, 2016, from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contextualSpacing w:val="0"/>
        <w:rPr/>
      </w:pPr>
      <w:r w:rsidDel="00000000" w:rsidR="00000000" w:rsidRPr="00000000">
        <w:rPr>
          <w:rtl w:val="0"/>
        </w:rPr>
        <w:t xml:space="preserve">http://www.nlc.org/Documents/Find City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Solutions/City-Solutions-and-Applied-Research/CSAR Open Data Report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contextualSpacing w:val="0"/>
        <w:rPr/>
      </w:pPr>
      <w:r w:rsidDel="00000000" w:rsidR="00000000" w:rsidRPr="00000000">
        <w:rPr>
          <w:rtl w:val="0"/>
        </w:rPr>
        <w:t xml:space="preserve">FINAL.pdf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[4] Lynch, P. and Horton, S. (2011) Web Style Guide Retrieved from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http://webstyleguide.com/wsg3/4-interface-design/3-interface-deisgn.html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sa.gov/portal/mediaId/199847/fileName/CIO_P21801_GSA_Rules_of_Behavior_for_Handling_Personally_Identifiable_Information_%28PII%29_%28Signed_on_October_29__2014%29.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