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MTPW000020150330eb3u0066b</w:t>
      </w:r>
    </w:p>
    <w:p>
      <w:r>
        <w:t>“We are excited to be able to offer this new option for our patients, as the CoreValve system has demonstrated exceptional clinical results in studies globally as well as in Japan,” said Yoshiki Sawa, M.D., professor in the Department of Cardiovascular Surgery at Osaka University Graduate School of Medicine in Osaka, Japan. “Physicians in Japan should have confidence in making TAVI treatment decisions for patients who may benefit from a less invasive valve replacement procedure with this proven self-expandable valve.”</w:t>
        <w:br/>
        <w:br/>
        <w:t>Data from the Extreme and High Risk Studies in the CoreValve U.S. Pivotal Trial demonstrated that the CoreValve System is safe and effective with high rates of survival and some of the lowest rates of stroke and valve leakage reported. The CoreValve System, with a supra-annular valve design, has also achieved hemodynamics, or blood flow, post-implant with results similar to the gold standard, surgical valves.</w:t>
        <w:br/>
        <w:br/>
        <w:t>The Medtronic CoreValve Japan Trial confirmed the performance of CoreValve shown in the U.S. Pivotal Trial. At 6 months, 91.7 percent of the transfemoral (TAVI procedure through the femoral artery) patients in the Japan trial met the primary endpoint of improvement of at least one New York Heart Association class (measures severity of heart failure symptoms) and aortic valve area (measures the severity of aortic stenosis) greater than 1.2 cm2. For all patients in the trial, freedom from all-cause mortality at 6 months was 90.8 percent. The trial also demonstrated functional and anatomical effectiveness of CoreValve.</w:t>
        <w:br/>
        <w:br/>
        <w:t>The CoreValve self-expanding nitinol frame enables physicians to deliver the device to the diseased valve in a controlled manner, allowing for accurate placement. Valves are delivered via the smallest (18Fr, or approximately 1/4 inch) TAVR delivery system available, making it possible to treat patients with difficult or small vasculature.</w:t>
        <w:br/>
        <w:br/>
        <w:t>“Medtronic has been committed to bringing this life-saving therapy to patients in Japan. The feedback from heart teams around the world using CoreValve has been overwhelmingly positive and we are confident that Japanese physicians will embrace the therapy,” said Rhonda Robb, vice president and general manager of the Heart Valve Therapies business, which is part of the Cardiac and Vascular Group at Medtronic. “We look forward to working with Japan’s Ministry of Health, Labor and Welfare to gain reimbursement for CoreValve, and to initiating comprehensive training and education programs to support heart teams so that more patients may benefit from this break-through technology.”</w:t>
        <w:br/>
        <w:br/>
        <w:t>Since receiving CE (Conformite Europeenne) Mark in 2007, the CoreValve System has been implanted in more than 75,000 patients in more than 60 countries. The CoreValve System was approved by the FDA for patients at extreme risk in January 2014, and approved for high risk patients in June 2014. The next-generation recapturable CoreValve Evolut R transcatheter valve and the CoreValve EnVeo R Delivery Catheter System are available in Europe and other countries that recognize the CE mark.</w:t>
        <w:br/>
        <w:br/>
        <w:t>In collaboration with leading clinicians, researchers and scientists worldwide, Medtronic offers the broadest range of innovative medical technology for the interventional and surgical treatment of cardiovascular disease and cardiac arrhythmias. The company strives to offer products and services that deliver clinical and economic value to healthcare consumers and providers around the world.</w:t>
        <w:br/>
        <w:br/>
        <w:t>About Medtronic</w:t>
        <w:br/>
        <w:br/>
        <w:t>Medtronic plc (www.medtronic.com), headquartered in Dublin, Ireland, is the global leader in medical technology - alleviating pain, restoring health and extending life for millions of people around the world.</w:t>
        <w:br/>
        <w:br/>
        <w:t>Any forward-looking statements are subject to risks and uncertainties such as those described in Medtronic’s periodic reports on file with the Securities and Exchange Commission. Actual results may differ materially from anticipated results.</w:t>
        <w:br/>
        <w:br/>
        <w:t>Contacts:</w:t>
        <w:br/>
        <w:br/>
        <w:t>Joey Lomicky</w:t>
        <w:br/>
        <w:br/>
        <w:t>Public Relations</w:t>
        <w:br/>
        <w:br/>
        <w:t>+1-763-526-2494</w:t>
        <w:br/>
        <w:br/>
        <w:t>Jeff Warren</w:t>
        <w:br/>
        <w:br/>
        <w:t>Investor Relations</w:t>
        <w:br/>
        <w:br/>
        <w:t>+1-763-505-2696</w:t>
        <w:br/>
        <w:br/>
        <w:t>((M2 Communications disclaims all liability for information provided within M2 PressWIRE. Data supplied by named party/parties. Further information on M2 PressWIRE can be obtained at http://www.m2.com on the world wide web. Inquiries to info@m2.com)).</w:t>
      </w:r>
    </w:p>
    <w:p>
      <w:pPr>
        <w:pStyle w:val="Heading1"/>
      </w:pPr>
      <w:r>
        <w:t>End of Article 1</w:t>
      </w:r>
    </w:p>
    <w:p>
      <w:r>
        <w:br w:type="page"/>
      </w:r>
    </w:p>
    <w:p>
      <w:pPr>
        <w:pStyle w:val="Heading1"/>
      </w:pPr>
      <w:r>
        <w:t>Start of Article 2</w:t>
      </w:r>
    </w:p>
    <w:p>
      <w:pPr>
        <w:pStyle w:val="Heading1"/>
      </w:pPr>
      <w:r>
        <w:t>Document ID AMHL000020150313eb3d0000a</w:t>
      </w:r>
    </w:p>
    <w:p>
      <w:r>
        <w:t>The report found significant variation in predicted survival rates:</w:t>
        <w:br/>
        <w:br/>
        <w:t>* Pancreatectomy predicted survival rates ranged from 81% to 100%, with a quality benchmark of 91.3%;</w:t>
        <w:br/>
        <w:br/>
        <w:t>* Esophagectomy predicted survival rates ranged from 88% to 98%, with a quality benchmark of 91.7%;</w:t>
        <w:br/>
        <w:br/>
        <w:t>* Aortic valve replacement predicted survival rates ranged from 92% to 97%, with a quality benchmark of 95.6%; and</w:t>
        <w:br/>
        <w:br/>
        <w:t>* Abdominal aortic aneurysm repair predicted survival rates ranged from 86% to 99%, with a quality benchmark of 97.3%.</w:t>
        <w:br/>
        <w:br/>
        <w:t>Harvard School of Public Health Professor Ashish Jha said, "When it comes to major surgery, it's hard to think of an outcome more important than whether you live or die," adding, "It's amazing there is such variability in mortality from these common surgeries, and patients should know that."</w:t>
        <w:br/>
        <w:br/>
        <w:t>Leapfrog spokesperson Erica Mobley said the data show that a patient's choice of hospital "can mean the difference between life and death," noting hospitals with lower survival rates could learn from high-performing hospitals. Mobley added, "Hospitals need to be following best practices for the performance of these procedures" and making sure surgeons and staff are well-trained and well-equipped to handle these types of surgeries.</w:t>
        <w:br/>
        <w:br/>
        <w:t>Leapfrog warned that while the numbers can provide a helpful guide for patients deciding where to undergo a procedure, the data should be used with caution because survival rates also vary significantly based on the operating physician (Begley, Reuters, 3/12).</w:t>
        <w:br/>
        <w:br/>
        <w:t>-- compiled by Clare Rizer</w:t>
      </w:r>
    </w:p>
    <w:p>
      <w:pPr>
        <w:pStyle w:val="Heading1"/>
      </w:pPr>
      <w:r>
        <w:t>End of Article 2</w:t>
      </w:r>
    </w:p>
    <w:p>
      <w:r>
        <w:br w:type="page"/>
      </w:r>
    </w:p>
    <w:p>
      <w:pPr>
        <w:pStyle w:val="Heading1"/>
      </w:pPr>
      <w:r>
        <w:t>Start of Article 3</w:t>
      </w:r>
    </w:p>
    <w:p>
      <w:pPr>
        <w:pStyle w:val="Heading1"/>
      </w:pPr>
      <w:r>
        <w:t>Document ID CHPR000020150908eb9200029</w:t>
      </w:r>
    </w:p>
    <w:p>
      <w:r>
        <w:t xml:space="preserve"> AVYCAZ received a priority review based on Phase II data from the company's clinical development program and supporting in vitro data, and as such should be reserved for use in patients who have limited or no alternative treatment options. In the EU, the regulatory submission seeking approval for a range of indications, was accepted and validated by the European Medicines Agency (EMA) in May 2015 and is currently under review. The global RECAPTURE 1 and 2 Phase III studies evaluated the safety and efficacy of AVYCAZ administered intravenously as a two-hour infusion (2000/500 mg every 8 hours), compared to doripenem, administered intravenously as a 30-minute infusion (500 mg every 8 hours), in hospitalized adult patients with cUTI, including pyelonephritis. Data from the studies were analysed as a single-pooled dataset with the agreement of the US FDA and the EMA. In the RECAPTURE 1 and RECAPTURE 2 Phase III studies, AVYCAZ met the objective of statistical non-inferiority compared to doripenem for both the EMA primary and FDA co-primary endpoints. AVYCAZ was also effective in treating cUTI patients infected with ceftazidime-resistant bacteria. The most commonly reported adverse events were headache, nausea, constipation and diarrhea. No new safety concerns were identified upon review of the most frequent events up to the late follow-up visit (45-52 calendar days after randomization). Allergan plans to submit this data as a supplemental New Drug Application (sNDA) to the Food and Drug Administration by end 2015. Ceftazidime-avibactam is being jointly developed with AstraZeneca. Allergan holds the rights to commercialize ceftazidime-avibactam in North America, while AstraZeneca holds the rights to commercialize ceftazidime-avibactam in the rest of the world. Original Source: Allergan, website: http://www.allergan.com/, Copyright Allergan Inc 2015.</w:t>
        <w:br/>
        <w:br/>
        <w:t>CHPR</w:t>
        <w:br/>
        <w:br/>
        <w:t>Allergan, website: http://www.allergan.com/</w:t>
      </w:r>
    </w:p>
    <w:p>
      <w:pPr>
        <w:pStyle w:val="Heading1"/>
      </w:pPr>
      <w:r>
        <w:t>End of Article 3</w:t>
      </w:r>
    </w:p>
    <w:p>
      <w:r>
        <w:br w:type="page"/>
      </w:r>
    </w:p>
    <w:p>
      <w:pPr>
        <w:pStyle w:val="Heading1"/>
      </w:pPr>
      <w:r>
        <w:t>Start of Article 4</w:t>
      </w:r>
    </w:p>
    <w:p>
      <w:pPr>
        <w:pStyle w:val="Heading1"/>
      </w:pPr>
      <w:r>
        <w:t>Document ID MLFRDDN020151029ebas00007</w:t>
      </w:r>
    </w:p>
    <w:p>
      <w:r>
        <w:t>To start, flibanserin acts quite differently than its male counterpart. Viagra boosts blood flow in the body while flibanserin, which is being marketed under the name Addyi, is a neurotransmitter drug that affects the central nervous system much like common anti-depression medications. Scientists aren't completely sure why it can increase sexual desire.</w:t>
        <w:br/>
        <w:br/>
        <w:t>Another key difference: its dosage and associated hurdles. To be prescribed flibanserin, a woman must first find a doctor who has received specific training on the drug. She then must locate a pharmacist who has been specially trained to dispense it. Unlike Viagra, flibanserin has to be taken every day, and it can take at least four weeks before a woman notices any change in her level of desire — and another four weeks for the drug to deliver its full effect.</w:t>
        <w:br/>
        <w:br/>
        <w:t>The uncertainties related to taking such a drug might be of real value to women who are diagnosed as having a distressing lack of sexual desire. But several women's health advocates have also been trying to get the word out that the oft-cited statistic that 40 percent of women in America suffer from sexual dysfunction is not accurate. This statistic came from a study with dubious methodology that was financed by Pfizer, the maker of Viagra. Health advocates say that other factors are more often at issue.</w:t>
        <w:br/>
        <w:br/>
        <w:t>Women's lack of lust may be most often attributed to any number of factors, including stress, fatigue, recent childbirth, drug or alcohol use, relationship satisfaction, boredom in the bedroom and emotional or psychological disorders.</w:t>
        <w:br/>
        <w:br/>
        <w:t>“Every woman really needs a thorough assessment," Lori Brotto, an expert on hypoactive sexual-desire disorder, told NPR's “On the Media" back in August when Sprout Pharmaceuticals, the maker of Addyi, got FDA approval. “By and large, most of the studies [about female sexual dysfunction] have pointed to psychosocial, interpersonal, individual factors. ... Women with low desire have three times the rate of depression compared to women with healthy levels of sexual desire."</w:t>
        <w:br/>
        <w:br/>
        <w:t>But the big issue that doesn't get enough attention is Addyi's serious effects when combined with alcohol — in particular, severe low blood pressure that could lead to loss of consciousness.</w:t>
        <w:br/>
        <w:br/>
        <w:t>Jen Gunter, a California-based obstetrician-gynecologist, took the “training" to be able to prescribe Addyi. She recounted on her blog that it consisted of reading 12 PowerPoint slides that boiled down to: “Don't mix Addyi with alcohol. Your patient must promise to not drink alcohol ever on Addyi. You know this medication is dangerous if mixed with alcohol? It is your responsibility to make sure your patient doesn't mix this medication with alcohol."</w:t>
        <w:br/>
        <w:br/>
        <w:t>It's been widely reported that the testing for the safety of flibanserin with alcohol was conducted on 23 men and two women — this for a drug designed only for women. The study took place in the early morning, and researchers found that some of the women couldn't handle drinking the equivalent of a half to a full bottle of alcohol on an empty stomach within 10 minutes of waking.</w:t>
        <w:br/>
        <w:br/>
        <w:t>Yet alcohol beverage sales are a $174 billion business in the United States. And the pushing of wine, high-octane fruity mixed drinks and low-cal beer on women is a big growth market for beverage distributors as well as for restaurants and bars.</w:t>
        <w:br/>
        <w:br/>
        <w:t>Some 5.8 million women in the U.S. are estimated to have an alcohol-use disorder, and alcohol-related deaths are the third-leading preventable cause of death in the U.S., taking the lives of approximately 26,000 women annually.</w:t>
        <w:br/>
        <w:br/>
        <w:t>Junk science says that drinking one glass of red wine has the equivalent benefit to your well-being as an hour at the gym, and social media glorify this factoid along with seemingly endless memes about women's obsession with wine at the end of the day, with friends or during a romantic date.</w:t>
        <w:br/>
        <w:br/>
        <w:t>But be forewarned: Our society's ease with turning life's travails over to pretty little pills and a drink will not end happily.</w:t>
        <w:br/>
        <w:br/>
        <w:t>—Washington Post columnist Esther Cepeda's email address is estherjcepeda@washpost.com. Follow her on Twitter @estherjcepeda.</w:t>
      </w:r>
    </w:p>
    <w:p>
      <w:pPr>
        <w:pStyle w:val="Heading1"/>
      </w:pPr>
      <w:r>
        <w:t>End of Article 4</w:t>
      </w:r>
    </w:p>
    <w:p>
      <w:r>
        <w:br w:type="page"/>
      </w:r>
    </w:p>
    <w:p>
      <w:pPr>
        <w:pStyle w:val="Heading1"/>
      </w:pPr>
      <w:r>
        <w:t>Start of Article 5</w:t>
      </w:r>
    </w:p>
    <w:p>
      <w:pPr>
        <w:pStyle w:val="Heading1"/>
      </w:pPr>
      <w:r>
        <w:t>Document ID NBPPBS0020150502eb53000p7</w:t>
      </w:r>
    </w:p>
    <w:p>
      <w:r>
        <w:t>Michael Babich has served as our President since November 2010 and was appointed as our Chief Executive Officer in March 2011. Mr. Babich has also served on our Board since 2008. From March 2007 until November 2010, Mr. Babich served as the Chief Operating Officer and a director of Insys Pharma, our wholly-owned subsidiary, which was responsible for the initial development of Dronabinol SG Capsule and many of our product candidates, including Subsys and our other dronabinol product candidates. Prior to that, from 2001 to 2007, Mr. Babich worked at EJ Financial Enterprises, a venture capital firm specializing in early stage and startup investments primarily in the healthcare sector. During his time at EJ Financial Enterprises, Mr. Babich held various roles and worked on various projects, including private equity transactions, asset management and strategic consulting for both public and private companies. Prior to his work at EJ Financial Enterprises, Mr. Babich worked at the Northern Trust Corporation managing mid- to large-cap portfolios for high net worth individuals. Mr. Babich also has served as a director and in management roles at Alliant Pharmaceuticals. Mr. Babich received an MBA from the Kellogg School of Management at Northwestern University and a B.A. from the University of Illinois at Urbana-Champaign. We believe that Mr. Babich's business expertise, including his experience working with the investment community, provides him the operational expertise, breadth of knowledge and valuable understanding of our industry to qualify him to serve on our board of directors and as our President and Chief Executive Officer.</w:t>
        <w:br/>
        <w:br/>
        <w:t>MANAGEMENT SCORECARD FOR INSYS THERAPEUTICS, INC.:</w:t>
        <w:br/>
        <w:br/>
        <w:t>Michael L. Babich's performance for Insys Therapeutics is placed 449/2,380 in BSS News Bites's ranking of NASDAQ performers in the past year, a percentile ranking of 79%.</w:t>
        <w:br/>
        <w:br/>
        <w:t>Key Financials:</w:t>
        <w:br/>
        <w:br/>
        <w:t>(all figures in pct)</w:t>
        <w:br/>
        <w:br/>
        <w:t xml:space="preserve"> Revenue Growth  EPS Growth  Operating Margin ROE</w:t>
        <w:br/>
        <w:t>2014            123.7       -26.1             -     22.9</w:t>
        <w:br/>
        <w:t>2013            541.6       -                 32.8  50.8</w:t>
        <w:br/>
        <w:br/>
        <w:br/>
        <w:t xml:space="preserve"> Share Price (USD)  Market Capitalisation ($)</w:t>
        <w:br/>
        <w:t>Last Traded May 01 53.4 1.9 billion</w:t>
        <w:br/>
        <w:t>1 Year ago         41.1 1.4 billion</w:t>
        <w:br/>
        <w:br/>
        <w:br/>
        <w:t>Remuneration</w:t>
        <w:br/>
        <w:br/>
        <w:t>Year: 2014</w:t>
        <w:br/>
        <w:br/>
        <w:t>Salary ($): 389,229</w:t>
        <w:br/>
        <w:br/>
        <w:t>Bonus ($): 500,000</w:t>
        <w:br/>
        <w:br/>
        <w:t>Option Awards ($): 1,649,370</w:t>
        <w:br/>
        <w:br/>
        <w:t>All Other Compensation ($): 1,307</w:t>
        <w:br/>
        <w:br/>
        <w:t>Total ($):2,539,906</w:t>
        <w:br/>
        <w:br/>
        <w:t>Source: BuySellSignals.com</w:t>
      </w:r>
    </w:p>
    <w:p>
      <w:pPr>
        <w:pStyle w:val="Heading1"/>
      </w:pPr>
      <w:r>
        <w:t>End of Article 5</w:t>
      </w:r>
    </w:p>
    <w:p>
      <w:r>
        <w:br w:type="page"/>
      </w:r>
    </w:p>
    <w:p>
      <w:pPr>
        <w:pStyle w:val="Heading1"/>
      </w:pPr>
      <w:r>
        <w:t>Start of Article 6</w:t>
      </w:r>
    </w:p>
    <w:p>
      <w:pPr>
        <w:pStyle w:val="Heading1"/>
      </w:pPr>
      <w:r>
        <w:t>Document ID ATPHAB0020151212ebcc0000d</w:t>
      </w:r>
    </w:p>
    <w:p>
      <w:r>
        <w:t>"We are very encouraged by the outcome of today's FDA Advisory Committee meeting, which brings us one step closer to potentially providing a new, targeted treatment option for a specific group of patients with inadequately controlled asthma and evidence of ongoing eosinophilic inflammation. This group of patients often experiences persistent symptoms despite standard-of-care treatment, demonstrating a need for more targeted treatment options based on patient phenotype."</w:t>
        <w:br/>
        <w:br/>
        <w:t>The Advisory Committee's recommendation will be considered by the FDA in its review of the Biologics License Application (BLA) for reslizumab. The FDA is not bound by the Committee's recommendation, but takes its advice into consideration when reviewing investigational medicines. The reslizumab BLA was accepted for standard review by the FDA and Regulatory Action is expected in March 2016. Additional regulatory filings for reslizumab have been completed in the EU and Canada.</w:t>
        <w:br/>
        <w:br/>
        <w:t>Reslizumab is an investigational humanized interleukin-5 (IL-5) antagonist IgG4K monoclonal antibody (mAb), for the treatment of inadequately controlled asthma in adult and adolescent patients with elevated blood eosinophils, despite an inhaled corticosteroid (ICS)-based regimen. IL-5 is the most selective eosinophil cytokine known and plays a major role in the maturation, activation and survival of eosinophils, which are the predominant type of white blood cell underlying chronic airway inflammation in the eosinophilic phenotype of asthma. In asthma patients, elevated blood eosinophils =400 cells/mcL are associated with compromised lung function, persistent symptoms, and increased risk of exacerbations. Reslizumab is thought to act by binding to and neutralizing human IL-5 to reduce eosinophilic inflammation. Reslizumab has been submitted for and is currently under review by the U.S. Food and Drug Administration (FDA), European Medicines Agency (EMA) and Health Canada.</w:t>
      </w:r>
    </w:p>
    <w:p>
      <w:pPr>
        <w:pStyle w:val="Heading1"/>
      </w:pPr>
      <w:r>
        <w:t>End of Article 6</w:t>
      </w:r>
    </w:p>
    <w:p>
      <w:r>
        <w:br w:type="page"/>
      </w:r>
    </w:p>
    <w:p>
      <w:pPr>
        <w:pStyle w:val="Heading1"/>
      </w:pPr>
      <w:r>
        <w:t>Start of Article 7</w:t>
      </w:r>
    </w:p>
    <w:p>
      <w:pPr>
        <w:pStyle w:val="Heading1"/>
      </w:pPr>
      <w:r>
        <w:t>Document ID RTWK000020150403eb4600007</w:t>
      </w:r>
    </w:p>
    <w:p>
      <w:r>
        <w:t>Our news journalists obtained a quote from the research from Thomas Jefferson University, "Our goal was to assess if an intensive care unit (ICU)-run ECMO model without continuous bedside perfusionists would decrease costs while maintaining patient safety and outcomes. A new ECMO program was implemented in 2010, consisting of dedicated ICU multidisciplinary providers (ICU-registered nurses, mid-level providers and intensivists). In year one, we introduced an education platform, new technology and dedicated space. In year two, continuous bedside monitoring by perfusionists was removed and new management algorithms designating multidisciplinary providers as first responders were established. The patient safety and cost benefit from the removal of the continuous bedside monitoring of the perfusionists of this new ECMO program was retrospectively reviewed and compared. During the study period, 74 patients (28 patients in year 1 and 46 patients in year 2) were placed on ECMO (mean days: 8 5.7). The total annual hospital expenditure for the ECMO program was significantly reduced in the new model ($234,000 in year 2 vs. $600,264 in year 1), showing a 61% decrease in cost. This cost decrease was attributed to a decreased utilization of perfusion services and the introduction of longer lasting and more efficient ECMO technology. We did not find any significant changes in registered nurse ratios or any differences in outcomes related to ICU safety events."</w:t>
        <w:br/>
        <w:br/>
        <w:t>According to the news editors, the research concluded: "We demonstrated that the ICU-run ECMO model managed to lower hospital cost by reducing the cost of continuous bedside perfusion support without a change in outcomes."</w:t>
        <w:br/>
        <w:br/>
        <w:t>For more information on this research see: A cost-reducing extracorporeal membrane oxygenation (ECMO) program model: a single institution experience. Perfusion-Uk, 2015;30(2):148-153. Perfusion-Uk can be contacted at: Sage Publications Ltd, 1 Olivers Yard, 55 City Road, London EC1Y 1SP, England.</w:t>
        <w:br/>
        <w:br/>
        <w:t>The news correspondents report that additional information may be obtained from N.C. Cavarocchi, Thomas Jefferson University, Dept. of Surg, Philadelphia, PA 19107, United States. Additional authors for this research include S. Wallace, E.Y. Hong, A. Tropea, J. Byrne, H.T. Pitcher and H. Hirose.</w:t>
        <w:br/>
        <w:br/>
        <w:t>Keywords for this news article include: Hospital, Technology, Philadelphia, Pennsylvania, United States, Respiratory Therapy, North and Central America, Extracorporeal Membrane Oxygenation</w:t>
        <w:br/>
        <w:br/>
        <w:t>Our reports deliver fact-based news of research and discoveries from around the world. Copyright 2015, NewsRx LLC</w:t>
      </w:r>
    </w:p>
    <w:p>
      <w:pPr>
        <w:pStyle w:val="Heading1"/>
      </w:pPr>
      <w:r>
        <w:t>End of Article 7</w:t>
      </w:r>
    </w:p>
    <w:p>
      <w:r>
        <w:br w:type="page"/>
      </w:r>
    </w:p>
    <w:p>
      <w:pPr>
        <w:pStyle w:val="Heading1"/>
      </w:pPr>
      <w:r>
        <w:t>Start of Article 8</w:t>
      </w:r>
    </w:p>
    <w:p>
      <w:pPr>
        <w:pStyle w:val="Heading1"/>
      </w:pPr>
      <w:r>
        <w:t>Document ID BIWK000020150612eb6h00021</w:t>
      </w:r>
    </w:p>
    <w:p>
      <w:r>
        <w:t>Our news editors obtained a quote from the research from Purdue University, "The ultimate goal of drug delivery research is to develop clinically useful formulations to treat various diseases. Effective drug delivery systems can be developed by overcoming formulation barriers and/or biological barriers. The engineering approach has a limit in solving the problem, if biological difficulties are not clearly identified and understood. The third generation (3G) drug delivery systems will have to focus on understanding the biological barriers so that they can be overcome by engineering manipulation of the drug delivery systems. Advances in the next 30 years will be most accelerated by starting open dialogues without any preconceived ideas on drug delivery technologies."</w:t>
        <w:br/>
        <w:br/>
        <w:t>According to the news editors, the research concluded: "The new generation of drug delivery scientists needs to be aware of the successes and limitations of the existing technologies to design the new technologies for meaningful advances in the future."</w:t>
        <w:br/>
        <w:br/>
        <w:t>For more information on this research see: Controlled drug delivery systems: the next 30 years. Frontiers of Chemical Science and Engineering, 2014;8(3):276-279. Frontiers of Chemical Science and Engineering can be contacted at: Higher Education Press, Shatanhou St 55, Beijing 100009, Peoples R China. (Springer - www.springer.com; Frontiers of Chemical Science and Engineering - www.springerlink.com/content/2095-0179/)</w:t>
        <w:br/>
        <w:br/>
        <w:t>The news editors report that additional information may be obtained by contacting Y. Yun, Purdue University, Dept. of Biomed Engn &amp; Pharmaceut, West Lafayette, IN 47907, United States. Additional authors for this research include B.K. Lee and K. Park.</w:t>
        <w:br/>
        <w:br/>
        <w:t>Keywords for this news article include: Indiana, Technology, Engineering, United States, West Lafayette, Drugs and Therapies, Drug Delivery Systems, North and Central America</w:t>
        <w:br/>
        <w:br/>
        <w:t>Our reports deliver fact-based news of research and discoveries from around the world. Copyright 2015, NewsRx LLC</w:t>
      </w:r>
    </w:p>
    <w:p>
      <w:pPr>
        <w:pStyle w:val="Heading1"/>
      </w:pPr>
      <w:r>
        <w:t>End of Article 8</w:t>
      </w:r>
    </w:p>
    <w:p>
      <w:r>
        <w:br w:type="page"/>
      </w:r>
    </w:p>
    <w:p>
      <w:pPr>
        <w:pStyle w:val="Heading1"/>
      </w:pPr>
      <w:r>
        <w:t>Start of Article 9</w:t>
      </w:r>
    </w:p>
    <w:p>
      <w:pPr>
        <w:pStyle w:val="Heading1"/>
      </w:pPr>
      <w:r>
        <w:t>Document ID ATPHAB0020150119eb1j00006</w:t>
      </w:r>
    </w:p>
    <w:p>
      <w:r>
        <w:t>Orphan Drug Designation is granted by the FDA Orphan Drug Designation program for medicines intended for the safe and effective treatment, diagnosis or prevention of rare diseases or disorders that affect fewer than 200,000 people in the United States. Orphan Drug Designation provides sponsors with development and commercial incentives for such designated compounds and medicines.</w:t>
        <w:br/>
        <w:br/>
        <w:t>Classic CAH is a genetic disorder that results in an enzyme deficiency altering the production of adrenal steroids. Because of this deficiency, the adrenal glands have little to no cortisol biosynthesis resulting in a potentially life-threatening condition. If left untreated, classic CAH can result in salt wasting, dehydration and eventually death. Even with cortisol replacement, persistent elevation of ACTH from the pituitary gland results in excessive androgen levels leading to virilization of females including precocious puberty, menstrual irregularity, short stature, hirsutism, acne and fertility problems.</w:t>
        <w:br/>
        <w:br/>
        <w:t>Corticosteroids are the current standard of care for classic CAH which are used to both correct the endogenous cortisol deficiency and reduce the excessive ACTH levels and androgen excess. However, the dose and duration of steroid use required to suppress ACTH is well above the normal physiological level of cortisol resulting in metabolic syndrome, bone loss, growth impairment, and Cushing's syndrome as common and serious side effects.</w:t>
        <w:br/>
        <w:br/>
        <w:t>NBI-77860 is a potent, selective non-peptide CRF receptor antagonist as demonstrated in a range of in vitro/in vivo assays and human clinical studies. Blockade of CRF receptors at the pituitary has been shown to decrease the release of ACTH, which in turn decreases the production of adrenal steroids including androgens, and potentially the symptoms associated with classic CAH. Lower ACTH levels would also reduce the amount of exogenous corticosteroid necessary for classic CAH patients to thrive avoiding the side-effects currently associated with excessive steroid therapy.</w:t>
        <w:br/>
        <w:br/>
        <w:t>The 1401 study is a phase I/II open-label, sequential cohort, single ascending dose pharmacokinetic/pharmacodynamic study assessing three doses of NBI-77860. The fifteen adolescent females with classic CAH will be split into three cohorts and each will receive one dose of NBI-77860 at bedtime. Biomarker measurements include ACTH, 17-OHP, androgen, and cortisol levels collected the day after dosing.</w:t>
        <w:br/>
        <w:br/>
        <w:t>Neurocrine Biosciences, Inc. discovers and develops innovative and life-changing pharmaceuticals, in diseases with high unmet medical needs, through its novel R&amp;D; platform, focussed on neurological and endocrine based diseases and disorders. The Company's two lead late-stage clinical programs are elagolix, a gonadotropin-releasing hormone antagonist for women's health that is partnered with AbbVie Inc., and a wholly owned vesicular monoamine transporter 2 inhibitor for the treatment of movement disorders. Neurocrine intends to maintain certain commercial rights to its VMAT2 inhibitor for evolution into a fully-integrated pharmaceutical company.</w:t>
        <w:br/>
        <w:br/>
        <w:t>In addition to historical facts, this press release may contain forward-looking statements that involve a number of risks and uncertainties. Among the factors that could cause actual results to differ materially from those indicated in the forward-looking statements are risks and uncertainties associated with Neurocrine's business and finances in general, as well as risks and uncertainties associated with the Company's CRF program and Company overall. Specifically, the risks and uncertainties the Company faces with respect to the Company's CRF program include, but are not limited to; risk that NBI-77860 will not proceed to later stage clinical trials and risk that the Company's clinical trials will fail to demonstrate that NBI-77860 is safe and effective, risk that NBI-77860 may not replicate the results observed in our prior clinical development, risk that NB.</w:t>
      </w:r>
    </w:p>
    <w:p>
      <w:pPr>
        <w:pStyle w:val="Heading1"/>
      </w:pPr>
      <w:r>
        <w:t>End of Article 9</w:t>
      </w:r>
    </w:p>
    <w:p>
      <w:r>
        <w:br w:type="page"/>
      </w:r>
    </w:p>
    <w:p>
      <w:pPr>
        <w:pStyle w:val="Heading1"/>
      </w:pPr>
      <w:r>
        <w:t>Start of Article 10</w:t>
      </w:r>
    </w:p>
    <w:p>
      <w:pPr>
        <w:pStyle w:val="Heading1"/>
      </w:pPr>
      <w:r>
        <w:t>Document ID STHST00020160410ebcd004eb</w:t>
      </w:r>
    </w:p>
    <w:p>
      <w:r>
        <w:t>Alecensa was approved for patients with advanced non-small cell lung cancer with a mutation in a gene called ALK who have relapsed after treatment with Pfizer's Xalkori or who could not tolerate that drug.</w:t>
        <w:br/>
        <w:br/>
        <w:t>Alecensa, known chemically as alectinib, is the only lung cancer drug also approved for treating lung cancer that has spread to the brain.</w:t>
        <w:br/>
        <w:br/>
        <w:t>Genentech will have a list price of about $12,500 per month before discounts negotiated with insurers.</w:t>
      </w:r>
    </w:p>
    <w:p>
      <w:pPr>
        <w:pStyle w:val="Heading1"/>
      </w:pPr>
      <w:r>
        <w:t>End of Article 10</w:t>
      </w:r>
    </w:p>
    <w:p>
      <w:r>
        <w:br w:type="page"/>
      </w:r>
    </w:p>
    <w:p>
      <w:pPr>
        <w:pStyle w:val="Heading1"/>
      </w:pPr>
      <w:r>
        <w:t>Start of Article 11</w:t>
      </w:r>
    </w:p>
    <w:p>
      <w:pPr>
        <w:pStyle w:val="Heading1"/>
      </w:pPr>
      <w:r>
        <w:t>Document ID ATPHAM0020150205eb24000gz</w:t>
      </w:r>
    </w:p>
    <w:p>
      <w:r>
        <w:t>Curtiss Stinis, MD, used the device made by Medtronic, Inc., on Feb. 3 to open narrowed arteries in the leg of a patient with peripheral artery disease, a condition which is associated with an increased risk for heart attack and stroke.</w:t>
        <w:br/>
        <w:br/>
        <w:t>"What people don't realize is that peripheral artery disease is a very common and potentially serious condition," said Dr. Stinis, who is director of peripheral interventions in the Division of Cardiology at Scripps Clinic. "Importantly, most people who have the disease are entirely asymptomatic and don't even know they have it.</w:t>
        <w:br/>
        <w:br/>
        <w:t>"Those who do suffer from exercise-related symptoms typically develop a progressive decline in their ability to remain active, yet they often chalk up their symptoms to just getting older," he said. "This procedure is the latest example of how Scripps Health is making the best cardiovascular program in the region even better."</w:t>
        <w:br/>
        <w:br/>
        <w:t>Vascular patient benefits from new balloon</w:t>
        <w:br/>
        <w:br/>
        <w:t>The drug-coated balloon angioplasty was a much-needed option for Ralla Rubin, 82, of San Diego, who was the first Scripps patient to receive the treatment from Dr. Stinis after FDA approval. Since the onset of burning pain in her lower leg about two years ago, Ralla has been unable to attend exercise class or walk to the grocery store from her Clairemont neighborhood home. She previously underwent two interventional procedures - a traditional balloon angioplasty and a stent implant - but the blockage returned.</w:t>
        <w:br/>
        <w:br/>
        <w:t>After each procedure, Ralla's arteries developed excessive scar tissue, which created new blockage, Dr. Stinis said.</w:t>
        <w:br/>
        <w:br/>
        <w:t>"I just want to be able to walk again," Ralla said prior to the procedure with the drug-coated balloon. "I'm hopeful and thankful that Scripps offered me the option to try this new treatment."</w:t>
        <w:br/>
        <w:br/>
        <w:t>Affecting an estimated 8 million to 12 million people in the United States, peripheral artery disease is a debilitating condition that occurs when arteries become narrowed or blocked by plaque build-up, restricting blood flow. The condition commonly affects arteries in the upper legs and can cause recurrent and painful muscle cramping in the thigh and/or upper calf during exercise. The discomfort can impair a patient's ability to adequately exercise, and consequently interferes with a patient's ability to maintain a healthy weight and lifestyle.</w:t>
        <w:br/>
        <w:br/>
        <w:t>In its more advanced form, peripheral artery disease can lead to a critical restriction in blood flow to the legs and feet, which is often associated with continuous pain, non-healing wounds or gangrene. If not properly treated, the condition can lead to life-threatening complications, and is associated with a four to five time higher risk for heart attack or stroke, according to research published by the Journal of the American Medical Association in 2010.</w:t>
        <w:br/>
        <w:br/>
        <w:t>Once peripheral artery disease is diagnosed, patients can benefit from aggressive lifestyle modification, such as smoking cessation, dietary changes and cholesterol medication.</w:t>
        <w:br/>
        <w:br/>
        <w:t>"When conservative measures fail, we typically recommend intervention to mechanically improve blood flow," Dr. Stinis said. "In these cases, the drug-coated balloon gives us a new and important minimally invasive treatment option."</w:t>
        <w:br/>
        <w:br/>
        <w:t>Drug-coated balloons are designed to help restore blood flow by reopening blocked arteries while simultaneously delivering a medication to the artery wall. During the new procedure, an inflated balloon pushes the plaque away to create a channel for blood flow, and the medication on the balloon surface is deposited into the artery wall. The balloon is then removed with only the medication left behind.</w:t>
        <w:br/>
        <w:br/>
        <w:t>Scripps part of clinical trial</w:t>
        <w:br/>
        <w:br/>
        <w:t>Clinical studies, including work done at Scripps, have shown that delivering the medication via the balloon helps keep arteries open longer than standard procedures, including a traditional balloon angioplasty, Dr. Stinis said.</w:t>
        <w:br/>
        <w:br/>
        <w:t>In particular, research has shown treatment with the Medtronic device reduced the need to have a similar repeat procedure within the next year, which is more common with other types of interventional procedures for the treatment of the condition.</w:t>
        <w:br/>
        <w:br/>
        <w:t>Innovative technology such as the IN.PACT Admiral device demonstrates the leadership of Scripps in heart care and research. The $456 million Prebys Cardiovascular Institute, which is scheduled to open in March, will be a center for innovation that brings together top researchers, physicians and staff. The institute will incorporate leading-edge wireless technologies and individualized medicine for the best in patient care.</w:t>
        <w:br/>
        <w:br/>
        <w:t>Each year more than 76,000 patients receive their cardiovascular care from Scripps, making it San Diego County's largest heart care provider and the only one in the region consistently recognized by U.S. News &amp; World Report as one of the best in the country.</w:t>
        <w:br/>
        <w:br/>
        <w:t>Learn more about Scripps Health, a nonprofit integrated health system in San Diego, Calif.</w:t>
        <w:br/>
        <w:br/>
        <w:t>Source: Scripps Green Hospital</w:t>
      </w:r>
    </w:p>
    <w:p>
      <w:pPr>
        <w:pStyle w:val="Heading1"/>
      </w:pPr>
      <w:r>
        <w:t>End of Article 11</w:t>
      </w:r>
    </w:p>
    <w:p>
      <w:r>
        <w:br w:type="page"/>
      </w:r>
    </w:p>
    <w:p>
      <w:pPr>
        <w:pStyle w:val="Heading1"/>
      </w:pPr>
      <w:r>
        <w:t>Start of Article 12</w:t>
      </w:r>
    </w:p>
    <w:p>
      <w:pPr>
        <w:pStyle w:val="Heading1"/>
      </w:pPr>
      <w:r>
        <w:t>Document ID DJDN000020150511eb5b004nh</w:t>
      </w:r>
    </w:p>
    <w:p>
      <w:r>
        <w:t>The approach doesn't involve a hot new drug or technology. Instead, it's based on being smarter about using the longtime mainstay treatments for ovarian cancer: surgery and chemotherapy.</w:t>
        <w:br/>
        <w:br/>
        <w:t>Using the strategy, which involves assigning a score on the severity of the cancer to guide treatment, doctors at University of Texas MD Anderson Cancer Center in Houston have succeeded in removing all visible disease in 86% of treated women over the past two years. That's more than quadruple the 20% rate the doctors had achieved before starting the protocol.</w:t>
        <w:br/>
        <w:br/>
        <w:t>The doctors haven't yet proved that the strategy will extend lives, but they're anticipating a dramatic impact. Other recent studies indicate that complete surgical removal of visible disease doubles the chances -- to more than 60% -- that a woman will survive at least five years after diagnosis.</w:t>
        <w:br/>
        <w:br/>
        <w:t>The idea was "to take information that's already known and implement it into practice so we could immediately have an impact on patient survival," says Alpa Nick, a gynecological cancer specialist at MD Anderson and a leader of the effort to implement the protocol.</w:t>
        <w:br/>
        <w:br/>
        <w:t>Part of the challenge of treating ovarian cancer is that early symptoms often mimic other less serious problems. It is typically discovered late, after it has already spread beyond the ovaries. Making matters more problematic, as the cancer spreads, tumor cells form a coating over other organs and structures in the abdomen and it is difficult to determine the extent of the disease with imaging.</w:t>
        <w:br/>
        <w:br/>
        <w:t>The initiative, part of what MD Anderson calls its Moon Shots project to significantly reduce mortality across a variety of tumors, reflects broader ongoing efforts to improve results from chemotherapy and other standard treatments.</w:t>
        <w:br/>
        <w:br/>
        <w:t>Oncology is in the midst of headline-grabbing advances in genetically targeted drugs and immunotherapy treatments that are beginning to transform treatment of cancer. But so far, only a relatively small number of patients with only a few types of cancer have benefited. That means most cancer patients continue to be treated with chemotherapy and other standard regimens, such as radiation and surgery.</w:t>
        <w:br/>
        <w:br/>
        <w:t>"They will likely continue to get chemotherapy at some point in their treatment course for a good, long while," says Richard Schilsky, chief medical officer of the American Society of Clinical Oncology. "So it's important to try to improve on" the conventional treatments even as the latest remedies break new ground.</w:t>
        <w:br/>
        <w:br/>
        <w:t>In pediatrics, for example, researchers have essentially cured a wide variety of childhood cancers, even though hardly any new drugs for children's cancer have been approved in the past half century.</w:t>
        <w:br/>
        <w:br/>
        <w:t>In recent years, several large studies, many of them funded by the U.S. National Cancer Institute, have led to improved outcomes for patients with breast, prostate and other tumors. Researchers have shown, for instance, that giving smaller doses of chemo every two weeks instead of aggressive doses every three weeks is associated with better survival, Dr. Schilsky says. At last year's annual ASCO meeting, doctors reported that adding a chemotherapy to widely used hormone therapy significantly extended survival for prostate cancer patients.</w:t>
        <w:br/>
        <w:br/>
        <w:t>More than 21,000 women in the U.S. are expected to be diagnosed with ovarian cancer this year, according to the American Cancer Society. More than 14,000 women will die from the disease, making it the fifth-most lethal cancer for women.</w:t>
        <w:br/>
        <w:br/>
        <w:t>For decades, the standard treatment has been surgery at the time of diagnosis, followed by chemotherapy. But some patients get chemo first, especially in cases where their disease is found in the liver or outside the abdomen. The idea is to reduce the amount of tumor in the body before surgeons operate to remove what remains.</w:t>
        <w:br/>
        <w:br/>
        <w:t>Whether surgery first or chemo first yields the better surgical results isn't clear. A recent large, randomized study comparing the approaches found no difference in survival, but showed that those in each group where all visible cancer was removed fared best.</w:t>
        <w:br/>
        <w:br/>
        <w:t>The goal has always been to remove as much visible cancer as possible. But only in the past few years has research shown the importance of getting all of it -- a goal doctors call an R-zero resection.</w:t>
        <w:br/>
        <w:br/>
        <w:t>"Today there is more and more data that says unless you get to the R-zero resection, the marginal benefit of the surgery really tapers off," says Scott McMeekin, section chief of gynecologic oncology at the University of Oklahoma's Stephenson Cancer Center in Oklahoma City, which has adopted the new approach.</w:t>
        <w:br/>
        <w:br/>
        <w:t>Still, an R-zero resection isn't considered a cure. Residual, microscopic levels of the disease that can't be seen or felt by the surgeon can eventually trigger a recurrence.</w:t>
        <w:br/>
        <w:br/>
        <w:t>At MD Anderson, surgeons were getting an R-zero result in only about 20% of cases, generally in line with that achieved at other centers, researchers say. With the new strategy, "we're really re-looking at the foundation for how we treated women" with the disease, says Karen Lu, chief of gynecologic oncology at MD Anderson.</w:t>
        <w:br/>
        <w:br/>
        <w:t>The protocol, which MD Anderson doctors call the Anderson algorithm, is based on a scoring system developed by Anna Fagotti and her colleagues at Catholic University of the Sacred Heart in Rome. Using a laparoscope inserted through a small incision in the abdomen, the Italian researchers looked directly at the extent of a patient's disease and scored it on a scale of 0 to 14, with 0 the least severe and 14 the most. They showed that patients with a score of 8 or above had a better surgical result if they were given chemo first, while those below 8 did well with surgery first.</w:t>
        <w:br/>
        <w:br/>
        <w:t>As MD Anderson has refined the strategy, two doctors must independently agree on the score. The center began implementing the protocol two years ago. The results so far: Among 105 patients, 73 scored below 8, 10 of whom opted for chemo first anyway. Of the remaining 63 patients, 54, or 86%, had complete removal of visible disease. Of those who scored 8 or higher, 23 underwent three cycles of chemo before surgery, of whom 19 (82%) achieved an R-zero result.</w:t>
        <w:br/>
        <w:br/>
        <w:t>One participating patient was Theresa Duff of Katy, Texas. The 58-year-old retail sales manager at a Dillard's department store was diagnosed in March 2013 and treated at MD Anderson the following month. When told of the protocol, she says, "I was all for it." Though "overwhelmed" by the cancer diagnosis, she believed "the team is only going to do what's good for me. I didn't hesitate."</w:t>
        <w:br/>
        <w:br/>
        <w:t>She scored below 8 and had surgery first, leading to an optimal result. "I'm feeling great and there are no signs of the cancer coming back," she says.</w:t>
        <w:br/>
        <w:br/>
        <w:t>The protocol has another advantage. During laparoscopy, doctors can obtain a tumor specimen that they can compare with a subsequent biopsy obtained at surgery. Moon Shot researchers hope a before-and-after molecular analysis of patients' tumors will reveal clues to new treatments that improve care for ovarian cancer beyond surgery and chemo.</w:t>
        <w:br/>
        <w:br/>
        <w:t>(END) Dow Jones Newswires</w:t>
        <w:br/>
        <w:br/>
        <w:t>May 11, 2015 18:27 ET (22:27 GMT)</w:t>
      </w:r>
    </w:p>
    <w:p>
      <w:pPr>
        <w:pStyle w:val="Heading1"/>
      </w:pPr>
      <w:r>
        <w:t>End of Article 12</w:t>
      </w:r>
    </w:p>
    <w:p>
      <w:r>
        <w:br w:type="page"/>
      </w:r>
    </w:p>
    <w:p>
      <w:pPr>
        <w:pStyle w:val="Heading1"/>
      </w:pPr>
      <w:r>
        <w:t>Start of Article 13</w:t>
      </w:r>
    </w:p>
    <w:p>
      <w:pPr>
        <w:pStyle w:val="Heading1"/>
      </w:pPr>
      <w:r>
        <w:t>Document ID CHEMEC0020150925eb9p00002</w:t>
      </w:r>
    </w:p>
    <w:p>
      <w:r>
        <w:t>The following quote was obtained by the news editors from the background information supplied by the inventors: "Lactoferrin (LF) is an iron-binding protein contained in tear, saliva, peripheral blood, milk and so forth in the living body, and it is known to show an antimicrobial activity against harmful microorganisms, such as Escherichia coli, Candida yeasts and Clostridium bacteria (Non-patent document 1). Further, it is also known to show an antimicrobial activity against Staphylococcus and Enterococcus bacteria at a concentration of 0.5 to 30 mg/ml (Non-patent document 2).</w:t>
        <w:br/>
        <w:br/>
        <w:t>"Further, it is also known a composition containing a lactoferrin hydrolysate for inhibiting adhesion of enteropathogenic Escherichia coli to alimentary canal epithelial cells (Patent document 1).</w:t>
        <w:br/>
        <w:br/>
        <w:t>"In addition to the above, it is known that Lactoferricin (registered trademark), which is a lactoferrin-derived peptide obtainable from a pepsin digestion product of lactoferrin, has an antimicrobial activity (Non-patent documents 3 and 4).</w:t>
        <w:br/>
        <w:br/>
        <w:t>"Furthermore, it is investigated a method for enhancing antimicrobial activity of lactoferrin or lactoferrin hydrolysate mentioned above by combining an ingredient other than such lactoferrins.</w:t>
        <w:br/>
        <w:br/>
        <w:t>"For example, it is known an antimicrobial agent containing a compound selected from the group consisting of decomposition products of lactoferrins, lactoferrin-related antimicrobial peptides, and arbitrary mixtures of these, and a casein decomposition product as active ingredients (Patent document 2).</w:t>
        <w:br/>
        <w:br/>
        <w:t>"Further, it is also known an antimicrobial agent containing a compound selected from the group consisting of decomposition products of lactoferrins, lactoferrin-related antimicrobial peptides, and arbitrary mixtures of these, and a metal-binding protein as active ingredients (Patent document 3). As the metal-binding protein, lactoferrins, transferrin, conalbumin and casein phosphopeptides are mentioned.</w:t>
        <w:br/>
        <w:br/>
        <w:t>"Further, it is disclosed an antimicrobial agent containing a decomposition product of lactoferrins and/or an antimicrobial peptide derived from the decomposition product, and lysozyme as active ingredients (Patent document 4).</w:t>
        <w:br/>
        <w:br/>
        <w:t>"Further, it is known a composition consisting of an emulsion of an enzymatic decomposition product of lactoferrins, an antimicrobial peptide obtainable from an enzymatic decomposition product of lactoferrins or a chemically synthesized peptide containing a part of amino acid sequence of lactoferrins, and an aliphatic acid (Patent document 5).</w:t>
        <w:br/>
        <w:br/>
        <w:t>"In addition, it is known an antimicrobial agent comprising a newquinolone antimicrobial agent and a hydrolysate of lactoferrins or an antimicrobial peptide derived from a hydrolysate of lactoferrins as active ingredients (Patent document 6)."</w:t>
        <w:br/>
        <w:br/>
        <w:t>In addition to the background information obtained for this patent application, VerticalNews journalists also obtained the inventors' summary information for this patent application: "Problems to be Solved by the Invention</w:t>
        <w:br/>
        <w:br/>
        <w:t>"Lactoferrin and lactoferrin hydrolysate (henceforth also collectively referred to as 'lactoferrins') are known from the past to have an antimicrobial activity. And in order to further improve the antimicrobial activity of lactoferrins, methods of combining lactoferrins and various compounds have been investigated.</w:t>
        <w:br/>
        <w:br/>
        <w:t>"However, combinations that markedly enhance the antimicrobial effect of lactoferrins are scarcely known.</w:t>
        <w:br/>
        <w:br/>
        <w:t>"In particular, there has been desired a method that can enhance the antimicrobial activity of lactoferrins even with an extremely small amount of a substance to be added to lactoferrins.</w:t>
        <w:br/>
        <w:br/>
        <w:t>"Furthermore, there has been desired a highly safe antimicrobial agent that show no adverse reactions even if it is ingested on a daily basis.</w:t>
        <w:br/>
        <w:br/>
        <w:t>"Means for Solving the Problem</w:t>
        <w:br/>
        <w:br/>
        <w:t>"The inventors of the present invention paid attention to the fact that a protein fraction in the middle of purification obtainable in the production process of lactoferrin markedly enhanced the antimicrobial activity of lactoferrins, and conducted various researches on protein components of the fraction.</w:t>
        <w:br/>
        <w:br/>
        <w:t>"Then, they confirmed that, among the aforementioned components, ribonuclease-4 which is a milk protein not having antimicrobial activity by itself, markedly enhanced the antimicrobial activity of lactoferrin or lactoferrin hydrolysate, and accomplished the present invention.</w:t>
        <w:br/>
        <w:br/>
        <w:t>"As the first aspect, the present invention solving the aforementioned problem provides an antimicrobial activity enhancing agent for lactoferrin or a lactoferrin hydrolysate, which contains ribonuclease-4 as an active ingredient.</w:t>
        <w:br/>
        <w:br/>
        <w:t>"The second aspect of the present invention relates to an antimicrobial composition comprising the antimicrobial activity enhancing agent of the first aspect of the present invention, and one or plural kinds of substances selected from the group consisting of lactoferrin and a lactoferrin hydrolysate, wherein mass ratio of ribonuclease-4 to lactoferrin and a lactoferrin hydrolysate is 1/80 or more.</w:t>
        <w:br/>
        <w:br/>
        <w:t>"The third aspect of the present invention relates to a drug for antimicrobial use comprising the antimicrobial composition of the second aspect of the present invention.</w:t>
        <w:br/>
        <w:br/>
        <w:t>"The fourth aspect of the present invention relates to a food or drink comprising the antimicrobial composition of the second aspect of the present invention.</w:t>
        <w:br/>
        <w:br/>
        <w:t>"The fifth aspect of the present invention relates to a feed comprising the antimicrobial composition of the second aspect of the present invention.</w:t>
        <w:br/>
        <w:br/>
        <w:t>"The sixth aspect of the present invention relates to use of ribonuclease-4 for the production of an antimicrobial activity enhancing agent for lactoferrin or a lactoferrin hydrolysate.</w:t>
        <w:br/>
        <w:br/>
        <w:t>"The seventh aspect of the present invention relates to a method for producing an antimicrobial activity enhancing agent for lactoferrin or a lactoferrin hydrolysate, which comprises:</w:t>
        <w:br/>
        <w:br/>
        <w:t>"(a) the step of contacting raw milk with a cation exchange resin to adsorb proteins in the raw milk to the cation exchange resin, (b) the step of washing the cation exchange resin having undergone the aforementioned adsorption treatment, and flowing an elution solvent to elute a protein fraction having an isoelectric point of 8.0 to 10.0, and (c) the step of subjecting the eluted protein fraction to gel filtration using a gel filtration carrier to collect a fraction of a molecular weight of 30 kDa or less.</w:t>
        <w:br/>
        <w:br/>
        <w:t>"The eighth aspect of the present invention relates to a method for producing ribonuclease-4, which comprises:</w:t>
        <w:br/>
        <w:br/>
        <w:t>"(a) the step of contacting a raw milk with a cation exchange resin to adsorb proteins in the raw milk to the cation exchange resin, (b) the step of washing the cation exchange resin having undergone the aforementioned adsorption treatment, and flowing an elution solvent to elute a protein fraction having an isoelectric point of 8.0 to 10.0, (c) the step of subjecting the eluted protein fraction to membrane filtration using an ultrafiltration membrane having a molecular weight cutoff of 30 kDa to collect a fraction passed through the membrane, and (d) the step of subjecting the fraction passed through the membrane to gel filtration using a gel filtration carrier to collect a fraction of a molecular weight of 30 kDa or less. BRIEF DESCRIPTION OF THE DRAWINGS</w:t>
        <w:br/>
        <w:br/>
        <w:t>"FIG. 1 A drawing (partially consisting of photograph) showing an elution curve observed in gel filtration chromatography used for the method for producing the antimicrobial activity enhancing agent of the present invention.</w:t>
        <w:br/>
        <w:br/>
        <w:t>"FIG. 2 A drawing (partially consisting of photograph) showing an elution curve observed in gel filtration chromatography used for the method for producing the antimicrobial activity enhancing agent of the present invention.</w:t>
        <w:br/>
        <w:br/>
        <w:t>"FIG. 3 An SDS electrophoretogram (photograph) of the antimicrobial activity enhancing agent of the present invention.</w:t>
        <w:br/>
        <w:br/>
        <w:t>"FIG. 4 An SDS electrophoretogram (photograph) of the antimicrobial activity enhancing agent of the present invention.</w:t>
        <w:br/>
        <w:br/>
        <w:t>"FIG. 5 The results of amino acid sequence (SEQ ID No.: 4) analysis for the antimicrobial activity enhancing agent of the present invention (ribonuclease-4) obtained by mass spectrometry. The upper and lower rows indicate the results of the analysis performed twice. The underlined parts are portions that agreed with the sequence of the bovine ribonuclease-4 in database search performed by using the results of mass spectrometry.</w:t>
        <w:br/>
        <w:br/>
        <w:t>"FIG. 6 A densitogram (partially consisting of photograph) of the antimicrobial activity enhancing agent of the present invention.</w:t>
        <w:br/>
        <w:br/>
        <w:t>"FIG. 7 A densitogram (partially consisting of photograph) of the antimicrobial activity enhancing agent of the present invention.</w:t>
        <w:br/>
        <w:br/>
        <w:t>"FIG. 8 The primary structure of human Lactoferricin (amino acid sequence: SEQ ID NOS: 1 and 2).</w:t>
        <w:br/>
        <w:br/>
        <w:t>"FIG. 9 The primary structure of bovine Lactoferricin (amino acid sequence: SEQ ID NO: 3)."</w:t>
        <w:br/>
        <w:br/>
        <w:t>URL and more information on this patent application, see: Murata, Mai; Wakabayashi, Hiroyuki; Yamauchi, Koji. Antimicrobial Activity Enhancing Agent. Filed May 21, 2015 and posted September 17, 2015. Patent URL: http://appft.uspto.gov/netacgi/nph-Parser?Sect1=PTO2&amp;Sect2=HITOFF&amp;u=%2Fnetahtml%2FPTO%2Fsearch-adv.html&amp;r=7143&amp;p=143&amp;f=G&amp;l=50&amp;d=PG01&amp;S1=20150910.PD.&amp;OS=PD/20150910&amp;RS=PD/20150910</w:t>
        <w:br/>
        <w:br/>
        <w:t>Keywords for this news article include: Antibiotics, Therapy, Peptides, Amino Acids, Lactoferrin, Glycoproteins, Lactoglobulins, Dietary Proteins, Iron-Binding Proteins, Cation Exchange Resins, Morinaga Milk Industry Co. Ltd..</w:t>
        <w:br/>
        <w:br/>
        <w:t>Our reports deliver fact-based news of research and discoveries from around the world. Copyright 2015, NewsRx LLC</w:t>
      </w:r>
    </w:p>
    <w:p>
      <w:pPr>
        <w:pStyle w:val="Heading1"/>
      </w:pPr>
      <w:r>
        <w:t>End of Article 13</w:t>
      </w:r>
    </w:p>
    <w:p>
      <w:r>
        <w:br w:type="page"/>
      </w:r>
    </w:p>
    <w:p>
      <w:pPr>
        <w:pStyle w:val="Heading1"/>
      </w:pPr>
      <w:r>
        <w:t>Start of Article 14</w:t>
      </w:r>
    </w:p>
    <w:p>
      <w:pPr>
        <w:pStyle w:val="Heading1"/>
      </w:pPr>
      <w:r>
        <w:t>Document ID WSJO000020150612eb6c008et</w:t>
      </w:r>
    </w:p>
    <w:p>
      <w:r>
        <w:t>The FDA in 1997 approved Medtronic PLC's Activa Deep Brain Stimulation Therapy System for tremors associated with essential tremor and Parkinson's disease, and expanded it in 2002 to include other symptoms of Parkinson's disease.</w:t>
        <w:br/>
        <w:br/>
        <w:t>Parkinson's is a neurological disorder that afflicts about one million Americans. An estimated 50,000 Americans are diagnosed with Parkinson's each year, according to the National Institutes of Health.</w:t>
        <w:br/>
        <w:br/>
        <w:t>There are no cures for Parkinson's or essential tremor, a condition previously called benign essential tremor characterized by uncontrolled muscle movement.</w:t>
        <w:br/>
        <w:br/>
        <w:t>Parkinson's is typically diagnosed in people over 60 years old, while essential tremor usually occurs in those over 40.</w:t>
        <w:br/>
        <w:br/>
        <w:t>The implant includes a battery-powered, rechargeable electrical pulse generator that is implanted under the skin of the upper chest and wire leads that are attached to electrodes placed within the brain, the FDA said. Serious adverse events include intracranial bleeding, which can lead to stroke, paralysis or death, the agency warned. Other adverse events included infection and dislocation of the device lead under the skin.</w:t>
        <w:br/>
        <w:br/>
        <w:t>Write to Maria Armental at maria.armental@wsj.com</w:t>
      </w:r>
    </w:p>
    <w:p>
      <w:pPr>
        <w:pStyle w:val="Heading1"/>
      </w:pPr>
      <w:r>
        <w:t>End of Article 14</w:t>
      </w:r>
    </w:p>
    <w:p>
      <w:r>
        <w:br w:type="page"/>
      </w:r>
    </w:p>
    <w:p>
      <w:pPr>
        <w:pStyle w:val="Heading1"/>
      </w:pPr>
      <w:r>
        <w:t>Start of Article 15</w:t>
      </w:r>
    </w:p>
    <w:p>
      <w:pPr>
        <w:pStyle w:val="Heading1"/>
      </w:pPr>
      <w:r>
        <w:t>Document ID INVWK00020151106ebb6001j5</w:t>
      </w:r>
    </w:p>
    <w:p>
      <w:r>
        <w:t>Reporters obtained the following quote from the background information supplied by the inventors: "The present invention relates to the synthesis of deoxycholoic acid and pharmaceutically acceptable salts and intermediates thereof.</w:t>
        <w:br/>
        <w:br/>
        <w:t>"Rapid removal of body fat is an age-old ideal, and many substances have been claimed to accomplish such results, although few have shown results. 'Mesotherapy', or the use of injectables for the removal of fat, is not widely accepted among medical practitioners due to safety and efficacy concerns, although homeopathic and cosmetic claims have been made since the 1950's. Mesotherapy was originally conceived in Europe as a method of utilizing cutaneous injections containing a mixture of compounds for the treatment of local medical and cosmetic conditions. Although mesotherapy was traditionally employed for pain relief, its cosmetic applications, particularly fat and cellulite removal, have recently received attention in the United States. One such reported treatment for localized fat reduction, which was popularized in Brazil and uses injections of phosphatidylcholine, has been erroneously considered synonymous with mesotherapy. Despite its attraction as a purported 'fat-dissolving' injection, the safety and efficacy of these cosmetic treatments remain ambiguous to most patients and physicians. See, Rotunda, A. M. and M. Kolodney, Dermatologic Surgery 32: 465-480 (2006) ('Mesotherapy and Phosphatidylcholine Injections: Historical Clarification and Review').</w:t>
        <w:br/>
        <w:br/>
        <w:t>"Recently published literature reports that the bile acid deoxycholic acid has fat removing properties when injected into fatty deposits in vivo. See, WO 2005/117900 and WO 2005/112942, as well as US2005/0261258; US2005/0267080; US2006/127468; and US20060154906, all incorporated herein by reference in their entirety including figures). Deoxycholate injected into fat tissue has the effects of: 1) degrading fat cells via a cytolytic mechanism; and 2) causing skin tightening. Both of these effects are required to mediate the desired aesthetic corrections (i.e., body contouring). Because deoxycholate injected into fat is rapidly inactivated by exposure to protein and then rapidly returns to the intestinal contents, its effects are spatially contained. As a result of this attenuation effect that confers clinical safety, fat removal therapies typically require 4-6 sessions. This localized fat removal without the need for surgery is beneficial not only for therapeutic treatment relating to pathological localized fat deposits (e.g., dyslipidemias incident to medical intervention in the treatment of HIV), but also for cosmetic fat removal without the attendant risk inherent in surgery (e.g., liposuction). See, Rotunda et al., Dermatol. Surgery 30: 1001-1008 (2004) ('Detergent effects of sodium deoxycholate are a major feature of an injectable phosphatidylcholine formulation used for localized fat dissolution') and Rotunda et al., J. Am. Acad. Dermatol. (2005: 973-978) ('Lipomas treated with subcutaneous deoxycholate injections'), both incorporated herein by reference.</w:t>
        <w:br/>
        <w:br/>
        <w:t>"Pharmaceutical grade bile acid preparations are commercially available at relatively low cost. This low cost is due to the fact that the bile acids are obtained from animal carcasses, particularly large animals such as cows and sheep. Importantly, as with all medicaments from animal sources, there is concern that the animal-derived bile acid products may contain animal pathogens and other harmful agents such as animal or microbial metabolites and toxins, including bacterial toxins such as pyrogens.</w:t>
        <w:br/>
        <w:br/>
        <w:t>"Currently, the concerns regarding animal-derived products containing animal pathogens and other harmful agents has been addressed by sourcing from isolated and inspected animals. For example, deoxycholic acid from animals in New Zealand are a source of bile acids for human use under US regulatory regimes, as long as the animals continue to remain isolated and otherwise free of observable pathogens.</w:t>
        <w:br/>
        <w:br/>
        <w:t>"There remains a need for suitable quantities of efficacious bile acids such as deoxycholic acids that are known from the outset to be free from moieties of animal origin (or pathogenic moieties capable of acting in an animal, particularly a mammal, and for human use, having a deleterious effect on a human), and other harmful agents such as animal or microbial metabolites, toxins, including bacterial toxins, such as pyrogens, for use as medicaments in humans."</w:t>
        <w:br/>
        <w:br/>
        <w:t>In addition to obtaining background information on this patent application, VerticalNews editors also obtained the inventors' summary information for this patent application: "The present invention provides methods and intermediates relating to the synthesis of deoxycholic acid and pharmaceutically acceptable salts thereof. The synthetically prepared deoxycholic acid can be used in adipolytic therapy for fat removal. BRIEF DESCRIPTION OF THE FIGURE</w:t>
        <w:br/>
        <w:br/>
        <w:t>"FIG. 1 shows the similarity in dose-dependent decrease in cell survival of primary human adipocytes upon treatment with synthetic sodium deoxycholic acid of the present invention in comparison to bovine-derived sodium deoxycholate (Sigma)."</w:t>
        <w:br/>
        <w:br/>
        <w:t>For more information, see this patent application: Prasad, Achampeta Rathan; Swaringen, JR., Roy A.; Reid, John Gregory; Moriarty, Robert M.; Sahoo, Akhila Kumar. Preparation of Bile Acids and Intermediates Thereof. Filed April 24, 2015 and posted October 29, 2015. Patent URL: http://appft.uspto.gov/netacgi/nph-Parser?Sect1=PTO2&amp;Sect2=HITOFF&amp;u=%2Fnetahtml%2FPTO%2Fsearch-adv.html&amp;r=5977&amp;p=120&amp;f=G&amp;l=50&amp;d=PG01&amp;S1=20151022.PD.&amp;OS=PD/20151022&amp;RS=PD/20151022</w:t>
        <w:br/>
        <w:br/>
        <w:t>Keywords for this news article include: Kythera Biopharmaceuticals Inc.</w:t>
        <w:br/>
        <w:br/>
        <w:t>Our reports deliver fact-based news of research and discoveries from around the world. Copyright 2015, NewsRx LLC</w:t>
      </w:r>
    </w:p>
    <w:p>
      <w:pPr>
        <w:pStyle w:val="Heading1"/>
      </w:pPr>
      <w:r>
        <w:t>End of Article 15</w:t>
      </w:r>
    </w:p>
    <w:p>
      <w:r>
        <w:br w:type="page"/>
      </w:r>
    </w:p>
    <w:p>
      <w:pPr>
        <w:pStyle w:val="Heading1"/>
      </w:pPr>
      <w:r>
        <w:t>Start of Article 16</w:t>
      </w:r>
    </w:p>
    <w:p>
      <w:pPr>
        <w:pStyle w:val="Heading1"/>
      </w:pPr>
      <w:r>
        <w:t>Document ID DEALNEW020150113eb160000j</w:t>
      </w:r>
    </w:p>
    <w:p>
      <w:r>
        <w:t>That deal followed a Monday announcement that the firm had led a trio of investors in a recapitalization of healthcare IT company Inflexxion Inc., which partners with medical practices to collect and analyze data to help reduce health-related risks, enhance clinical outcomes and positively influence quality of care. One of the company's main focuses is monitoring the use of pain medications and curbing addiction and misuse by providing analytics to physicians and drug companies alike.</w:t>
        <w:br/>
        <w:br/>
        <w:t>"A key element of our strategy is looking at companies where technology and services intersect," Periscope principal Steve Jarmel said. "Inflexxion is about the uniqueness of the offerings, but with SPS, it really came down to the fact that they have the database of who the key [prescription writers] are and can really drill down on who you are trying to market."</w:t>
        <w:br/>
        <w:br/>
        <w:t>Jarmel said both acquisitions fall in line with recent trends in the healthcare sector that involve companies taking large amounts of data and synthesizing that data into actionable information to help improve efficiencies.</w:t>
        <w:br/>
        <w:br/>
        <w:t>For Inflexxion of Newton, Mass., the Monday deal marks the end of a 15-month auction process that included a range of financial sponsor interest.</w:t>
        <w:br/>
        <w:br/>
        <w:t>According to Michael J. Cassata of Consilium Partners LLC, who advised Inflexxion, his investment banking firm was retained in September 2013 to seek growth capital as well as a liquidity event for Inflexxion co-founder Simon Budman.</w:t>
        <w:br/>
        <w:br/>
        <w:t>While Cassata said the company would have had interest from strategic players, he said his firm only reached out to financial firms.</w:t>
        <w:br/>
        <w:br/>
        <w:t>"We ruled out strategics. We were looking for smart money to develop the company," Cassata said. "The founder did not want to lose the company's identity."</w:t>
        <w:br/>
        <w:br/>
        <w:t>Following Consilium's retention, Inflexxion signed letters of intent with a number of sponsors in July 2014, eventually closing on the trio of investors led by Periscope, which also included Fidus Investment Corp. (FDUS) of Evanston, Ill., and Chicago's Akoya Capital Partners LLC.</w:t>
        <w:br/>
        <w:br/>
        <w:t>Periscope's Jarmel said his firm looked a number of healthcare IT companies but landed on Inflexxion due to its unique technology and data sets that allow physicians as well as drug companies to see patients' use, or misuse, of opiates.</w:t>
        <w:br/>
        <w:br/>
        <w:t>"It is a very niche industry," Jarmel said. "But [Inflexxion has] real data sets that combine deep scientific understanding with unique and actionable insights that help [healthcare facilities] as well as pharma companies, for instance, track and monitor patients."</w:t>
        <w:br/>
        <w:br/>
        <w:t>In addition to leading the investment in Inflexxion, Periscope also has brought on Thomas Hegelund, formerly the senior vice president at data analytics company Truven Health Analytics Inc., to take over as president of the company. Akoya Capital managing partner John J. Regazzi, who formerly was CEO of Elsevier Inc., also is joining the board as a director.</w:t>
        <w:br/>
        <w:br/>
        <w:t>Jarmel said Inflexxion would continue to expand both organically and through targeted acquisitions to help it build its offerings into a significant market player. He said, however, that acquisitions also were likely for Strategic Pharma Solutions. He said acquisitions would attempt to add both geographic reach outside the company's core market of Raleigh as well as different services.</w:t>
        <w:br/>
        <w:br/>
        <w:t>Together, the deals mark a continued push by investors to gain a piece of the burgeoning healthcare IT industry that recently has gained a boost from the increased pressure of the federal government for practices to adopt electronic medical records.</w:t>
        <w:br/>
        <w:br/>
        <w:t>"A couple of things have been driving deal activity in the space," Cassata explained. "I think the idea of aggregating data through cloud computing and looking across an entire industry — not just one silo of an industry — has made it possible to look across multiple data sets and has provided a need for companies that can handle large amounts of data and provide real insight on that data."</w:t>
        <w:br/>
        <w:br/>
        <w:t>In another deal this week, Radnor, Pa., venture capital firm Cross Atlantic Capital Partners on Monday announced it had completed the sale of Health Market Science, a leading supplier of healthcare professional data, to LexisNexis Risk Solutions, a division of Reed Elsevier NV (ENL).</w:t>
        <w:br/>
        <w:br/>
        <w:t>Cross Atlantic first invested in HMS in 2010 during its $6.1 million Series B financing round, joining a group of investors that also included Edison Venture Fund.</w:t>
        <w:br/>
        <w:br/>
        <w:t>Deals in healthcare IT also proliferated 2014, with Cerner Corp.'s (CERN) August deal to acquire Siemens Health Services for $1.3 billion leading the way.</w:t>
        <w:br/>
        <w:br/>
        <w:t>Another notable deal in the space occurred on Nov. 20, when Teaneck, N.J., IT services company Cognizant Technology Solutions Corp. (CTSH) closed its acquisition of TriZetto Corp., creating a fully integrated healthcare technology and operations leader. Cognizant paid roughly $2 billion to TriZetto's owners, led by private equity firm Apax Partners.</w:t>
        <w:br/>
        <w:br/>
        <w:t>Another company, Nasdaq-listed MedAssets Inc. (MDAS), also has been acquisitive. On Aug. 13, the Atlanta company completed a $142 million acquisition of SG-2 LLC, a provider of healthcare business intelligence.</w:t>
        <w:br/>
        <w:br/>
        <w:t>Finally, in December The Deal reported that Strata Decision Technology LLC, a Chicago healthcare IT company, was in its second round of bids in a sale process led by TripleTree LLC. A deal has yet to materialize.</w:t>
        <w:br/>
        <w:br/>
        <w:t xml:space="preserve">Jarmel said Periscope retained Katten Muchin Rosenman LLP for legal advice on both the Inflexxion and Strategic Pharma Solutions transactions. He declined to name terms for either transaction, but according to Periscope's website, the firm typically invests in companies with $2 million to $5 million of Ebitda. </w:t>
      </w:r>
    </w:p>
    <w:p>
      <w:pPr>
        <w:pStyle w:val="Heading1"/>
      </w:pPr>
      <w:r>
        <w:t>End of Article 16</w:t>
      </w:r>
    </w:p>
    <w:p>
      <w:r>
        <w:br w:type="page"/>
      </w:r>
    </w:p>
    <w:p>
      <w:pPr>
        <w:pStyle w:val="Heading1"/>
      </w:pPr>
      <w:r>
        <w:t>Start of Article 17</w:t>
      </w:r>
    </w:p>
    <w:p>
      <w:pPr>
        <w:pStyle w:val="Heading1"/>
      </w:pPr>
      <w:r>
        <w:t>Document ID J000000020150826eb8q00034</w:t>
      </w:r>
    </w:p>
    <w:p>
      <w:r>
        <w:t>Amid Contract Dispute</w:t>
        <w:br/>
        <w:br/>
        <w:t>Signals for one of the nation's biggest local broadcasters went dark on satellite-TV distributor Dish Network Corp. on Tuesday, the result of a dispute over a new distribution contract.</w:t>
        <w:br/>
        <w:br/>
        <w:t>Dish and Sinclair Broadcast Group Inc. have been negotiating a contract that covers more than 150 local television stations owned or managed by Sinclair that reach more than five million customers in 79 markets nationwide. The signals were pulled from Dish after efforts to sign a new agreement or extend the existing one failed.</w:t>
        <w:br/>
        <w:br/>
        <w:t>Besides owning 121 TV stations, Sinclair also manages 32 through partnerships. Of the 153 stations, 87 are affiliates of the four major broadcast networks -- CBS Corp., Comcast Corp.'s NBC, Walt Disney Co.'s ABC and Twentieth Century Fox's Fox -- meaning customers lost access to local and national news programming as well as sports carried by those stations.</w:t>
        <w:br/>
        <w:br/>
        <w:t>Dish said 129 stations in 36 states and the District of Columbia had been pulled from its service. An additional 23 stations that Sinclair negotiates distribution agreements for remain on Dish.</w:t>
        <w:br/>
        <w:br/>
        <w:t>In a statement, Dish said it had come to terms with Sinclair on fees to carry its TV stations but the broadcaster was holding out to try to leverage distribution for a cable channel it does not yet own. Dish declined to provide details but Sinclair has expressed interest in starting its own cable network focused on high school and college sports</w:t>
        <w:br/>
        <w:br/>
        <w:t>"Sinclair rejected our extension offer and has chosen to use innocent consumers as pawns to gain leverage for the economic benefit of Sinclair, while causing substantial harm and disruption to the lives of consumers," said Warren Schlichting, Dish's senior vice president of programming.</w:t>
        <w:br/>
        <w:br/>
        <w:t>Sinclair General Counsel Barry Faber confirmed the broadcaster's signals were out of Dish homes but declined further comment.</w:t>
        <w:br/>
        <w:br/>
        <w:t>-- Joe Flint</w:t>
        <w:br/>
        <w:br/>
        <w:t>---</w:t>
        <w:br/>
        <w:br/>
        <w:t>SANDERSON FARMS</w:t>
        <w:br/>
        <w:br/>
        <w:t>Low Chicken Prices Hit</w:t>
        <w:br/>
        <w:br/>
        <w:t>Poultry Producer Hard</w:t>
        <w:br/>
        <w:br/>
        <w:t>Sanderson Farms Inc. said profit tumbled in its latest quarter, as the chicken company faced sharply lower market prices for its products.</w:t>
        <w:br/>
        <w:br/>
        <w:t>Based in Laurel, Miss., Sanderson has about 7% of the overall U.S. poultry market, behind Tyson Foods Inc. and Pilgrim's Pride Corp., and is a supplier to customers including Sysco Corp., Kroger Co. and Arby's.</w:t>
        <w:br/>
        <w:br/>
        <w:t>"Market prices for most products produced at our big bird-deboning plants were significantly lower" during the quarter, said Chief Executive Joe Sanderson.</w:t>
        <w:br/>
        <w:br/>
        <w:t>Overall, Sanderson reported a profit of $50.9 million, or $2.27 a share, down from $76.1 million, or $3.30 a share, a year earlier. Revenue slipped 3.7% to $739.9 million.</w:t>
        <w:br/>
        <w:br/>
        <w:t>-- Lisa Beilfuss</w:t>
        <w:br/>
        <w:br/>
        <w:t>---</w:t>
        <w:br/>
        <w:br/>
        <w:t>MEDTRONIC</w:t>
        <w:br/>
        <w:br/>
        <w:t>Moving Overseas</w:t>
        <w:br/>
        <w:br/>
        <w:t>Helps in New Buyout</w:t>
        <w:br/>
        <w:br/>
        <w:t>Medtronic PLC's $458 million acquisition of California startup Twelve Inc. is the latest example of how the company is taking advantage of the tax benefits it gained after reincorporating overseas earlier this year.</w:t>
        <w:br/>
        <w:br/>
        <w:t>Medtronic moved its headquarters from Minneapolis after acquiring Dublin-based Covidien PLC for $43 billion. That move allowed the medical-device maker to spend more of its overseas cash in the U.S. without having to pay U.S. tax on it -- a perk Chief Executive Omar Ishrak has said Medtronic would use to help it acquire U.S. technology.</w:t>
        <w:br/>
        <w:br/>
        <w:t>The U.S. Treasury has criticized companies for trying to "avoid U.S. taxes" through such "tax inversions."</w:t>
        <w:br/>
        <w:br/>
        <w:t>Twelve., based in Redwood City, Calif., is developing a device aimed at repairing faulty mitral valves in the hear. Twelve's investors include the venture-capital firms Domain Associates, Versant Ventures and Morgenthaler Ventures.</w:t>
        <w:br/>
        <w:br/>
        <w:t>-- Jeanne Whalen</w:t>
        <w:br/>
        <w:br/>
        <w:t>License this article from Dow Jones Reprint Service</w:t>
      </w:r>
    </w:p>
    <w:p>
      <w:pPr>
        <w:pStyle w:val="Heading1"/>
      </w:pPr>
      <w:r>
        <w:t>End of Article 17</w:t>
      </w:r>
    </w:p>
    <w:p>
      <w:r>
        <w:br w:type="page"/>
      </w:r>
    </w:p>
    <w:p>
      <w:pPr>
        <w:pStyle w:val="Heading1"/>
      </w:pPr>
      <w:r>
        <w:t>Start of Article 18</w:t>
      </w:r>
    </w:p>
    <w:p>
      <w:pPr>
        <w:pStyle w:val="Heading1"/>
      </w:pPr>
      <w:r>
        <w:t>Document ID HAMW000020141226eb12001lg</w:t>
      </w:r>
    </w:p>
    <w:p>
      <w:r>
        <w:t>"The approval of Somatuline(R) for the treatment of patients living with gastrointestinal and pancreatic tumors is a major achievement for Ipsen that will provide a new therapeutic option with the potential to help many of the thousands of patients in the United States suffering from this devastating disease," said Cynthia Schwalm, President and CEO of Ipsen Biopharmaceuticals, Inc. "Somatuline(R) is the first and only treatment with a statistically significant progression-free survival benefit approved by the FDA for patients as an antitumor therapy in the treatment of gastrointestinal and pancreatic neuroendocrine tumors. This is a significant step forward in our mission to develop and deliver innovative therapies to treat serious illnesses."</w:t>
        <w:br/>
        <w:br/>
        <w:t>The approval of Somatuline(R) was based on a 96-week landmark registrational Phase III, double-blind, placebo-controlled study (CLARINET(R)) of 204 patients enrolled in 48 centers across 14 countries. The trial showed that Somatuline(R) reduced the risk of disease progression or death by 53% versus placebo in patients with advanced gastrointestinal and pancreatic neuroendocrine tumors (p&lt;0.001). Safety data generated from the Phase III study were consistent with the known safety profile of Somatuline(R). The rates of discontinuation due to treatment-emergent adverse reactions were 5% (5/101 patients) in the Somatuline(R) arm and 3% (3/103 patients) in the placebo arm.</w:t>
        <w:br/>
        <w:br/>
        <w:t>Gastrointestinal and pancreatic neuroendocrine tumors are rare, but serious cancers. There are an estimated 112,000 individuals currently living with neuroendocrine tumors in the U.S., and the incidence and prevalence of this type of cancer have risen 4-to-6 fold in the last 30 years. Furthermore, up to ninety percent of patients are incorrectly diagnosed, many for more than 5 years, meaning that they are often diagnosed at a late stage. During this process, patients may be misdiagnosed with other gastrointestinal diseases, such as irritable bowel syndrome or Crohn's disease.</w:t>
        <w:br/>
        <w:br/>
        <w:t>"Somatuline(R) is the first somatostatin analog to demonstrate a statistically significant improvement in progression-free survival, a clinically significant endpoint in oncology which measures how long the patient continues to live with the disease without it getting any worse," said Dr. Alexandria Phan, Director of GI Medical Oncology at Houston Methodist. "Somatuline(R) offers a new weapon in our fight against this deadly disease." Maryann Wahmann, President of the Neuroendocrine Cancer Awareness Network and a Carcinoid Cancer Patient added, "As a patient who also started an advocacy group for this community, I know first-hand how important it is to have a new treatment option with anticancer benefits for neuroendocrine tumors."</w:t>
        <w:br/>
        <w:br/>
        <w:t>Somatuline(R) will be delivered via a newly approved, ready-to-use, prefilled syringe which incorporates Safe'n'Sound(R) technology, including a retractable needle guard to help avoid needle sticks, and it is manufactured without latex or natural dry rubber. The new delivery device does not require reconstitution and is a low volume (0.5 mL) deep subcutaneous injection offering a streamlined process that supports full dose delivery. About Gastrointestinal and Pancreatic Neuroendocrine Tumors Gastrointestinal and pancreatic neuroendocrine tumors, also known as gastroenteropancreatic neuroendocrine tumors, are a rare type of cancer. It is diagnosed in approximately 5 out of every 100,000 people in the U.S. The average time until a GEP-NET patient is accurately diagnosed is at least 5 years; with more than 80% of patients seeing at least three doctors prior to their diagnosis. Because of this, most patients are diagnosed while in the advanced stages of the disease, which often leads to a poor prognosis. Additionally, the symptoms of GEP-NETs are gastrointestinal in nature, thus they can be misdiagnosed as Crohn's disease or irritable bowel syndrome (IBS). About the Phase III Study The approval of Somatuline(R) Depot(R) in gastrointestinal and pancreatic neuroendocrine tumors is based on a Phase III, randomized, double-blind, placebo-controlled study (CLARINET(R)) of lanreotide's antiproliferative response in patients with enteropancreatic neuroendocrine tumors (ClinicalTrials.gov NCT00353496). This 96-week multinational study was conducted in collaboration with the UK &amp; Ireland Neuroendocrine Tumour Society (UKI NETS) and the European Neuroendocrine Tumour Society (ENETS).</w:t>
        <w:br/>
        <w:br/>
        <w:t>A total of 204 patients from 48 centers across 14 countries with well or moderately differentiated non-functioning enteropancreatic neuroendocrine tumors and a proliferation index (Ki67) of &lt;10%, were randomized to treatment with Somatuline(R)Depot(R) 120 mg (n=101) or placebo (n=103). At enrollment, primary tumor locations were pancreas (45%), midgut (36%), hindgut (7%) and unknown (13%). Most patients had stable disease (96%) and were treatment-naive (84%). Thirty percent of patients had a Ki67 of 3% to &lt;=10% (WHO grade 2) and 33% had an hepatic tumor load &gt;25%.</w:t>
        <w:br/>
        <w:br/>
        <w:t>The primary efficacy endpoint was progression-free survivial (defined as time to either disease progression (centrally assessed using Response Evaluation Criteria In Solid Tumors, RECIST 1.0) or death). Two baseline computed tomography or magnetic resonance imaging scans (12 to 24 weeks) were performed, followed by additional scans at 12- week intervals during the first year and 24-week intervals during the second year up to 96 weeks.</w:t>
        <w:br/>
        <w:br/>
        <w:t>The data showed that placebo-treated patients had a median PFS of 16.6 months and 33.0% had not progressed or died at 96 weeks, whereas the median PFS for Somatuline(R) treated patients was not reached and will be greater than 22 months and 65.1% had not progressed or died at 96 weeks (stratified logrank test, p&lt;0.001). This represented a 53% reduction in risk of disease progression or death with Somatuline(R) Depot compared to placebo, based on a hazard ratio of 0.47 (95% CI: 0.30-0.73). These statistically and clinically significant antiproliferative effects of Somatuline(R) Depot(R) were observed in a large population of patients with grade G1 or G2 (World Health Organization classification) GEP-NETs, and independent of hepatic tumor volume (&lt;=25% or &gt;25%). Overall survival and quality of life measures were not different between Somatuline(R) and placebo groups. Safety data generated from the study are consistent with the known safety profile of Somatuline(R). Indication: Somatuline(R) Depot(R) (lanreotide) Injection 120 mg is indicated for the treatment of adult patients with unresectable, well- or moderately differentiated, locally advanced or metastatic gastroenteropancreatic neuroendocrine tumors to improve progression-free survival. Important Safety Information Contraindications: Somatuline(R) is contraindicated in patients with hypersensitivity to lanreotide or related peptides. Warnings and Precautions: Somatuline may reduce gallbladder motility and lead to gallstone formation. Periodic monitoring may be needed.</w:t>
        <w:br/>
        <w:br/>
        <w:t>Patients may experience hypoglycemia or hyperglycemia. Glucose level monitoring is recommended and antidiabetic treatment adjusted accordingly.</w:t>
        <w:br/>
        <w:br/>
        <w:t>Somatuline may decrease heart rate. In patients treated for GEP-NETs, the incidence of heart rate &lt; 60 bpm was 23% with Somatuline vs 16% with placebo. Incidence of heart rate &lt; 50 bpm or bradycardia was 1% in each group.</w:t>
        <w:br/>
        <w:br/>
        <w:t>Somatuline may decrease bioavailability of cyclosporine. Cyclosporine dose may need to be adjusted. Adverse Reactions: In the GEP-NET pivotal trial, the most common adverse reactions (incidence &gt;10% and more common than placebo) in patients treated with Somatuline(R) Depot(R) vs placebo were abdominal pain (34% vs 24%), musculoskeletal pain (19% vs 13%), vomiting (19% vs 9%), headache (16% vs 11%), injection site reaction (15% vs 7%), hyperglycemia (14% vs 5%), hypertension (14% vs 5%), and cholelithiasis (14% vs 7%).</w:t>
        <w:br/>
        <w:br/>
        <w:t>You may report suspected adverse reactions to FDA at 1-800-FDA-1088 or to Ipsen Biopharmaceuticals, Inc. at 1-888-980-2889.</w:t>
        <w:br/>
        <w:br/>
        <w:t>Keywords for this news article include: Cancer, Therapy, Oncology, Pancreas, Placebos, FDA Actions, Gastroenterology, Disease Attributes, Disease Progression, Pathologic Processes, Clinical Trials and Studies, Ipsen Biopharmaceuticals Inc., Government Agencies Offices and Entities.</w:t>
        <w:br/>
        <w:br/>
        <w:t>Our reports deliver fact-based news of research and discoveries from around the world. Copyright 2015, NewsRx LLC</w:t>
      </w:r>
    </w:p>
    <w:p>
      <w:pPr>
        <w:pStyle w:val="Heading1"/>
      </w:pPr>
      <w:r>
        <w:t>End of Article 18</w:t>
      </w:r>
    </w:p>
    <w:p>
      <w:r>
        <w:br w:type="page"/>
      </w:r>
    </w:p>
    <w:p>
      <w:pPr>
        <w:pStyle w:val="Heading1"/>
      </w:pPr>
      <w:r>
        <w:t>Start of Article 19</w:t>
      </w:r>
    </w:p>
    <w:p>
      <w:pPr>
        <w:pStyle w:val="Heading1"/>
      </w:pPr>
      <w:r>
        <w:t>Document ID CHPR000020151105ebat0000n</w:t>
      </w:r>
    </w:p>
    <w:p>
      <w:r>
        <w:t>Website: http://www.marketwired.com</w:t>
      </w:r>
    </w:p>
    <w:p>
      <w:pPr>
        <w:pStyle w:val="Heading1"/>
      </w:pPr>
      <w:r>
        <w:t>End of Article 19</w:t>
      </w:r>
    </w:p>
    <w:p>
      <w:r>
        <w:br w:type="page"/>
      </w:r>
    </w:p>
    <w:p>
      <w:pPr>
        <w:pStyle w:val="Heading1"/>
      </w:pPr>
      <w:r>
        <w:t>Start of Article 20</w:t>
      </w:r>
    </w:p>
    <w:p>
      <w:pPr>
        <w:pStyle w:val="Heading1"/>
      </w:pPr>
      <w:r>
        <w:t>Document ID THWEEK0020150707eb770005l</w:t>
      </w:r>
    </w:p>
    <w:p>
      <w:r>
        <w:t>COPENHAGEN, Denmark - July 7, 2015 - Bavarian Nordic A/S (OMX: BAVA, OTC: BVNRY) today announced that the Biomedical Advanced Research and Development Authority (BARDA), a division of the U.S. Department of Health &amp; Human Services, has ordered a bulk supply of IMVAMUNE® non-replicating smallpox vaccine, valued at USD 133 million.</w:t>
        <w:br/>
        <w:br/>
        <w:t>Under this new order, which is an extension of an existing contract, Bavarian Nordic will manufacture and store a bulk supply of IMVAMUNE. This bulk material could be converted into freeze-dried IMVAMUNE at a later date, once the freeze-drying manufacturing process has been transferred to a commercial line, and is approved by the U.S. authorities.</w:t>
        <w:br/>
        <w:br/>
        <w:t>"This order was made possible by previous BARDA funding, which allowed us to identify a new process to extend the shelf-life of the bulk vaccine. This process now offers greater flexibility for stockpiling our vaccines by Governments. The bulk supply could represent the initial transition to a freeze-dried formulation of IMVAMUNE, once an Emergency Use Authorization has been granted," said Paul Chaplin, President &amp; Chief Executive Officer of Bavarian Nordic. "Our successful decade-long partnership with BARDA paves the way for improved public health preparedness, ensuring all Americans are protected from smallpox, including those people with compromised immune systems and skin disorders like eczema."</w:t>
        <w:br/>
        <w:br/>
        <w:t>The freeze-dried version of IMVAMUNE is expected to reduce the life cycle management costs based on a longer shelf life and will replace the liquid-frozen version that is currently stockpiled in the U.S. Strategic National Stockpile (SNS). The freeze-dried version is well positioned to fulfill the U.S. Government's long-term requirements for sufficient non-replicating smallpox vaccine to protect 66 million Americans, comprising those for whom a replicating smallpox vaccine is not recommended and their household contacts.</w:t>
        <w:br/>
        <w:br/>
        <w:t>Bavarian Nordic recently reported positive results from a pivotal Phase 2 study, which demonstrated that the freeze-dried and the liquid-frozen versions of the vaccine induced an equivalent immune response in people. With the clinical development now completed, the only outstanding activity to support the stockpiling of this next-generation of the vaccine by the U.S government is the finalization of the transfer of the manufacturing process, which is expected by the end of the year.</w:t>
        <w:br/>
        <w:br/>
        <w:t>This bulk vaccine order will be produced and revenue recognized in 2016 and into 2017, and thus does not affect the Company's expectations for the financial results for 2015.</w:t>
        <w:br/>
        <w:br/>
        <w:t>Contacts</w:t>
        <w:br/>
        <w:br/>
        <w:t>Seth LewisVice President Investor Relations (US)Tel: +1 978 341 5271</w:t>
        <w:br/>
        <w:br/>
        <w:t>Federal funding acknowledgmentsProcurement and development of IMVAMUNE has been funded in whole or in part with Federal funds from the Office of the Assistant Secretary for Preparedness and Response, Biomedical Advanced Research and Development Authority, under Contract No. HHSO100200700034C.</w:t>
        <w:br/>
        <w:br/>
        <w:t>The development of a freeze-dried formulation of IMVAMUNE has been funded in whole or in part with Federal funds from the Office of the Assistant Secretary for Preparedness and Response, Biomedical Advanced Research and Development Authority, under Contract No. HHSO100201000011C.</w:t>
        <w:br/>
        <w:br/>
        <w:t>About Bavarian NordicBavarian Nordic is a biopharmaceutical company focused on the development and manufacturing of cancer immunotherapies and vaccines for infectious diseases. Through a long-standing collaboration with the U.S. Government, Bavarian Nordic has developed a portfolio of biological countermeasures, including the non-replicating smallpox vaccine, IMVAMUNE®, which is stockpiled for emergency use by the U.S. and other governments. The vaccine is approved in the EU (under the trade name IMVANEX®) and in Canada. Bavarian Nordic and its partner Janssen are pioneering the development of an Ebola vaccine, which has been fast-tracked by authorities in response to the current situation in West Africa. Additionally, in collaboration with the National Cancer Institute, Bavarian Nordic has developed a portfolio of active cancer immunotherapies based on its versatile pox-virus based technologies, including PROSTVAC®, which is currently in Phase 3 clinical development for the treatment of advanced prostate cancer. The company has partnered with Bristol-Myers Squibb for the potential commercialization of PROSTVAC. For more information visit www.bavarian-nordic.com or follow us on Twitter @bavariannordic.</w:t>
        <w:br/>
        <w:br/>
        <w:t>Forward-looking statements This announcement includes forward-looking statements that involve risks, uncertainties and other factors, many of which are outside of our control that could cause actual results to differ materially from the results discussed in the forward-looking statements. Forward-looking statements include statements concerning our plans, objectives, goals, future events, performance and/or other information that is not historical information. We undertake no obligation to publicly update or revise forward-looking statements to reflect subsequent events or circumstances after the date made, except as required by law.</w:t>
        <w:br/>
        <w:br/>
        <w:t>HUG#1934614</w:t>
        <w:br/>
        <w:br/>
        <w:t>For the original version on GlobeNewswire visit: http://globenewswire.com/news-release/2015/07/07/750072/0/en/Bavarian-Nordic-Receives-Order-for-IMVAMUNE-Smallpox-Vaccine-from-the-U-S-Government-Valued-at-USD-133-Million.html</w:t>
      </w:r>
    </w:p>
    <w:p>
      <w:pPr>
        <w:pStyle w:val="Heading1"/>
      </w:pPr>
      <w:r>
        <w:t>End of Article 20</w:t>
      </w:r>
    </w:p>
    <w:p>
      <w:r>
        <w:br w:type="page"/>
      </w:r>
    </w:p>
    <w:p>
      <w:pPr>
        <w:pStyle w:val="Heading1"/>
      </w:pPr>
      <w:r>
        <w:t>Start of Article 21</w:t>
      </w:r>
    </w:p>
    <w:p>
      <w:pPr>
        <w:pStyle w:val="Heading1"/>
      </w:pPr>
      <w:r>
        <w:t>Document ID J000000020150808eb8800015</w:t>
      </w:r>
    </w:p>
    <w:p>
      <w:r>
        <w:t>But how can mere expectations change the brain's response to pain? Over the past decade, research in many labs has revealed the central role played in this process by opioids and cannabinoids -- chemicals routinely produced by our own brains. This evolutionary development goes back at least 450 million years to bony fish.</w:t>
        <w:br/>
        <w:br/>
        <w:t>Structurally, these homegrown opioids resemble the opium derived from poppies, and homegrown cannabinoids resemble marijuana-derived cannabis. Both have docking sites on specific nerve cells, fitting as a key would into a lock. Through these receptors, the molecules change the way a nerve cell behaves -- and hence how we feel.</w:t>
        <w:br/>
        <w:br/>
        <w:t>Humans and other animals can get high from opium and its derivatives only because brains are normally wired with receptors for brain-generated opioids. If it weren't for our cannabinoid receptors, smoking pot would be like smoking oregano. Counterbalancing the advantages of our brain-generated opioids and cannabinoids is the grim fact that our receptors allow for addiction to external sources, such as heroin and cannabis.</w:t>
        <w:br/>
        <w:br/>
        <w:t>The opioids and cannabinoids we make act very similarly to morphine when it comes to dulling pain transmitted by pain-sensitive neurons. Imaging studies show that when a person's pain ebbs, the pattern of brain changes is much the same whether it happens in response to a genuine analgesic such as morphine or to a placebo treatment. In both cases, multiple brain networks are affected, including structures known to regulate stress, fear, learning based on rewards and how we experience pain.</w:t>
        <w:br/>
        <w:br/>
        <w:t>Placebos trigger the release of these chemicals under two conditions. One involves a social situation, such as reassurances from an admired or trusted physician. A subject expects a beneficial effect because of his deep-seated beliefs, his feelings and social attitudes. Just nibbling on snap beans with the hope of reducing joint pain is unlikely to do the trick.</w:t>
        <w:br/>
        <w:br/>
        <w:t>Alternatively, a patient whose pain is diminished by morphine may, after repeated morphine injections, respond equally well to a placebo injection. This is called experience-dependent learning. In this case, the brain's reward system has learned to expect pain reduction following an injection, and that expectation drives down the brain activities that sustain pain. Rats and dogs likewise have been found to display a placebo response that depends on such associations.</w:t>
        <w:br/>
        <w:br/>
        <w:t>But we still don't understand well the precise mechanisms that produce an uptick in homegrown opioid and cannabinoid action in anticipation of a therapeutic benefit. And not everyone responds to placebos.</w:t>
        <w:br/>
        <w:br/>
        <w:t>Why not? In a 2013 paper in the journal Neuropsychoparmacology, Marta Pecina and Jon-Kar Zubieta at the University of Michigan and colleagues showed that people who have demonstrated physiological and psychological resilience in the face of stress, disease and injury also tend to respond well to placebos. A follow-up study by the researchers pointed to genetic factors. About half the population carries a genetic variant that results in more cannabinoids lingering in the body. But genes probably only partly explain the heightened effect of placebos.</w:t>
        <w:br/>
        <w:br/>
        <w:t>So yes, a patient's placebo response is entirely in his head: He has a brain wired to exploit its own chemical helpers when it creates them in eager anticipation of relief.</w:t>
        <w:br/>
        <w:br/>
        <w:t>License this article from Dow Jones Reprint Service</w:t>
      </w:r>
    </w:p>
    <w:p>
      <w:pPr>
        <w:pStyle w:val="Heading1"/>
      </w:pPr>
      <w:r>
        <w:t>End of Article 21</w:t>
      </w:r>
    </w:p>
    <w:p>
      <w:r>
        <w:br w:type="page"/>
      </w:r>
    </w:p>
    <w:p>
      <w:pPr>
        <w:pStyle w:val="Heading1"/>
      </w:pPr>
      <w:r>
        <w:t>Start of Article 22</w:t>
      </w:r>
    </w:p>
    <w:p>
      <w:pPr>
        <w:pStyle w:val="Heading1"/>
      </w:pPr>
      <w:r>
        <w:t>Document ID THEBUGLE20151210ebc80001g</w:t>
      </w:r>
    </w:p>
    <w:p>
      <w:r>
        <w:t>"Influenza can be a serious upper respiratory disease that can lead to hospitalization and death for some," Will County Health Department Executive Director John Cicero said in a news release. "The best way to protect yourself against the flu is an annual flu shot."</w:t>
        <w:br/>
        <w:br/>
        <w:t>The department said the influenza vaccine is recommended for virtually everyone six months of age and older. The vaccine is especially important for pregnant women, young children, seniors and anyone with underlying health conditions such as asthma, diabetes or a weakened immune system.</w:t>
        <w:br/>
        <w:br/>
        <w:t>Because flu viruses constantly change, the department added that an annual dose of vaccine is highly recommended.</w:t>
        <w:br/>
        <w:br/>
        <w:t>"Flu vaccine can significantly reduce the risk of disease complications like pneumonia," Cicero said. "Several vaccine options are available. Flu activity usually increases soon after the holiday season, so receiving vaccine protection now will boost your immunity during the weeks and months to come."</w:t>
        <w:br/>
        <w:br/>
        <w:t>People with the flu can spread it to others through coughing, sneezing and talking. Flu may also be spread when people touch surfaces contaminated by virus droplets.</w:t>
        <w:br/>
        <w:br/>
        <w:t>Flu symptoms include fever, cough, sore throat, runny or stuffy nose, body aches, headache, chills and fatigue. To minimize the risk of flu transmission, the department recommends washing hands frequently and avoiding close contact with sick people.</w:t>
        <w:br/>
        <w:br/>
        <w:t>Additionally, individuals should avoid touching their eyes, nose or mouth, which can spread viruses and bacteria. Covering mouths when coughing or sneezing also reduces the risk of transmitting flu.</w:t>
        <w:br/>
        <w:br/>
        <w:t>For information about immunization services provided by the Will County Health Department, call 815-740-8143 or visit www.willcountyhealth.org.</w:t>
      </w:r>
    </w:p>
    <w:p>
      <w:pPr>
        <w:pStyle w:val="Heading1"/>
      </w:pPr>
      <w:r>
        <w:t>End of Article 22</w:t>
      </w:r>
    </w:p>
    <w:p>
      <w:r>
        <w:br w:type="page"/>
      </w:r>
    </w:p>
    <w:p>
      <w:pPr>
        <w:pStyle w:val="Heading1"/>
      </w:pPr>
      <w:r>
        <w:t>Start of Article 23</w:t>
      </w:r>
    </w:p>
    <w:p>
      <w:pPr>
        <w:pStyle w:val="Heading1"/>
      </w:pPr>
      <w:r>
        <w:t>Document ID MPRMPR0020150903eb9200006</w:t>
      </w:r>
    </w:p>
    <w:p>
      <w:r>
        <w:t>The updated label includes data from the GO-FURTHER trial, a randomized, multicenter, double-blind, placebo-controlled study of 592 adults with RA who were assigned to receive IV placebo or Simponi Aria 2mg/kg infusions at Week 0, Week 4, Week 12, and Week 20. All patients continued stable oral methotrexate (15–25mg per week). Patient-reported outcomes in the Medical Outcomes Study Short Form-36 questionnaire (SF-36) showed that patients receiving Simponi Aria plus methotrexate demonstrated greater improvement from baseline compared with placebo and methotrexate in all areas of SF-36 at Weeks 12, 16 and 24 (physical component summary [PCS] scores and mental component summary [MCS] scores).</w:t>
        <w:br/>
        <w:br/>
        <w:t xml:space="preserve">RELATED: Weekly Leflunomide Appears Effective for Early RA  </w:t>
        <w:br/>
        <w:br/>
        <w:t>Simponi Aria is indicated for the treatment of moderately to severely active RA and is the only intravenous anti-tumor necrosis factor (TNF)-alpha administered as a 30-minute infusion. Phase 3 studies are ongoing to seek approval for additional indications for Simponi Aria.</w:t>
        <w:br/>
        <w:br/>
        <w:t>For more information call (800) 526-7736 or visit SimponiAria.com .</w:t>
      </w:r>
    </w:p>
    <w:p>
      <w:pPr>
        <w:pStyle w:val="Heading1"/>
      </w:pPr>
      <w:r>
        <w:t>End of Article 23</w:t>
      </w:r>
    </w:p>
    <w:p>
      <w:r>
        <w:br w:type="page"/>
      </w:r>
    </w:p>
    <w:p>
      <w:pPr>
        <w:pStyle w:val="Heading1"/>
      </w:pPr>
      <w:r>
        <w:t>Start of Article 24</w:t>
      </w:r>
    </w:p>
    <w:p>
      <w:pPr>
        <w:pStyle w:val="Heading1"/>
      </w:pPr>
      <w:r>
        <w:t>Document ID CHPR000020150129eb1q0000e</w:t>
      </w:r>
    </w:p>
    <w:p>
      <w:r>
        <w:t xml:space="preserve"> This pump is specific to its treatment and is designed to be used in the intensive care unit under the direction of the intensive care doctor and nurse. A 510K submission is targeted by the end-1H 2015. A total of 322 patients have been randomized into the EUPHRATES trial. The composite mortality rate of randomized patients in the trial since implementation of the exclusion criterion has risen significantly, which trend continues to suggest a strong clinical indication and that those patients most likely to benefit from the treatment are being properly identified and randomized into the trial. Statistical modelling suggests a much smaller sample size than previously anticipated to reach a statistically significant outcome. If directed by the Data Safety Monitoring Board and approved by the FDA, the company would anticipate that an interim analysis with stopping rules for safety and efficacy could occur before end-2015. Meanwhile, the company expects to close the second $5 M tranche of its financing in 2Q 2015 and are confident that it should have access to adequate funds to implement its commercialization initiatives. Original Source: Spectral Medical Inc, 2015. Found on website: http://www.marketwired.com.</w:t>
        <w:br/>
        <w:br/>
        <w:t>Marketwired</w:t>
        <w:br/>
        <w:br/>
        <w:t>Website: http://marketwired.com</w:t>
      </w:r>
    </w:p>
    <w:p>
      <w:pPr>
        <w:pStyle w:val="Heading1"/>
      </w:pPr>
      <w:r>
        <w:t>End of Article 24</w:t>
      </w:r>
    </w:p>
    <w:p>
      <w:r>
        <w:br w:type="page"/>
      </w:r>
    </w:p>
    <w:p>
      <w:pPr>
        <w:pStyle w:val="Heading1"/>
      </w:pPr>
      <w:r>
        <w:t>Start of Article 25</w:t>
      </w:r>
    </w:p>
    <w:p>
      <w:pPr>
        <w:pStyle w:val="Heading1"/>
      </w:pPr>
      <w:r>
        <w:t>Document ID CTRW000020150619eb6m000g9</w:t>
      </w:r>
    </w:p>
    <w:p>
      <w:r>
        <w:t>The news reporters obtained a quote from the research from Weill Cornell Medical College, "We developed an image-processing algorithm for the detection and quantification of lung comets. Quantification measures included comet number (comet count) and the fraction of the ultrasound beams with comet findings (comet fraction). We used this algorithm in a pilot study in 20 stable dialysis outpatients to identify associations between ultrasound comets and clinical parameters including blood pressure (BP), percent blood volume reduction on dialysis (%BV), ejection fraction (EF), and ultrafiltration on dialysis (UF). Positive findings included associations with lung comet measurements with pre-dialysis Diastolic BP (r = 0.534, p = 0.015), subject age (r = -0.446, p = 0.049), and a combination of EF and end dialysis %BV reduction (r = -0.585, p = 0.028). Comet fraction and comet count were closely correlated due to the inherent relationship between these two metrics (r = 0.973, p&lt; 0.001). Negative findings included ultrasound comets that did not change from beginning to end of dialysis (p = 0.756), and were not significantly correlated with single dialysis treatment UF (p = 0.522), subject body weight (p = 0.208), or BMI (p = 0.358). Ultrasound signal processing methods may help quantify lung ultrasound comets."</w:t>
        <w:br/>
        <w:br/>
        <w:t>According to the news reporters, the research concluded: "Additional findings include algorithmic lung comet measurement that did not change significantly during single dialysis sessions in these stable outpatients, but were associated with cardiovascular and fluid status parameters."</w:t>
        <w:br/>
        <w:br/>
        <w:t>For more information on this research see: Quantitative Lung Ultrasound Comet Measurement: Method and Initial Clinical Results. Blood Purification, 2015;39(1-3):37-44. Blood Purification can be contacted at: Karger, Allschwilerstrasse 10, Ch-4009 Basel, Switzerland. (Karger - www.karger.com/; Blood Purification -</w:t>
        <w:br/>
        <w:br/>
        <w:t>content.karger.com/ProdukteDB/produkte.asp?Aktion=JournalHome&amp;ProduktNr=223997)</w:t>
        <w:br/>
        <w:br/>
        <w:t>Our news correspondents report that additional information may be obtained by contacting W.F. Weitzel, Weill Cornell Med College, Dept. of Radiol, New York, NY, United States. Additional authors for this research include J. Hamilton, X.L. Wang, J.L. Bull, A. Vollmer, A. Bowman, J. Rubin, G.H. Kruger, J. Gao, M. Heung and P. Rao.</w:t>
        <w:br/>
        <w:br/>
        <w:t>Keywords for this news article include: New York City, United States, Clinical Trial Research, North and Central America</w:t>
        <w:br/>
        <w:br/>
        <w:t>Our reports deliver fact-based news of research and discoveries from around the world. Copyright 2015, NewsRx LLC</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4436C3D-90D9-4751-AB75-2963C7BD5A9B}"/>
</file>

<file path=customXml/itemProps3.xml><?xml version="1.0" encoding="utf-8"?>
<ds:datastoreItem xmlns:ds="http://schemas.openxmlformats.org/officeDocument/2006/customXml" ds:itemID="{63080EE5-FA24-47ED-BD75-4735B1630B59}"/>
</file>

<file path=customXml/itemProps4.xml><?xml version="1.0" encoding="utf-8"?>
<ds:datastoreItem xmlns:ds="http://schemas.openxmlformats.org/officeDocument/2006/customXml" ds:itemID="{AF0947FE-941C-41B2-89D9-E3A07956B40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