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LFSW000020150130eb23001n2</w:t>
      </w:r>
    </w:p>
    <w:p>
      <w:r>
        <w:t>According to the news editors, the research concluded: "In this work, we review some of the recent findings about OMVs produced by specific pathogenic bacterial species."</w:t>
        <w:br/>
        <w:br/>
        <w:t>For more information on this research see: Roles of bacterial membrane vesicles. Archives of Microbiology, 2015;197(1):1-10. Archives of Microbiology can be contacted at: Springer, 233 Spring St, New York, NY 10013, USA. (Springer - www.springer.com; Archives of Microbiology - www.springerlink.com/content/0302-8933/)</w:t>
        <w:br/>
        <w:br/>
        <w:t>The news correspondents report that additional information may be obtained from E.D. Avila-Calderon, Virginia Technical, Center Mol Med &amp; Infect Dis, Virginia Maryland Reg Coll Vet Med, Blacksburg, VA 24061, United States. Additional authors for this research include M.G. Araiza-Villanueva, J.C. Cancino-Diaz, E.O. Lopez-Villegas, N. Sriranganathan, S.M. Boyle and A. Contreras-Rodriguez.</w:t>
        <w:br/>
        <w:br/>
        <w:t>Keywords for this news article include: Virginia, Blacksburg, Immunization, United States, Bacterial Vaccines, Biological Products, North and Central America</w:t>
        <w:br/>
        <w:br/>
        <w:t>Our reports deliver fact-based news of research and discoveries from around the world. Copyright 2015, NewsRx LLC</w:t>
      </w:r>
    </w:p>
    <w:p>
      <w:pPr>
        <w:pStyle w:val="Heading1"/>
      </w:pPr>
      <w:r>
        <w:t>End of Article 1</w:t>
      </w:r>
    </w:p>
    <w:p>
      <w:r>
        <w:br w:type="page"/>
      </w:r>
    </w:p>
    <w:p>
      <w:pPr>
        <w:pStyle w:val="Heading1"/>
      </w:pPr>
      <w:r>
        <w:t>Start of Article 2</w:t>
      </w:r>
    </w:p>
    <w:p>
      <w:pPr>
        <w:pStyle w:val="Heading1"/>
      </w:pPr>
      <w:r>
        <w:t>Document ID BHLD000020151023eban0003h</w:t>
      </w:r>
    </w:p>
    <w:p>
      <w:r>
        <w:t>“Pancreatic cancer is one of the most lethal forms of cancer, and survival is measured in weeks," said Robert Mulroy, president and chief executive of Merrimack. “We are thrilled to be a part of the treatment of what is a devastating disease."</w:t>
        <w:br/>
        <w:br/>
        <w:t>Charles Fuchs, director of Dana Farber's gastrointestinal cancer center, said, “This is affecting more and more Americans each year, and it is devoid of the kind of therapies we need to be effective. We need much greater progress in this disease, it's been lacking for far too long."</w:t>
        <w:br/>
        <w:br/>
        <w:t>Pancreatic cancer accounts for only 3 percent of all new cancer cases, but is the fourth most common cause of cancer deaths.</w:t>
        <w:br/>
        <w:br/>
        <w:t>Fuch said pancreatic cancer is so deadly because it is often discovered late — eliminating surgery as an option — and after tumors have formed walls of scar tissue.</w:t>
        <w:br/>
        <w:br/>
        <w:t>Merrimack designed its drug to penetrate that wall, delivering more of the drug than other treatments.</w:t>
        <w:br/>
        <w:br/>
        <w:t>A clinical trial found patients treated with the drug lived nearly 50 percent longer on average.</w:t>
        <w:br/>
        <w:br/>
        <w:t>“If we could get more drug to the tumor ... we could potentially change the course of outcomes in a very difficult disease," Mulroy said.</w:t>
        <w:br/>
        <w:br/>
        <w:t>— jordan.graham@bostonherald.com</w:t>
      </w:r>
    </w:p>
    <w:p>
      <w:pPr>
        <w:pStyle w:val="Heading1"/>
      </w:pPr>
      <w:r>
        <w:t>End of Article 2</w:t>
      </w:r>
    </w:p>
    <w:p>
      <w:r>
        <w:br w:type="page"/>
      </w:r>
    </w:p>
    <w:p>
      <w:pPr>
        <w:pStyle w:val="Heading1"/>
      </w:pPr>
      <w:r>
        <w:t>Start of Article 3</w:t>
      </w:r>
    </w:p>
    <w:p>
      <w:pPr>
        <w:pStyle w:val="Heading1"/>
      </w:pPr>
      <w:r>
        <w:t>Document ID HAMW000020150130eb26001ab</w:t>
      </w:r>
    </w:p>
    <w:p>
      <w:r>
        <w:t>RCW breast cancer is difficult to treat and has a poor prognosis with a significant impact on a patient's quality of life. Patients with highly resistant tumors found on the chest wall often see their cancer progress despite previous treatment attempts including chemotherapy, radiation therapy and hormone therapy. There are approximately 25,000 to 35,000 incidence of RCW breast cancer in the EU alone and thermal therapy is a well-accepted strategy for treating patients. Recent findings from two Phase I studies and an ongoing open label Phase II study indicate that when combined with thermal therapy, ThermoDox can demonstrate significant overall response rates and tumor control in post mastectomy, refractory patients.</w:t>
        <w:br/>
        <w:br/>
        <w:t>Early Access Programs (EAP) allow biopharmaceutical companies to provide eligible patients with ethical access to investigational medicines for unmet medical needs within the scope of the existing early access legislation. Access is provided in response to physician requests in a fully compliant manner, where no alternative treatment options are available to these patients. Celsion will provide ThermoDox(R) to centers of excellence in the EU and Switzerland through its Early Access Program with myTomorrows, at prices that are comparable to chemotherapeutics used to treat this and other aggressive form of cancer. The Company expects to have ThermoDox(R) available for the EAP in the second quarter of 2015.</w:t>
        <w:br/>
        <w:br/>
        <w:t>"We are very excited to make ThermoDox(R) available to patients with breast cancer who have few options once the tumors have progressed to the chest wall. Patients with highly resistant tumors found on the chest wall often see their cancer progress despite treatment which typically involves chemotherapy, radiation therapy and hormone therapy," stated Dr. Nicolas Borys, Celsion's Senior Vice President and Chief Medical Officer. "ThermoDox(R) coupled with mild hyperthermia therapy appears to be active in these heavily pre-treated patients with RCW breast cancer. I look forward to working with prescribing physicians and myTomorrows to bring this promising and innovative medicine to the European medical community."</w:t>
        <w:br/>
        <w:br/>
        <w:t>"Celsion is honored and proud to be part of this important Early Access Program that affects the lives of thousands of women each year. This Early Access Program emphasizes our commitment to addressing refractory RCW breast cancer and to providing patients and their physicians with early access to our promising therapeutic approach," said Michael H. Tardugno, Celsion's Chairman, President and Chief Executive Officer. "In addition to the Early Access Program, we are expanding our development efforts in this indication and plan to initiate a European-based Phase II clinical trial in RCW breast cancer patients. Our common goal is to develop and provide the most effective therapies to improve and prolong the quality of life."</w:t>
        <w:br/>
        <w:br/>
        <w:t>Keywords for this news article include: Cancer, Therapy, Hormones, Oncology, Celsion Corporation.</w:t>
        <w:br/>
        <w:br/>
        <w:t>Our reports deliver fact-based news of research and discoveries from around the world. Copyright 2015, NewsRx LLC</w:t>
      </w:r>
    </w:p>
    <w:p>
      <w:pPr>
        <w:pStyle w:val="Heading1"/>
      </w:pPr>
      <w:r>
        <w:t>End of Article 3</w:t>
      </w:r>
    </w:p>
    <w:p>
      <w:r>
        <w:br w:type="page"/>
      </w:r>
    </w:p>
    <w:p>
      <w:pPr>
        <w:pStyle w:val="Heading1"/>
      </w:pPr>
      <w:r>
        <w:t>Start of Article 4</w:t>
      </w:r>
    </w:p>
    <w:p>
      <w:pPr>
        <w:pStyle w:val="Heading1"/>
      </w:pPr>
      <w:r>
        <w:t>Document ID WSJO000020151215ebcf003s7</w:t>
      </w:r>
    </w:p>
    <w:p>
      <w:r>
        <w:t>The chain will also implement Valeant's copay-assistance program to help patients with out-of-pocket costs, according to a person familiar with the matter. Valeant had been administering its financial-assistance program through mail-order pharmacy Philidor Rx Services LLC.</w:t>
        <w:br/>
        <w:br/>
        <w:t>Valeant had been looking for a new pharmacy partner since saying in October it would cut ties with Philidor, which The Wall Street Journal reported had close ties to Valeant and employed aggressive tactics to get insurers to pay for its drugs.</w:t>
        <w:br/>
        <w:br/>
        <w:t>Analysts and investors questioned how Valeant would replace Philidor, which was involved in nearly 7% of Valeant sales and contributed to its revenue growth.</w:t>
        <w:br/>
        <w:br/>
        <w:t>In turning to Walgreens, Valeant has found a recognizable name that could help it quell the controversy over its drug-selling practices. Also, Walgreens has 8,000 pharmacies across the U.S. that promise the kind of volume-driven sales increases the drug company has been seeking.</w:t>
        <w:br/>
        <w:br/>
        <w:t>“This is going to drive growth," Valeant CEO Michael Pearson said during a CNBC interview. Valeant shares rose 16% to $109.59 Tuesday on the New York Stock Exchange.</w:t>
        <w:br/>
        <w:br/>
        <w:t>The financial impact on Valeant remains unclear. Philidor helped Valeant gain insurance payments for high-price drugs such as Solodyn acne medicine. Valeant has agreed to sell its signature skin and eye drugs through Walgreens at a 10% discount, while cutting the cost of the 30 other branded drugs that face generic competition by an average of 50%.</w:t>
        <w:br/>
        <w:br/>
        <w:t>Also, Valeant will distribute the drugs directly to Walgreens instead of through a middleman, and pay Walgreens fees for filling prescriptions.</w:t>
        <w:br/>
        <w:br/>
        <w:t>Meantime, Walgreens benefits from Valeant's many skin-drug patients going to the chain's pharmacies, which can then try to cross-sell high-end shampoos and cosmetics to the often young, affluent patients as they wait for prescriptions.</w:t>
        <w:br/>
        <w:br/>
        <w:t>Valeant sales representatives will encourage doctors to steer patients to Walgreens, where they can get copay assistance from Valeant, according to the person familiar with the matter.</w:t>
        <w:br/>
        <w:br/>
        <w:t>“Walgreens is always looking for ways to expand the products and services people want and need, and our agreement with Valeant advances our commitment to creating a patient-led pharmacy experience," said Walgreen Co. President Alex Gourlay. “In addition to promoting pharmacist-patient interactions to improve care and medication adherence, this agreement creates a new direct distribution model that we believe will help increase efficiency."</w:t>
        <w:br/>
        <w:br/>
        <w:t>Walgreens will start selling Valeant skin and eye drugs in the first quarter of next year, while sales of the 30-plus other drugs are expected to begin in the second half of the year.</w:t>
        <w:br/>
        <w:br/>
        <w:t>The arrangement is the latest change in the business of Canada-based Valeant, which had been a highflier by acquiring other drug companies and drugs it considered undervalued and raising prices of the medicines, as opposed to the traditional pharmaceutical-industry growth method of discovering new drugs through research and development.</w:t>
        <w:br/>
        <w:br/>
        <w:t>Since the summer, Valeant has faced questions about its drug pricing, business practices, and accounting and disclosures, driving down its share price.</w:t>
        <w:br/>
        <w:br/>
        <w:t>The company has since said it aims to do fewer deals designed to take advantage of underpriced drugs, and that its revenue growth is driven as much by sales volume as price increases.</w:t>
        <w:br/>
        <w:br/>
        <w:t>Valeant has also established a board committee to look into allegations surrounding its relationship with Philidor. The Pennsylvania-based pharmacy used aggressive tactics to make sure insurers paid for Valeant's often-more-expensive drugs, according to former employees and documents, such as using the identification number of a different pharmacy to secure payment if an insurer balked—a practice pharmacy industry officials called unusual.</w:t>
        <w:br/>
        <w:br/>
        <w:t>Valeant has said it used pharmacies like Philidor “to improve patients' access to medications at an affordable price, and to help ensure doctors are able to prescribe the medications they believe are most appropriate for their patients."</w:t>
        <w:br/>
        <w:br/>
        <w:t>Valeant didn't discuss its relationship to Philidor until after journalists and investors started raising questions about it this fall. Its ties to Philidor had some features that even the company admitted were unusual—like the fact that it spent $100 million on its option to buy Philidor, and could then complete the acquisition without any further base payment. Valeant employees working at Philidor used fictitious names in emails such as Peter Parker,</w:t>
        <w:br/>
        <w:br/>
        <w:t>Philidor is expected to shut down by the end of January. The pharmacy has said in statements that it “will ensure that patients receive the highest level of service during the orderly wind-down of operations."</w:t>
        <w:br/>
        <w:br/>
        <w:t>David Benoit and George Stahl contributed to this article.</w:t>
        <w:br/>
        <w:br/>
        <w:t>Write to Jonathan D. Rockoff at Jonathan.Rockoff@wsj.com</w:t>
      </w:r>
    </w:p>
    <w:p>
      <w:pPr>
        <w:pStyle w:val="Heading1"/>
      </w:pPr>
      <w:r>
        <w:t>End of Article 4</w:t>
      </w:r>
    </w:p>
    <w:p>
      <w:r>
        <w:br w:type="page"/>
      </w:r>
    </w:p>
    <w:p>
      <w:pPr>
        <w:pStyle w:val="Heading1"/>
      </w:pPr>
      <w:r>
        <w:t>Start of Article 5</w:t>
      </w:r>
    </w:p>
    <w:p>
      <w:pPr>
        <w:pStyle w:val="Heading1"/>
      </w:pPr>
      <w:r>
        <w:t>Document ID PZON000020150917eb9h0002q</w:t>
      </w:r>
    </w:p>
    <w:p>
      <w:r>
        <w:t>Using a combination of proprietary technology and a unique manufacturing process, QSpex fabricates premium prescription eyewear in hours versus days or weeks. This process, coupled with the company's QSpex Concierge and fast-traQ(TM) dispensing and delivery service distinguishes QSpex from the traditional optical value chain.</w:t>
        <w:br/>
        <w:br/>
        <w:t>The company also announced expanded product offerings with the introduction of QSpex blu-bloQ(TM), a proprietary monomer formulation that almost completely removes the high energy visible (HEV) portion of the light spectrum, significantly reducing exposure of the eye to this potentially damaging light source. This exposure is commonly found in computer screens, mobile devices and flat screen television screens and is believed to contribute to early onset macular degeneration and the disruption of sleep patterns.</w:t>
        <w:br/>
        <w:br/>
        <w:t>These offerings, along with the entire QSpex catalog of single vision, progressive, anti-reflective, polarized lenses, are now available in New York City through QSpex Authorized Retailers. Starting this month, eyecare providers in the New York City metropolitan area will have the opportunity to offer patients QSpex's premium product lineup and unique, same-day QSpex Concierge and fast-traQ(TM) delivery services.</w:t>
        <w:br/>
        <w:br/>
        <w:t>"This is an exciting time for QSpex," said Brett Craig, President and Chief Executive Officer, QSpex Technologies. "Eyecare practitioners in New York City now have the option of offering their customers personalized, same-day Concierge delivery of QSpex eyewear to the location of their choice. Reactions to our product and delivery model have been enthusiastic and consistently positive, and we look forward to enhancing the QSpex experience as we expand in New York and across major U.S. and overseas markets in the next year."</w:t>
        <w:br/>
        <w:br/>
        <w:t>"QSpex is committed to manufacturing optical lenses that surpass expectations and outperform competitive products," said Jack White, Vice President, Engineering, QSpex Technologies. "The surface integrity generated by our Touchless Transfer(TM) technology is unmatched, and contributes to the performance of our blu-bloQ(TM) product and entire line of premium prescription optical lenses. The QSpex blu-bloQ(TM) solution is unique in that it is bonded within the monomer itself as opposed to a coating that may degrade over time."</w:t>
        <w:br/>
        <w:br/>
        <w:t>Advertising and Marketing Campaign</w:t>
        <w:br/>
        <w:br/>
        <w:t>QSpex is kicking off their presence in the New York City market with an extensive consumer advertising and social media campaign. Using the tagline "Glasses Same Day. Delivered Your Way.," QSpex advertising will be seen throughout Manhattan on billboards, subways and digital kiosks. Focusing on the unique QSpex Concierge delivery service, advertising will feature black and white backgrounds highlighted by purple chairs, benches and stadium seats -- underscoring how QSpex is ready to deliver to consumers' location of choice. All communications will include a call to action for consumers to visit www.QSpexNYC.com, a microsite that will provide locations for QSpex Authorized Retailers.</w:t>
        <w:br/>
        <w:br/>
        <w:t>"New Yorkers don't like to compromise on quality or service, and have always been on the cutting edge of new technology and delivery models," added Craig. "People that have grown accustomed to ordering meals through Seamless and cars through Uber can now have eyewear delivered and dispensed by a QSpex licensed optician to the location of their choice. Our high-speed manufacturing process can now deliver finished eyewear in a matter of hours as compared to days or weeks with traditional methods. We look forward to bringing this level of superior service and quality to additional markets in 2016."</w:t>
        <w:br/>
        <w:br/>
        <w:t>The QSpex Experience</w:t>
        <w:br/>
        <w:br/>
        <w:t>To order QSpex eyewear, consumers can now visit more than 100 QSpex Authorized Retailers in the tri-state area. The eyecare provider then sends the consumer's frames to the QSpex Optical Service Center, where lenses fitting the desired prescription, are coated and finished using QSpex proprietary technology. The finished eyewear is then dispatched directly to the consumer's location of choice via the QSpex fleet of branded vehicles where a QSpex licensed optician performs final measurements and makes any necessary adjustments. The entire process is completed in a matter of hours, compared to wait times of up to two weeks with older processes that required lenses to be ground in out-of-state labs and coatings that take days for proper application.</w:t>
        <w:br/>
        <w:br/>
        <w:t>National Expansion</w:t>
        <w:br/>
        <w:br/>
        <w:t>With the official opening of QSpex's New York City Optical Service Center, the company is looking ahead to additional expansion in 2016. Current plans call for the opening of Optical Service Centers in 12 major U.S. markets and select European markets beginning in January. These markets will create a national QSpex presence that we expect to grow exponentially in the years to come.</w:t>
        <w:br/>
        <w:br/>
        <w:t>ABOUT QSPEX</w:t>
        <w:br/>
        <w:br/>
        <w:t>QSpex's mission is to offer consumers premium prescription eyewear with same-day, delivery and dispensing at locations of choice; while giving eye care providers the unique capability to increase patient satisfaction through the quality of the lens and lens treatments, and providing delivery on the same day the eye exam is performed. QSpex was founded in 2007 based on proprietary technology created by Dr. Kai Su, Founder and Chief Science Officer. Dr. Su, an industry technology veteran, served as the Executive Vice President and Head of Research for CIBA Vision's Advanced Technology Division and has invented over 100 vision care patents. Brett Craig, the President and CEO since 2013, has over 15 years of experience in the eye care industry, including his previous role as the President and Chief Operating Officer of Transitions Optical. He is responsible for redirecting the strategy and operations of the Company. For more information about QSpex, please visit us online at www.qspex.com.</w:t>
        <w:br/>
        <w:br/>
        <w:br/>
        <w:t xml:space="preserve">CONTACT: Michael Goodwin </w:t>
        <w:br/>
        <w:t xml:space="preserve">         Makovsky Integrated Communications </w:t>
        <w:br/>
        <w:t xml:space="preserve">         212-508-9639 </w:t>
        <w:br/>
        <w:t xml:space="preserve">         mgoodwin@makovsky.com </w:t>
      </w:r>
    </w:p>
    <w:p>
      <w:pPr>
        <w:pStyle w:val="Heading1"/>
      </w:pPr>
      <w:r>
        <w:t>End of Article 5</w:t>
      </w:r>
    </w:p>
    <w:p>
      <w:r>
        <w:br w:type="page"/>
      </w:r>
    </w:p>
    <w:p>
      <w:pPr>
        <w:pStyle w:val="Heading1"/>
      </w:pPr>
      <w:r>
        <w:t>Start of Article 6</w:t>
      </w:r>
    </w:p>
    <w:p>
      <w:pPr>
        <w:pStyle w:val="Heading1"/>
      </w:pPr>
      <w:r>
        <w:t>Document ID HAMW000020150529eb65001p3</w:t>
      </w:r>
    </w:p>
    <w:p>
      <w:r>
        <w:t>In the randomized, double-blind, parallel-group, multi-center trial, efficacy of the new therapeutic agent was tested. Treatment with "SB010" over 28 days significantly improved lung function after specific allergen challenge as compared to placebo. "SB010" furthermore proved to be safe and well tolerated. The results of this study were presented during this year's International Conference of the American Thoracic Society in Denver, USA.</w:t>
        <w:br/>
        <w:br/>
        <w:t>"Recent research indicates that approximately 50 percent of all asthmatics suffer from allergic asthma. This type of asthma is Th2-driven across all levels of disease severity. Therefore, developing novel therapeutics specifically for this group of patients holds great promise, in particular of drugs for inhaled delivery. Further clinical trials with 'SB010' in a larger cohort of asthmatics are thus warranted," explains Krug. View source version on businesswire.com: http://www.businesswire.com/news/home/20150517005025/en/</w:t>
        <w:br/>
        <w:br/>
        <w:t>Keywords for this news article include: Asthma, Therapy, Fraunhofer ITEM, Bronchial Diseases, Immune System Diseases, Obstructive Lung Diseases, Respiratory Tract Diseases, Clinical Trials and Studies, Respiratory Hypersensitivity.</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ATPHAB0020150415eb4f0005n</w:t>
      </w:r>
    </w:p>
    <w:p>
      <w:r>
        <w:t>The approved product is bioequivalent and therapeutically equivalent to the reference listed drug product (RLD) suprax oral suspension USP 100mg/5ml and 200mg/5m respectively of Lupin Pharmaceuticals Inc.</w:t>
        <w:br/>
        <w:br/>
        <w:t>Cefixime for oral suspension is indicated for the treatment of adults and paediatric patients six months of age or older, with infections caused by susceptible strains of the designated organisms in urinary tract infections, otitis media, acute exacerbations of chronic bronchitis, uncomplicated gonorrhoea (cervical/urethral), pharyngitis and tonsillitis.</w:t>
        <w:br/>
        <w:br/>
        <w:t>The product has an estimated market size of USD 123 million for a year ended February 2015, according to IMS.</w:t>
      </w:r>
    </w:p>
    <w:p>
      <w:pPr>
        <w:pStyle w:val="Heading1"/>
      </w:pPr>
      <w:r>
        <w:t>End of Article 7</w:t>
      </w:r>
    </w:p>
    <w:p>
      <w:r>
        <w:br w:type="page"/>
      </w:r>
    </w:p>
    <w:p>
      <w:pPr>
        <w:pStyle w:val="Heading1"/>
      </w:pPr>
      <w:r>
        <w:t>Start of Article 8</w:t>
      </w:r>
    </w:p>
    <w:p>
      <w:pPr>
        <w:pStyle w:val="Heading1"/>
      </w:pPr>
      <w:r>
        <w:t>Document ID DJDN000020150812eb8c001oy</w:t>
      </w:r>
    </w:p>
    <w:p>
      <w:r>
        <w:t>ROCKVILLE, Md., Aug. 12, 2015</w:t>
        <w:br/>
        <w:br/>
        <w:t>ROCKVILLE, Md., Aug. 12, 2015 /PRNewswire/ -- RegeneRx Biopharmaceuticals, Inc. (OTCQB: RGRX) ("the Company" or "RegeneRx"), a clinical-stage drug development company focused on tissue protection, repair and regeneration, today announced a new peer-reviewed publication describing Thymosin beta 4's (TB4) effects on dry eye syndrome and its potential value for the treatment of other ophthalmic disorders. The authors of the paper explained how TB4's reported mechanisms of action help alleviate the signs and symptoms of dry eye by promoting stem cell recruitment and cell migration, reducing inflammation and apoptosis, enhancing cytoprotection, and promoting gene expression. These multiple activities are responsible for a potential paradigm shift in the treatment of dry eye disorders. Current treatments aim to keep the eye moist and let the natural repair process function, which can take months, if at all. RGN-259, TB4 formulated as a sterile, preservative-free eye drop, is designed to protect and repair the injured dry eye and improve the rate and degree of healing. It is currently in late clinical trials.</w:t>
        <w:br/>
        <w:br/>
        <w:t>The authors also addressed additional ocular disorders that may be improved with TB4 treatment. These are based on the defined mechanisms of action of the molecule in the eye and include blepharitis, graft vs. host disease, limbal stem cell deficiency, and following eye surgery such as post-refractive surgery.</w:t>
        <w:br/>
        <w:br/>
        <w:t>The paper was authored by Drs. Gabriel Sosne and Hynda K. Kleinman and published in the scientific journal, IOVS, 2015 Aug; 56(9):5110-7. Both researchers are consultants to RegeneRx Biopharmaceuticals, Inc.</w:t>
        <w:br/>
        <w:br/>
        <w:t>About RegeneRx Biopharmaceuticals, Inc. (www.regenerx.com)</w:t>
        <w:br/>
        <w:br/>
        <w:t>RegeneRx is focused on the development of a novel therapeutic peptide, TB4, for tissue and organ protection, repair and regeneration. RegeneRx currently has three drug candidates in clinical development for ophthalmic, cardiac and dermal indications, three active strategic licensing agreements in China, Pan Asia (Korea, Japan, and Australia, among others) and the U.S., and has an extensive worldwide patent portfolio covering its products. RGN-259, the Company's TB4-based ophthalmic drug candidate, has been designated an orphan drug for the treatment of neurotrophic keratopathy (NK). RegeneRx was recently allowed by the FDA to move into Phase III clinical trials with RGN-259 for the treatment of patients with NK and dry eye syndrome. The drug candidate is also being studied in patients with dry eye syndrome in Asia. RegeneRx, through its U.S. joint venture, ReGenTree LLC, is developing RGN-259 in the United States and expects to initiate U.S. clinical trials this quarter. RGN-352, the Company's TB4-based injectable drug candidate, is Phase 2-ready and developed to be administered systemically to prevent and restore tissue damage associated with acute events such as heart attacks, strokes, and other similar traumatic injuries. For additional information about RegeneRx please visit www.regenerx.com.</w:t>
        <w:br/>
        <w:br/>
        <w:t>Forward-Looking Statements</w:t>
        <w:br/>
        <w:br/>
        <w:t>Any statements in this press release that are not historical facts are forward-looking statements made under the provisions of the Private Securities Litigation Reform Act of 1995. Any forward-looking statements involve risks and uncertainties that could cause actual results to be materially different from historical results or from any future results expressed or implied by such forward-looking statements. Forward-looking statements used in this press release relate to, among other things, the potential ophthalmic indications for RGN-259 and clinical trials related thereto. There can be no assurance that any ophthalmic clinical trial will start within the estimated initiation timeframe or be completed within the estimated timeframe or that positive results from any clinical trials or research by the Company, its collaborators, or independent parties in the U.S. or any other country will result in subsequent clinical confirmation or future value. There can also be no assurance that any of the Company's drug candidates will result in any approved products in the U.S. or any other country. Please view these and other risks described in the Company's filings with the Securities and Exchange Commission ("SEC"), including those identified in the "Risk Factors" section of the annual report on Form 10-K for the year ended December 31, 2014, and subsequent quarterly reports filed on Form 10-Q, as well as other filings it makes with the SEC. Any forward-looking statements in this press release represent the Company's views only as of the date of this release and should not be relied upon as representing its views as of any subsequent date. The Company specifically disclaims any obligation to update this information, as a result of future events or otherwise, except as required by applicable law.</w:t>
        <w:br/>
        <w:br/>
        <w:t>To view the original version on PR Newswire, visit:http://www.prnewswire.com/news-releases/new-publication-elaborates-on-tb4s-effects-on-dry-eye-syndrome-and-other-potential-ophthalmic-disorders-300127498.html</w:t>
        <w:br/>
        <w:br/>
        <w:t>SOURCE RegeneRx Biopharmaceuticals, Inc.</w:t>
        <w:br/>
        <w:br/>
        <w:t>/Web site: http://www.regenerx.com</w:t>
        <w:br/>
        <w:br/>
        <w:t>(END) Dow Jones Newswires</w:t>
        <w:br/>
        <w:br/>
        <w:t>August 12, 2015 09:13 ET (13:13 GMT)</w:t>
      </w:r>
    </w:p>
    <w:p>
      <w:pPr>
        <w:pStyle w:val="Heading1"/>
      </w:pPr>
      <w:r>
        <w:t>End of Article 8</w:t>
      </w:r>
    </w:p>
    <w:p>
      <w:r>
        <w:br w:type="page"/>
      </w:r>
    </w:p>
    <w:p>
      <w:pPr>
        <w:pStyle w:val="Heading1"/>
      </w:pPr>
      <w:r>
        <w:t>Start of Article 9</w:t>
      </w:r>
    </w:p>
    <w:p>
      <w:pPr>
        <w:pStyle w:val="Heading1"/>
      </w:pPr>
      <w:r>
        <w:t>Document ID JNWP000020150325eb3p0000f</w:t>
      </w:r>
    </w:p>
    <w:p>
      <w:r>
        <w:t>Other senior executives are set for big payouts, including Chief Operating Officer Mahkam Zanganeh, whose shares are worth nearly $224.6 million, and director David Smith, who will pocket nearly $46.5 million. All told, directors and senior executives could receive nearly $4 billion in merger-related payments, Pharmacyclics says.</w:t>
        <w:br/>
        <w:br/>
        <w:t>Duggan, 70, is a longtime private venture investor and was CEO of surgical systems maker Computer Motion until it was acquired by Intuitive Surgical in 2003.</w:t>
        <w:br/>
        <w:br/>
        <w:t>Duggan began buying Pharmacyclics stock in 2004, eventually amassing nearly a 25% stake. But by 2008, shares had fallen below $1. The company's fortunes turned on chronic lymphocytic leukemia treatment Imbruvica and a series of drug industry mergers.</w:t>
        <w:br/>
        <w:br/>
        <w:t>Pharmacyclics shares currently trade at about $258. Takeover speculation — including interest from Imbruvica partner Johnson &amp; Johnson — have boosted Pharmacyclics 119% this year alone, based on Tuesday's $257.75 close.</w:t>
        <w:br/>
        <w:br/>
        <w:t>Duggan has declined compensation from the company since becoming CEO in 2008.</w:t>
      </w:r>
    </w:p>
    <w:p>
      <w:pPr>
        <w:pStyle w:val="Heading1"/>
      </w:pPr>
      <w:r>
        <w:t>End of Article 9</w:t>
      </w:r>
    </w:p>
    <w:p>
      <w:r>
        <w:br w:type="page"/>
      </w:r>
    </w:p>
    <w:p>
      <w:pPr>
        <w:pStyle w:val="Heading1"/>
      </w:pPr>
      <w:r>
        <w:t>Start of Article 10</w:t>
      </w:r>
    </w:p>
    <w:p>
      <w:pPr>
        <w:pStyle w:val="Heading1"/>
      </w:pPr>
      <w:r>
        <w:t>Document ID GNVL000020160213ebbo000hp</w:t>
      </w:r>
    </w:p>
    <w:p>
      <w:r>
        <w:t>Read, currently CEO of Pfizer, will remain at the helm of the company following the record-breaking combination with Irish rival Allergan that will make it the most valuable drug company in the world. The two firms agreed to a record-busting $160 billion merger Monday — a bold move considering Pfizer already was the world's fourth most-valuable drug company. The sprawling empire will manufacture drugs that range from wrinkle-erasing Botox to pain reliever Advil to cholesterol drug Lipitor.</w:t>
        <w:br/>
        <w:br/>
        <w:t>The deal "allows us as Pfizer with Allergan to strengthen our innovative businesses and make it world competitive, while allowing our established products business to also be more successful," Read said in a prepared online video for investors.</w:t>
        <w:br/>
        <w:br/>
        <w:t>Read's challenge will be to find ways to continue to charge top dollar for the company's aging pipeline of products. In a testimony to its pricing power, Pfizer drives higher gross profit margins on its products than any other major pharmaceuticals company, according to a USA TODAY analysis of data from S&amp;P Capital IQ. Pfizer keeps nearly 82 cents of every dollar of revenue after paying direct costs. Merck and Johnson &amp; Johnson, two big Pfizer rivals, keep just 64 and 69 cents on the dollar from revenue.</w:t>
        <w:br/>
        <w:br/>
        <w:t>But here's the rub: Pfizer's revenue is down 4% over the past 12 months, along with other U.S. pharmaceutical giants. Merck's revenue is down 8% and Johnson &amp; Johnson is down 5.3%. Meanwhile, many of Pfizer's big European rivals are growing. Revenue at Germany's Bayer is up 15% over the past 12 months, and France's Sanofi is up 11%.</w:t>
        <w:br/>
        <w:br/>
        <w:t>Read has been looking to deals as a way to kick-start growth. In mid-2014, Pfizer made a serious run at AstraZeneca, a deal that never got done. As part of that plan, Pfizer planned to reincorporate in the United Kingdom, which showed taxes were a consideration in that deal, too.</w:t>
        <w:br/>
        <w:br/>
        <w:t>Taxes are a major concern for Read to tackle. Pfizer is competing with many European drug giants that pay much lower effective tax rates. By structuring the deal in such a way that Allergan technically is buying Pfizer, the company plans to move its headquarters to Ireland, which has lower corporate tax rates than the U.S.</w:t>
        <w:br/>
        <w:br/>
        <w:t>Pfizer has paid an effective tax rate, or the income tax expense divided by earnings before taxes, of 24.5% over the past 12 months. That's well above the 17.9% effective tax rate at France's Sanofi and 14.4% effective tax rate at the U.K.'s GlaxoSmithKline.</w:t>
        <w:br/>
        <w:br/>
        <w:t>In a Monday CNBC interview, Read said the deal with Pfizer "is not just about tax benefits."</w:t>
        <w:br/>
        <w:br/>
        <w:t>"This deal is about great franchises," he said. "There are benefits from tax. If the benefits from tax weren't there, I would still try to do the deal, but I suspect the price would be different."</w:t>
        <w:br/>
        <w:br/>
        <w:t>Named CEO of Pfizer on Dec.5, 2010, Read is a Pfizer lifer. He started at the drug company in 1978, which was the same year he earned his Chartered Accountants Certification from the Institute of Chartered Accountants of England and Wales. Four years prior to that, Read graduated with a chemical engineering degree from London University Imperial College.</w:t>
        <w:br/>
        <w:br/>
        <w:t>In addition to being CEO and chairman of Pfizer, Read sits on the board at consumer products company Kimberly-Clark and biotech Thiakis. He's on the board of the Pharmaceutical Research and Manufacturers of America and the Partnership for New York City, a nonprofit that invests in economic development in the city.</w:t>
        <w:br/>
        <w:br/>
        <w:t>Read isn't a relatively large shareholder in Pfizer, holding 1.5 million shares, or less than 1% of the company's shares outstanding. But he was paid $23.3 million last fiscal year, which was up 23% from the previous year. Money management firm BlackRock is the largest holder of Pfizer shares, with 395.1 million shares or 6.4% of shares outstanding.</w:t>
        <w:br/>
        <w:br/>
        <w:t>If this deal is about competing with European companies on taxes and financial maneuvers, Read has experience in both realms.</w:t>
        <w:br/>
        <w:br/>
        <w:t>PFIZER-ALLERGAN</w:t>
        <w:br/>
        <w:br/>
        <w:t>merger reaction</w:t>
        <w:br/>
        <w:br/>
        <w:t>Can the U.S. Treasury block the deal? At money.usatoday.com</w:t>
      </w:r>
    </w:p>
    <w:p>
      <w:pPr>
        <w:pStyle w:val="Heading1"/>
      </w:pPr>
      <w:r>
        <w:t>End of Article 10</w:t>
      </w:r>
    </w:p>
    <w:p>
      <w:r>
        <w:br w:type="page"/>
      </w:r>
    </w:p>
    <w:p>
      <w:pPr>
        <w:pStyle w:val="Heading1"/>
      </w:pPr>
      <w:r>
        <w:t>Start of Article 11</w:t>
      </w:r>
    </w:p>
    <w:p>
      <w:pPr>
        <w:pStyle w:val="Heading1"/>
      </w:pPr>
      <w:r>
        <w:t>Document ID CHEMEC0020150515eb5m0002h</w:t>
      </w:r>
    </w:p>
    <w:p>
      <w:r>
        <w:t>IVM Partners, a nonprofit organization that is a liaison for industry, agency and conservation, develops programs and provides education on vegetation management and conservation best practices. The organization will work with Bayer on case study sites managed by utility or transportation rights-of-way.</w:t>
        <w:br/>
        <w:br/>
        <w:t>The project aims to improve habitats for pollinators, birds and other wildlife in upland and wetland ecosystems in sites across eight states: Alabama, Arkansas, California, Florida, Oregon, North Carolina, Tennessee and Texas.</w:t>
        <w:br/>
        <w:br/>
        <w:t>"Bayer's investment in this project will bring together efforts to improve pollinator and wildlife habitat, safety and aesthetics on utility and highway rights-of-way," said Jim Blome, president and CEO of Bayer CropScience LP. "Our collaboration with IVM Partners is a model for how public-private partnerships can benefit the environment through research and implementation of best practices."</w:t>
        <w:br/>
        <w:br/>
        <w:t>Implementing integrated vegetation management practices includes: reducing or eliminating mowing, applying selective herbicides to encourage low-growing vegetation, controlling invasive and undesirable plant species, protecting watersheds, optimizing habitat for pollinators and other wildlife, reducing carbon footprint, and reducing overall costs.</w:t>
        <w:br/>
        <w:br/>
        <w:t>"With funding from Bayer, we will be able to expand integrated vegetation management research on diverse ecosystems across the country that correspond to migration routes of birds and Monarchs and increase and improve habitats for pollinators, birds and other wildlife," said Rick Johnstone, president and founder of IVM Partners. "These sites can be used to educate utilities, agencies and the public on how we can partner using IVM best practices to control invasive plants, reduce erosion and sedimentation of waterways, and lower the risk of wildfires."</w:t>
        <w:br/>
        <w:br/>
        <w:t>Integrated vegetation management encourages pollinator diversity because native prairie and meadow habitats are suppressed by weed trees and invasive plants. Selective herbicide use is necessary to remove these plants and allow milkweed, asters and wildflowers to grow and provide nectar and pollen for pollinators, in addition to providing prime areas for bobwhite quail, turkey and other wildlife. Ravines and rights-of-way borders provide additional nesting and forage sites when mountain laurel, blackberry, blueberry, viburnum and other shrubs are retained.</w:t>
        <w:br/>
        <w:br/>
        <w:t>In some areas where trees and invasive plants were treated with selective herbicides, rare orchids that have been dormant for years are springing to life. As open meadow and prairie ecosystems are restored, so is native plant life and wildlife habitat with no additional planting required. Within three years, without the need for routine mowing, one-third of the maintenance budget may be saved.</w:t>
        <w:br/>
        <w:br/>
        <w:t>"This partnership demonstrates our commitment to proper stewardship of Bayer herbicides used for vegetation management," said David Spak, a Bayer product development manager. The project is a collaborative effort between Bayer's Crop business, its Bayer Bee Care, and its Vegetation Management business and IVM Partners.</w:t>
        <w:br/>
        <w:br/>
        <w:t>Bayer's collaboration with IVM Partners is just one example of its commitment to improve pollinator health and to increase forage for honey bees and other pollinators. Earlier this year, Bayer launched Feed a Bee, which has a goal of growing 50 million flowers and providing additional forage acreage for honey bees in 2015.</w:t>
        <w:br/>
        <w:br/>
        <w:t>By collaborating with organizations and individuals throughout the country, Feed a Bee will help to provide pollinators with the food they need not only to survive, but to thrive. Other collaborations to date include work with Project Apis m. to establish up to 3,000 acres of bee forage in California and Washington and with the NC Department of Transportation (NCDOT) to develop roadside pollinator plantings across the state.</w:t>
        <w:br/>
        <w:br/>
        <w:t>For more information on Bayer's bee health initiatives, please visit: http://beehealth.bayer.us. You can also follow and share with us on Twitter @BayerBeeCare, on Facebook at facebook.com/BayerBeeCareCenter and view photos on Flickr.</w:t>
        <w:br/>
        <w:br/>
        <w:t>Keywords for this news article include: Herbicides, Pesticides, Bayer CropScience Lp.</w:t>
        <w:br/>
        <w:br/>
        <w:t>Our reports deliver fact-based news of research and discoveries from around the world. Copyright 2015, NewsRx LLC</w:t>
      </w:r>
    </w:p>
    <w:p>
      <w:pPr>
        <w:pStyle w:val="Heading1"/>
      </w:pPr>
      <w:r>
        <w:t>End of Article 11</w:t>
      </w:r>
    </w:p>
    <w:p>
      <w:r>
        <w:br w:type="page"/>
      </w:r>
    </w:p>
    <w:p>
      <w:pPr>
        <w:pStyle w:val="Heading1"/>
      </w:pPr>
      <w:r>
        <w:t>Start of Article 12</w:t>
      </w:r>
    </w:p>
    <w:p>
      <w:pPr>
        <w:pStyle w:val="Heading1"/>
      </w:pPr>
      <w:r>
        <w:t>Document ID ATPHAM0020150518eb5d0003g</w:t>
      </w:r>
    </w:p>
    <w:p>
      <w:r>
        <w:t>(Abstract #8514) Phase 1/2 study of NEOD001 in patients with AL amyloidosis and persistent organ dysfunction</w:t>
        <w:br/>
        <w:br/>
        <w:t>* Presenter: Morie A. Gertz, MD, Mayo Clinic</w:t>
        <w:br/>
        <w:br/>
        <w:t>* Session: Myeloma</w:t>
        <w:br/>
        <w:br/>
        <w:t>* Date and Time: Tuesday, June 2, 10:45 a.m. - 1:45 p.m. EDT (NEOD001 presentation: 12:45 - 12:57 p.m. EDT)</w:t>
        <w:br/>
        <w:br/>
        <w:t>* Location: E354b</w:t>
        <w:br/>
        <w:br/>
        <w:t>Data contained in the published abstract was current as of September 30, 2014. Updated clinical data from the ongoing Phase 1/2 trial of NEOD001 will be presented at ASCO.</w:t>
        <w:br/>
        <w:br/>
        <w:t>(Abstract #TPS8614) The VITAL study: A randomized, double-blind, placebo-controlled, global phase III study of NEOD001 in patients with AL amyloidosis and cardiac dysfunction</w:t>
        <w:br/>
        <w:br/>
        <w:t>* Presenter: Michaela Liedtke, MD, Stanford Comprehensive Cancer Center</w:t>
        <w:br/>
        <w:br/>
        <w:t>* Session: Lymphoma and Plasma Cell Disorders</w:t>
        <w:br/>
        <w:br/>
        <w:t>* Date and Time: Sunday, May 31, 9:00 a.m. - 12:30 p.m. EDT</w:t>
        <w:br/>
        <w:br/>
        <w:t>* Location: S Hall A</w:t>
        <w:br/>
        <w:br/>
        <w:t>Conference Call and Webcast Details</w:t>
        <w:br/>
        <w:br/>
        <w:t>Dr. Gertz will join Prothena management to discuss the updated clinical data from its ongoing Phase 1/2 trial of NEOD001 in patients with AL amyloidosis and persistent organ dysfunction during a live audio webcast and conference call on Tuesday, June 2, 2015 at 3:00 p.m. EDT. The webcast and slide presentation will be made available on the company's website at www.prothena.com under the Investors tab in the Events and Presentations section. Following the live audio webcast, a replay of the webcast will be available on the Company's website for 90 days.</w:t>
        <w:br/>
        <w:br/>
        <w:t>To access the conference call via dial-in, please dial (877) 887-5215 (U.S. toll free) or (315) 625-3069 (international) five minutes prior to the start time and refer to conference ID number 44777703. A replay of the call will be available until June 9, 2015 via dial-in at (855) 859-2056 (U.S. toll free) or (404) 537-3406 (international), Conference ID Number 44777703.</w:t>
        <w:br/>
        <w:br/>
        <w:t>Source: Prothena</w:t>
      </w:r>
    </w:p>
    <w:p>
      <w:pPr>
        <w:pStyle w:val="Heading1"/>
      </w:pPr>
      <w:r>
        <w:t>End of Article 12</w:t>
      </w:r>
    </w:p>
    <w:p>
      <w:r>
        <w:br w:type="page"/>
      </w:r>
    </w:p>
    <w:p>
      <w:pPr>
        <w:pStyle w:val="Heading1"/>
      </w:pPr>
      <w:r>
        <w:t>Start of Article 13</w:t>
      </w:r>
    </w:p>
    <w:p>
      <w:pPr>
        <w:pStyle w:val="Heading1"/>
      </w:pPr>
      <w:r>
        <w:t>Document ID DAIM000020150615eb6g0000d</w:t>
      </w:r>
    </w:p>
    <w:p>
      <w:r>
        <w:t>The shares fell 22p to 1351p by the close of trading on Monday, down from 1642p a share in mid-April. A market source said: 'People are hovering because of the vulnerability of the group at this price.'</w:t>
        <w:br/>
        <w:br/>
        <w:t>Any bid for GSK would represent the latest attempt at sector consolidation following last year's failed effort by US giant Pfizer to take out UK rival AstraZeneca (down 62p to 4149p). A £32bn bid by AbbVie of the US to buy British drug-maker Shire (down 60p to 5210p) also collapsed amid fears about a US regulatory crackdown on corporate tax avoidance.</w:t>
        <w:br/>
        <w:br/>
        <w:t>The FTSE 100 tumbled 74.4 points to 6710.52 as a stand-off between Greece and its creditors spooked markets.</w:t>
        <w:br/>
        <w:br/>
        <w:t>Greek premier Alexis Tsipras blamed lenders for the collapse of cash-for-reform talks on Sunday. Germany and other major creditors urged Athens to soften its opposition to wage and pension cuts and higher taxes.</w:t>
        <w:br/>
        <w:br/>
        <w:t>Tesco ticked up 0.3p to 214p as South Korean snack maker Orion Corp considered bidding for the supermarket group's South Korean business.</w:t>
        <w:br/>
        <w:br/>
        <w:t>EasyJet flew 36p lower to 1550p after RBC Capital Markets cut its stance on the no-frills airline to 'underperform' from 'outperform', claiming it may have a tough summer. The Canadian broker's analysts said in a note: 'Our positive outlook for EasyJet's summer has proved incorrect, as summer is key, we see few positive catalysts until mid-2016 while EasyJet faces a winter squeeze.'</w:t>
        <w:br/>
        <w:br/>
        <w:t>Also denting sentiment around the budget carrier and its peers were reports of new cases of Middle East Respiratory Syndrome (MERS), which could hit travel demand.</w:t>
        <w:br/>
        <w:br/>
        <w:t>South Korea's health ministry reported five new cases of MERS on Monday, taking the total to 150.</w:t>
        <w:br/>
        <w:br/>
        <w:t>Shares in British Airways and Iberia owner IAG descended 9.5p to 508.5p and tour operator TUI dimmed 34p to 1171p.</w:t>
        <w:br/>
        <w:br/>
        <w:t>Asia-focused banking group Standard Chartered dropped 26p to 1038p after Jefferies cut its target price to 656p from 722p.</w:t>
        <w:br/>
        <w:br/>
        <w:t>Investors lost their thirst for shares in Guinness-to-Smirnoff vodka maker Diageo following news that the boss of its North American arm, Larry Schwartz, was retiring after 40 years in the industry. The stock backtracked 22p to 1874.5p.</w:t>
        <w:br/>
        <w:br/>
        <w:t>Chief executive Ivan Menezes said the group would announce Schwartz's successor in due course.</w:t>
        <w:br/>
        <w:br/>
        <w:t>Shares in the London Stock Exchange reversed 45p to 2331p in spite of news that Hong Kong competition watchdogs would allow firms in the former British colony to join the exchange.</w:t>
        <w:br/>
        <w:br/>
        <w:t>Elsewhere, student bar operator Eclectic Bar Group shrugged off a profit warning with a 14p gain to 62.5p as it unveiled leisure entrepreneur Luke Johnson as its chairman.</w:t>
        <w:br/>
        <w:br/>
        <w:t>Johnson, who has also bought shares in Eclectic worth £1.5m, was the chairman of Pizza Express in the 1990s and now chairs the owner of the Patisserie Valerie chain. He also co-founded the Strada chain and chaired Giraffe restaurants for nine years until 2013.</w:t>
        <w:br/>
        <w:br/>
        <w:t>Eclectic said tough trading was likely to hit its results this year and it was holding off setting a date for the opening of two bars in Sheffield and Liverpool. Sabien Technology dived 1.5p to 8.5p after the supplier of energy efficiency technology blamed order delays for a profit warning. The group said some substantial deals would not arrive as expected this month, resulting in likely revenue of about £1.9m and a loss of up to £600,000 in the year to June 30.</w:t>
        <w:br/>
        <w:br/>
        <w:t>Irish house-builder Cairn Homes made a positive start to life as a listed company, rising 0.005p to 1.0575p in its first day of full dealings on the main London market.</w:t>
        <w:br/>
        <w:br/>
        <w:t>Altona Energy sparked 0.12p to 0.58p as the southern Australia-focused coal miner reported progress in talks to amend its Arckaringa joint venture to reflect a switch to underground coal gasification.</w:t>
        <w:br/>
        <w:br/>
        <w:t>Shares in Management Resource Solutions (MRS) lost 3.5p to 9.5p on news that the supplier of project management services to industry failed in a bid to buy D&amp;M Group. The seller pulled out following difficulties faced by MRS in funding the deal.</w:t>
        <w:br/>
        <w:br/>
        <w:t>DDD Group jumped 0.62p to 2.88p on news that chairman Nick Brigstocke had bought a million shares in the company, which makes 3D technology for TVs and tablet computers.</w:t>
        <w:br/>
        <w:br/>
        <w:t xml:space="preserve"> </w:t>
        <w:br/>
        <w:br/>
        <w:t>***</w:t>
        <w:br/>
        <w:br/>
        <w:t>SHARES in Dragon Oil hit all-time highs after shareholder Emirates National Oil Company (ENOC) offered £1.7bn for the remaining stock in the Turkmenistan explorer. The stock lifted 8.36pc to 726p as ENOC, which owns 54pc of Dragon, increased its original offer to 750p per share from 735p in May. The latest bid values the Dubai-based group at £3.7bn. ENOC wants Dragon to help turn it into a rounded global oil and gas explorer and producer.</w:t>
        <w:br/>
        <w:br/>
        <w:t>© Daily Mail</w:t>
      </w:r>
    </w:p>
    <w:p>
      <w:pPr>
        <w:pStyle w:val="Heading1"/>
      </w:pPr>
      <w:r>
        <w:t>End of Article 13</w:t>
      </w:r>
    </w:p>
    <w:p>
      <w:r>
        <w:br w:type="page"/>
      </w:r>
    </w:p>
    <w:p>
      <w:pPr>
        <w:pStyle w:val="Heading1"/>
      </w:pPr>
      <w:r>
        <w:t>Start of Article 14</w:t>
      </w:r>
    </w:p>
    <w:p>
      <w:pPr>
        <w:pStyle w:val="Heading1"/>
      </w:pPr>
      <w:r>
        <w:t>Document ID BWR0000020151019ebaj000g3</w:t>
      </w:r>
    </w:p>
    <w:p>
      <w:r>
        <w:t>"Although the FDA has not provided us with any information regarding the nature of the deficiencies, we intend to work closely with the FDA to understand the nature of any such deficiencies once identified to us and resolve them as quickly as possible," said Vipin K. Garg, Ph.D., President and CEO of Neos Therapeutics. "We look forward to moving ahead with our plan to bring the benefits of Cotempla XR-ODT and our two additional product candidates to patients with ADHD as potential novel treatment options."</w:t>
        <w:br/>
        <w:br/>
        <w:t>Under the time frames negotiated as a result of the Prescription Drug User Fee Act (PDUFA), the FDA set a goal date of January 27, 2016 for the Company's amphetamine XR-ODT, or NT-0202. Neos also manufactures and markets a generic equivalent to the branded product Tussionex(R)(1) .</w:t>
        <w:br/>
        <w:br/>
        <w:t>About XR--ODT Technology</w:t>
        <w:br/>
        <w:br/>
        <w:t>Stimulant medications such as methylphenidate and amphetamine are the standard of care for treating ADHD, and XR formulations of these medications allow for once--daily dosing. However, recent data suggest that a significant percentage of the pediatric population have difficulty swallowing solid dosage forms, and many remain uncomfortable doing so into adulthood. Orally disintegrating tablets (ODTs) differ from traditional tablets and capsules in that they are designed to disintegrate on the tongue without the need for water, rather than being swallowed whole.</w:t>
        <w:br/>
        <w:br/>
        <w:t>About Neos Therapeutics</w:t>
        <w:br/>
        <w:br/>
        <w:t>Neos Therapeutics, Inc. is a pharmaceutical company focused on developing, manufacturing and commercializing products utilizing its proprietary modified--release drug delivery technology platform. The Company is initially focusing on ADHD and has developed three branded product candidates that are XR medications in patient--friendly ODT or liquid suspension dosage forms. In addition, Neos manufactures and markets its generic equivalent of the branded product Tussionex, an XR liquid suspension of hydrocodone and chlorpheniramine indicated for the relief of cough and upper respiratory symptoms of a cold.</w:t>
        <w:br/>
        <w:br/>
        <w:t>Forward-Looking Statements</w:t>
        <w:br/>
        <w:br/>
        <w:t>This press release contains forward--looking statements within the meaning of the Private Securities Litigation Reform Act of 1995, including statements concerning the PDUFA dates for Cotempla XR--ODT(TM) and NT--0202 and capabilities of our two XR-ODT products. Forward--looking statements generally relate to future events or our future financial or operating performance. In some cases, you can identify forward--looking statements because they contain words such as "may," "will," "should," "expects," "plans," "anticipates," "could," "intends," "target," "projects," "contemplates," "believes," "estimates, " "predicts," "potential" or "continue" or the negative of these words or other similar terms or expressions that concern our expectations, strategy, plans, prospects or intentions. These forward-looking statements reflect our current views about our expectations, strategy, plans, prospects or intentions, which are based on the information currently available to us and on assumptions we have made. Although we believe that our plans, intentions, expectations, strategies and prospects as reflected in or suggested by those forward-looking statements are reasonable, we can give no assurance that the plans, intentions, expectations or strategies will be attained or achieved. Furthermore, actual results may differ materially from those described in the forward-looking statements and will be affected by a variety of risks and factors that are beyond our control including, without limitation, any deficiencies the FDA may identify with respect to Cotempla XR-ODT and whether the Company will be able to address the issues that may relate to those deficiencies, the receipt of regulatory approval for our product candidates, our ability to market and sell our product candidates, and other risks set forth under the caption "Risk Factors" in our final prospectus filed on July 24, 2015 pursuant to Rule 424(b) of the Securities Act of 1933, as amended, as updated by our subsequently filed Quarterly Reports on Form 10-Q and our other SEC filings. We assume no obligation to update any forward-looking statements contained in this document as a result of new information, future events or otherwise.</w:t>
        <w:br/>
        <w:br/>
        <w:t>(1) Tussionex(R) is a registered trademark of the UCB Group of Companies</w:t>
        <w:br/>
        <w:br/>
        <w:t>View source version on businesswire.com: http://www.businesswire.com/news/home/20151019006538/en/</w:t>
      </w:r>
    </w:p>
    <w:p>
      <w:pPr>
        <w:pStyle w:val="Heading1"/>
      </w:pPr>
      <w:r>
        <w:t>End of Article 14</w:t>
      </w:r>
    </w:p>
    <w:p>
      <w:r>
        <w:br w:type="page"/>
      </w:r>
    </w:p>
    <w:p>
      <w:pPr>
        <w:pStyle w:val="Heading1"/>
      </w:pPr>
      <w:r>
        <w:t>Start of Article 15</w:t>
      </w:r>
    </w:p>
    <w:p>
      <w:pPr>
        <w:pStyle w:val="Heading1"/>
      </w:pPr>
      <w:r>
        <w:t>Document ID CHWKNW0020150410eb4e00050</w:t>
      </w:r>
    </w:p>
    <w:p>
      <w:r>
        <w:t>Stellar is a leader in the sustainable manufacture of KLH, an immune-stimulating protein widely used as a carrier molecule in immunotherapies under development for a variety of disease indications. Immunotherapy uses a patient's own immune system to target and treat diseases. KLH can only be produced from a scarce marine source. Stellar believes it is the only company with the proprietary technology to manage sustainable, scalable production of GMP quality KLH to meet future pharmaceutical industry demands.</w:t>
        <w:br/>
        <w:br/>
        <w:t>Neovacs is a leader in the development of active immunotherapies for the treatment of chronic autoimmune diseases. Neovacs ' patented Kinoid technology combines a select cytokine of interest attached to KLH as the immune-stimulating carrier protein. The resulting immunotherapy uses the patient's immune system to generate antibodies against the targeted disease.</w:t>
        <w:br/>
        <w:br/>
        <w:t>Neovacs ' lead product candidate, IFNa-Kinoid, has successfully completed a Phase I/IIa clinical trial for lupus. The Company's Scientific Advisory Board (SAB) members have announced their full support for the planned Phase IIb trial of IFN(alpha)-Kinoid in approximately 160 patients in Europe, Latin America and Asia. This Phase IIb study is expected to begin mid-2015. A U.S. Phase IIa trial of IFN(alpha)-Kinoid for the treatment of lupus in the U.S. is expected to commence by early 2016.</w:t>
        <w:br/>
        <w:br/>
        <w:t>"We have enjoyed a long-standing and successful relationship with Stellar Biotechnologies as our key KLH supplier," said Miguel Sieler , Chief Executive Officer of Neovacs. "This new agreement with Stellar comes at a pivotal point for Neovacs , as we are preparing to launch multicenter clinical trials with IFN(alpha)-Kinoid and are strengthening our U.S. operations through the recent formation of a wholly-owned subsidiary, Neovacs, Inc . The new supply agreement will ensure that Neovacs has access to a scalable, stable supply of GMP grade KLH as our Kinoid products advance through clinical development and we prepare for the expected commercial launch."</w:t>
        <w:br/>
        <w:br/>
        <w:t>"Expanding our supply commitment to Neovacs to include late-stage clinical trials and expected initial commercialization is an excellent demonstration of the growing commercial prospects for our core KLH business," said Frank Oakes , President and CEO of Stellar Biotechnologies. "We also see this is as positive validation for the use of Stellar KLH(TM) in the development of new immunotherapy treatments."</w:t>
        <w:br/>
        <w:br/>
        <w:t>Under the terms of the agreement, Neovacs will purchase Stellar KLH(TM) for use in its proprietary KLH-based Kinoid immunotherapies in the European Union , Latin America, Asia, the U.S. and Canada. Neovacs will use Stellar KLH(TM) for its planned Phase II and Phase III clinical trials and for expected commercial manufacturing of its products for up to one year following market approval. Neovacs will manage and fund all product development and regulatory submissions for its immunotherapy products and act as the sponsor company for the future clinical trials. Stellar will supply GMP grade KLH to Neovacs according to agreed specifications, quantities, and pricing, as well as maintain a master file with the U.S. FDA for the KLH product. Stellar will also provide professional, technical, and regulatory support to Neovacs . The agreement has an initial five-year term, which may be renewed by Neovacs in one-year increments.</w:t>
        <w:br/>
        <w:br/>
        <w:t>Keywords for this news article include: Asia, China, Technology, Immunotherapy, Immunomodulation, Clinical Trials and Studies.</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BIWK000020150612eb6h0006s</w:t>
      </w:r>
    </w:p>
    <w:p>
      <w:r>
        <w:t>ANI has forty-six generic drug products under development addressing a total annual market size of approximately $3.3 billion, based on data from IMS Health.</w:t>
        <w:br/>
        <w:br/>
        <w:t>Keywords for this news article include: ANI Pharmaceuticals Inc., Drugs, Therapy, FDA Actions, Narcotic Analgesics, Oxycodone Hydrochloride, Central Nervous System Agents, Government Agencies Offices and Entities.</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BWR0000020150217eb2h00047</w:t>
      </w:r>
    </w:p>
    <w:p>
      <w:r>
        <w:br/>
        <w:t xml:space="preserve">   -- Cowen and Company 35th Annual Health Care Conference on Tuesday, March 3, </w:t>
        <w:br/>
        <w:t xml:space="preserve">      2015 at 10:40 am (EST) in Boston; and </w:t>
        <w:br/>
        <w:t xml:space="preserve"> </w:t>
        <w:br/>
        <w:t xml:space="preserve">   -- Barclays Global Healthcare Conference on Wednesday, March 11, 2015 at </w:t>
        <w:br/>
        <w:t xml:space="preserve">      3:50 pm (EDT) in Miami </w:t>
        <w:br/>
        <w:br/>
        <w:t>The presentations will be webcast live and can be accessed at www.incyte.com under Investor Relations, Events and Webcasts. A replay of the presentations will be available. Investors interested in listening to the live webcast should log on before the start time in order to download any software required.</w:t>
        <w:br/>
        <w:br/>
        <w:t>Incyte Corporation is a Wilmington, Delaware-based biopharmaceutical company focused on the discovery, development and commercialization of proprietary therapeutics, primarily for oncology. For additional information on Incyte, please visit the Company's web site at www.incyte.com.</w:t>
      </w:r>
    </w:p>
    <w:p>
      <w:pPr>
        <w:pStyle w:val="Heading1"/>
      </w:pPr>
      <w:r>
        <w:t>End of Article 17</w:t>
      </w:r>
    </w:p>
    <w:p>
      <w:r>
        <w:br w:type="page"/>
      </w:r>
    </w:p>
    <w:p>
      <w:pPr>
        <w:pStyle w:val="Heading1"/>
      </w:pPr>
      <w:r>
        <w:t>Start of Article 18</w:t>
      </w:r>
    </w:p>
    <w:p>
      <w:pPr>
        <w:pStyle w:val="Heading1"/>
      </w:pPr>
      <w:r>
        <w:t>Document ID AIWINE0020150619eb6k000s1</w:t>
      </w:r>
    </w:p>
    <w:p>
      <w:r>
        <w:t>Last year, the US Supreme Court had denied Teva's application for an injunction seeking to prevent the launch of a generic version of Copaxone.</w:t>
        <w:br/>
        <w:br/>
        <w:t>The pharma companies involved in the generic forms of Copaxone are Novartis' Sandoz, Momenta Pharmaceuticals, Mylan and Natco Pharma.</w:t>
        <w:br/>
        <w:br/>
        <w:t>As per available estimates, the annual sales of Copaxone is about $4.3 billion worldwide and account for more than half of Teva's profit. In 2003, Natco began research to develop a generic version of Copaxone in order to make a cost-effective version of the drug available to patients in India.</w:t>
        <w:br/>
        <w:br/>
        <w:t>Later, Natco developed a process for producing copolymer-1 and filed patent applications covering its process.</w:t>
        <w:br/>
        <w:br/>
        <w:t>A senior official of Natco said that the firm has submitted all the information to FDA with regard to the generic version of Copaxone, used in the treatment of relapsing-remitting multiple sclerosis.</w:t>
        <w:br/>
        <w:br/>
        <w:t>"We have done everything from our side. Once approval comes, we are ready to launch the product. We manufacture the drug and Mylan will market it," the official said.</w:t>
        <w:br/>
        <w:br/>
        <w:t>Mylan chief executive officer Heather Bresch, in a separate statement, said: "We have stated all along that the '808 patent on Copaxone is invalid... We continue to remain very confident and look forward to bringing our product to market upon approval from the US Food and Drug Administration."</w:t>
        <w:br/>
        <w:br/>
        <w:t>Bresch further said the ruling underscores concerns of Teva's ongoing financial prospects as the Copaxone franchise has historically been its largest and most significant revenue driver.</w:t>
        <w:br/>
        <w:br/>
        <w:t>With inputs from Financial Express &amp; PTI</w:t>
        <w:br/>
        <w:br/>
        <w:t>The pharma companies involved in the generic forms of Copaxone are Novartis’ Sandoz, Momenta Pharmaceuticals, Mylan and Natco Pharma.</w:t>
      </w:r>
    </w:p>
    <w:p>
      <w:pPr>
        <w:pStyle w:val="Heading1"/>
      </w:pPr>
      <w:r>
        <w:t>End of Article 18</w:t>
      </w:r>
    </w:p>
    <w:p>
      <w:r>
        <w:br w:type="page"/>
      </w:r>
    </w:p>
    <w:p>
      <w:pPr>
        <w:pStyle w:val="Heading1"/>
      </w:pPr>
      <w:r>
        <w:t>Start of Article 19</w:t>
      </w:r>
    </w:p>
    <w:p>
      <w:pPr>
        <w:pStyle w:val="Heading1"/>
      </w:pPr>
      <w:r>
        <w:t>Document ID BIOELSE020150407eb3q0000p</w:t>
      </w:r>
    </w:p>
    <w:p>
      <w:r>
        <w:t>Website: http://www.biospace.com</w:t>
      </w:r>
    </w:p>
    <w:p>
      <w:pPr>
        <w:pStyle w:val="Heading1"/>
      </w:pPr>
      <w:r>
        <w:t>End of Article 19</w:t>
      </w:r>
    </w:p>
    <w:p>
      <w:r>
        <w:br w:type="page"/>
      </w:r>
    </w:p>
    <w:p>
      <w:pPr>
        <w:pStyle w:val="Heading1"/>
      </w:pPr>
      <w:r>
        <w:t>Start of Article 20</w:t>
      </w:r>
    </w:p>
    <w:p>
      <w:pPr>
        <w:pStyle w:val="Heading1"/>
      </w:pPr>
      <w:r>
        <w:t>Document ID DRGW000020150612eb6j0008h</w:t>
      </w:r>
    </w:p>
    <w:p>
      <w:r>
        <w:t>Our news journalists obtained a quote from the research from Singapore National University, "In oral drug delivery, many drugs suffer from low bioavailability due to the presence of various biological barriers. Dendrimers have been shown to modulate tight junctions and the integrity of cellular membranes. This effect gives hope for dendrimer to be applied in oral drug delivery. Based on such properties, dendrimers are further surface-modified so that the system will be more suitable for oral delivery applications. Cationic dendrimers are commonly conjugated with neutral or negatively charged ligands, such as polyethylene glycol (PEG), to reduce potential toxicity in gastrointestinal (G. I.) tract. Dendrimers are also surface-modified to inhibit the efflux effect of P-glycoprotein, which is one of the major drug efflux pumps in G. I. tract. Another interesting strategy is to directly conjugate or mix dendrimer with drugs either to form a dendrimer-drug conjugation or complex to deliver the drug. In this review, application of dendrimers in oral drug delivery will be discussed."</w:t>
        <w:br/>
        <w:br/>
        <w:t>According to the news editors, the research concluded: "The main focus is on the various surface modification strategies to design a more desirable dendrimer-based delivery system that fits the need in oral drug delivery."</w:t>
        <w:br/>
        <w:br/>
        <w:t>For more information on this research see: Dendrimers in Oral Drug Delivery Application: Current Explorations, Toxicity Issues and Strategies for Improvement. Current Pharmaceutical Design, 2015;21(19):2629-2642. Current Pharmaceutical Design can be contacted at: Bentham Science Publ Ltd, Executive Ste Y-2, PO Box 7917, Saif Zone, 1200 Br Sharjah, U Arab Emirates. (Bentham Science Publishers - www.benthamscience.com; Current Pharmaceutical Design - www.benthamscience.com/cpd/index.htm)</w:t>
        <w:br/>
        <w:br/>
        <w:t>The news correspondents report that additional information may be obtained from Y.J. Liu, Singapore National University, Fac Sci, Dept. of Pharm, Singapore 117543, Singapore. Additional authors for this research include J.K. Tee and G.N.C. Chiu.</w:t>
        <w:br/>
        <w:br/>
        <w:t>Keywords for this news article include: Asia, Drugs and Therapies, Drug Delivery Systems</w:t>
        <w:br/>
        <w:br/>
        <w:t>Our reports deliver fact-based news of research and discoveries from around the world. Copyright 2015, NewsRx LLC</w:t>
      </w:r>
    </w:p>
    <w:p>
      <w:pPr>
        <w:pStyle w:val="Heading1"/>
      </w:pPr>
      <w:r>
        <w:t>End of Article 20</w:t>
      </w:r>
    </w:p>
    <w:p>
      <w:r>
        <w:br w:type="page"/>
      </w:r>
    </w:p>
    <w:p>
      <w:pPr>
        <w:pStyle w:val="Heading1"/>
      </w:pPr>
      <w:r>
        <w:t>Start of Article 21</w:t>
      </w:r>
    </w:p>
    <w:p>
      <w:pPr>
        <w:pStyle w:val="Heading1"/>
      </w:pPr>
      <w:r>
        <w:t>Document ID DJDN000020150403eb430019x</w:t>
      </w:r>
    </w:p>
    <w:p>
      <w:r>
        <w:t>13:18 EDT - The chief risk officer for Sodexo, the North American unit of Sodexo SA (SW.FR), says in an interview that the company will have to improve its approach to risk management in order to achieve the ambitious financial goals it has set in the context of a global restructuring. There's more risk because there's more distraction--and people in new roles may not have institutional experience to fall back on. "We have some very significant financial goals that have to be reached and if we don't manage the risk side well it will be a lot harder and less efficient," says Peter Rosiere, vice president of risk management for North America at Sodexo. (gregory.millman@wsj.com)</w:t>
        <w:br/>
        <w:br/>
        <w:t>13:14 EDT - The US legal services sector shed 1,200 jobs in March, dipping slightly below employment levels at the start of the year, the Labor Department said as part of today's employment report. The total number of legal jobs now stands at 1.12M, a preliminary and seasonally adjusted figure around which the sector's employment has hovered the past year and that's still tens of thousands short of pre-recession levels. Counted in the space includes lawyers, paralegals, legal consultants, process servers, notaries and patent agents, among others. Legal's March decline came as overall US job growth was far below expectations and the least in more than a year. (jacob.gershman@wsj.com)</w:t>
        <w:br/>
        <w:br/>
        <w:t>13:06 EDT - Morgan Stanley's own Fed timing measure, known as M1KE (number of months before the first rate hike), reflects expectations for a delay in tightening after this morning's weak jobs report. The measure is now at 8.5 months, versus about 6 months in mid-March, so it's suggesting the 1st rate hike won't come until December. Despite the delay, it compares to a M1KE measure of 45 months for the ECB. Morgan Stanley says a wide gap sets up well for US bonds, recommending investors buy 10-year Treasurys while selling 10-year German bunds and twice as many 10-year Japan bonds. US 10-years yield 1.84%, while German 10s yield 0.19% and Japanese 10s yield 0.35%. (cynthia.lin@wsj.com; @cynthialin_dj)</w:t>
        <w:br/>
        <w:br/>
        <w:t>12:49 EDT - Friday's price rally in US Treasurys caps a winning weak for bond buyers. The 10-year Treasury yield ends at a two-month low of 1.84% today in a shortened holiday session, and for the week falls about 11 bps. The yield has tumbled from this year's peak of 2.24% on March 6 after a strong February jobs report. But sentiment has swung to a more downbeat view of the economy, and now many investors expect the Fed to stand pat on tightening until very late this year. (min.zeng@wsj.com; @minzengwsj)</w:t>
        <w:br/>
        <w:br/>
        <w:t>12:41 EDT - As regulators angst over how to boost oil train safety, one railroad is taking unilateral actions. That's unusual since it will slow trains and pressure peers in an industry where major players nearly always act in concert. Earlier this year, BNSF Railway began charging extra for each older railcar shippers use for crude. The American Fuel &amp; Petrochemical Manufacturers sued saying that's improper. Last week, BNSF additionally said it would slow its oil trains to 35 MPH from 40 in certain populated areas and would increase inspections of tracks and cars. That will slow BNSF's entire system and undoubtedly make some other freight railroads squirm. (betsy.morris@wsj.com)</w:t>
        <w:br/>
        <w:br/>
        <w:t>12:28 EDT - C&amp;A Marketing has closed a $1.9M dollar deal to purchase SkyMall's trademark and online business, according to a C&amp;A Marketing spokeswoman. The sale could mark a new beginning for SkyMall, which is best known for the quirky products it sold through its in-flight catalog. Chaim Pikarski, an owner and executive at New Jersey-based C&amp;A Marketing, told The Wall Street Journal that he plans to turn around the failed business, capitalizing on its widely recognized brand. That process, he says, may include reinstating the now-defunct SkyMall catalog, beloved by many frequent fliers. C&amp;A Marketing has a history of buying up bankrupt businesses with strong brands, including Polaroid and Ritz Camera stores. (tom.corrigan@wsj.com)</w:t>
        <w:br/>
        <w:br/>
        <w:t>12:18 EDT - Venture capitalists are funding startups with technologies to help health-care providers adapt to shifts in medical reimbursement. Conventional, fee-for-service health care pays for every service piecemeal. Medicare and private insurers are testing bundled-payment strategies that instead pay a lump sum for a medical procedure. This encourages care providers to eliminate waste and to quickly catch problems that could increase the cost of treating a patient. VC-backed HealthLoop's cloud-based system helps doctors monitor patients who are recovering from surgery. This helps them catch infections and other complications before they become severe. HealthLoop just signed Cedars-Sinai Health System as a customer. Other care-coordination companies raising venture capital include Cureatr and Caremerge. (brian.gormley@wsj.com)</w:t>
        <w:br/>
        <w:br/>
        <w:t>12:06 EDT - The popular night trading sessions run by the Shanghai Gold Exchange and Shanghai Futures Exchange are giving gold traders there a head start on counterparts in London and New York today. While markets in Europe and Asia are closed for Good Friday, Chinese traders are able to react to today's disappointing jobs report says RBC's George Gero. Mr. Gero said that gold nudged higher in the Far East following the U.S. employment data, "but it didn't spike." Still, gold's reaction is likely to be more pronounced on Sunday night, when electronic trading in U.S. stock and bond futures as well as commodities resumes. "There will be more markets and more liquidity," Mr. Gero said. (tatyana.shumsky@wsj.com; @MissShumsky)</w:t>
        <w:br/>
        <w:br/>
        <w:t>11:57 EDT - While a number of analysts have voiced concerns about railroad's 1Q cargo volumes coming in lower than expected, the sector has surprised in the past in such periods with higher operating-earnings gains than expected, notes Barclays. It finds in 16 cases since 2004, such profits rose more than 5% while volumes fell. "Pricing and productivity are also important drivers of railroad earnings," notes Barclays, which expect the sector's pricing power to continue rising this year. Plus, railroads may report efficiency gains after spending money last year to improve service and capacity. (laura.stevens@wsj.com; @LauraStevensWSJ)</w:t>
        <w:br/>
        <w:br/>
        <w:t>11:55 EDT - People with illnesses like cancer often battle depression and other mental-health problems. Quartet Health has raised $7M in venture capital to help patients get the medical and mental-health care they need. Patients often struggle to get mental health care because of a shortage of clinicians and a lack of financial incentives for primary-care and mental-health-care physicians to collaborate. Quartet's technology connects PCPs and mental-health clinicians to make collaboration easier. The startup, whose primary customers are health plans, is also working with partners on reimbursement structures that encourage collaboration. Others raising VC to improve access to mental-health care include software startup Pear Therapeutics. (brian.gormley@wsj.com)</w:t>
        <w:br/>
        <w:br/>
        <w:t>11:52 EDT - Rail analyst Tony Hatch asks whether "deals may be back?" in a new report on the short-line railroad sector after attending the American Short Line and Regional Railroad Association convention in Orlando, Florida. "There was certainly a fair amount of money around" he writes, from private equity and strategic investors, along with short lines' higher valuations and need for capital investment. He came away with a "general sense" that deal conversations were more serious than in prior years. (betsy.morris@wsj.com)</w:t>
        <w:br/>
        <w:br/>
        <w:t>(END) Dow Jones Newswires</w:t>
        <w:br/>
        <w:br/>
        <w:t>April 03, 2015 13:24 ET (17:24 GMT)</w:t>
      </w:r>
    </w:p>
    <w:p>
      <w:pPr>
        <w:pStyle w:val="Heading1"/>
      </w:pPr>
      <w:r>
        <w:t>End of Article 21</w:t>
      </w:r>
    </w:p>
    <w:p>
      <w:r>
        <w:br w:type="page"/>
      </w:r>
    </w:p>
    <w:p>
      <w:pPr>
        <w:pStyle w:val="Heading1"/>
      </w:pPr>
      <w:r>
        <w:t>Start of Article 22</w:t>
      </w:r>
    </w:p>
    <w:p>
      <w:pPr>
        <w:pStyle w:val="Heading1"/>
      </w:pPr>
      <w:r>
        <w:t>Document ID ATDOMB0020150522eb5m0005r</w:t>
      </w:r>
    </w:p>
    <w:p>
      <w:r>
        <w:t>The genes - TAF12, NFYC and RAD54L - are involved in DNA repair and regulation.</w:t>
        <w:br/>
        <w:br/>
        <w:t>Researchers showed that CPC often has at least one extra copy of each gene and demonstrated that the genes work cooperatively to launch and sustain the tumor.</w:t>
        <w:br/>
        <w:br/>
        <w:t>Investigators also found evidence that investigational drugs called ATR inhibitors that are already in development for cancer treatment may be effective against CPC.</w:t>
        <w:br/>
        <w:br/>
        <w:t>The drugs work by blocking certain DNA repair enzymes, increasing the susceptibility of tumour cells to chemotherapy or radiation. Planning has begun for a possible international clinical trial featuring an ATR inhibitor.</w:t>
        <w:br/>
        <w:br/>
        <w:t>The findings suggest that disruption of normal DNA maintenance and repair plays a central role in CPC, a tumour with few treatment options. Of the estimated 50 paediatric CPC patients identified each year in the US, about two-thirds will die of their disease.</w:t>
        <w:br/>
        <w:br/>
        <w:t>While CPC occurs in both children and adults, most CPC patients are ages 2 or younger.</w:t>
        <w:br/>
        <w:br/>
        <w:t>''This work provides hope for this rare, neglected disease by identifying some significant drivers of the tumor and providing the first real direction for treatment,'' said corresponding author Richard Gilbertson, M.D., Ph.D., St. Jude scientific and Comprehensive Cancer Center director. The study's first author is Yiai Tong, Ph.D., a St. Jude associate scientist.</w:t>
        <w:br/>
        <w:br/>
        <w:t>The strategy used to discover the CPC oncogenes should also help researchers identify oncogenes that play important roles in other adult and pediatric cancers that include genetic changes called copy number alterations (CNAs). These alterations occur frequently in childhood cancer and involve the duplication or deletion of large pieces of DNA.</w:t>
        <w:br/>
        <w:br/>
        <w:t>Of the 23 human CPCs in this study, 61 per cent had at least one extra copy of chromosome 1, which carries more than 2,000 genes. ''Large copy-number alterations are a common feature of childhood cancer, but until now there was no good way to answer the question of which of those genes was important to initiating or sustaining the cancer,'' Gilbertson says .</w:t>
        <w:br/>
        <w:br/>
        <w:t>For CPC, the answer began by chance. Gilbertson and his colleagues developed a mouse model of CPC while working to create an animal model to advance understanding of another pediatric brain tumor.</w:t>
        <w:br/>
        <w:br/>
        <w:t>In this study, investigators used the CPC model to look for blocks of genes that are carried on human chromosome 1 and also duplicated in the mouse tumour. A search of 47 mouse CPCs turned up a chromosome fragment with 671 genes from human chromosome 1 that was duplicated in half of the mouse tumours. Researchers found evidence that 21 of the 671 duplicated genes were ''switched on'' or overexpressed in the mouse tumours.</w:t>
        <w:br/>
        <w:br/>
        <w:t>CPC develops in cells that line the fluid-filled ventricles in the brain and produce cerebrospinal fluid. When researchers introduced each of the 21 genes into mouse choroid plexus cells in the laboratory, only Taf12, Nfyc and Rad54l led to changes associated with CPC, including cell proliferation.</w:t>
        <w:br/>
        <w:br/>
        <w:t>Researchers also showed that all three genes were required to initiate and sustain the tumours in mice.</w:t>
        <w:br/>
        <w:br/>
        <w:t>''This same cross-species mapping approach holds promise for identifying oncogenes located in large regions of chromosomal gain that are a feature of other adult and pediatric cancers,'' Gilbertson says.</w:t>
        <w:br/>
        <w:br/>
        <w:t>For CPC patients, the results provide much needed direction for designing tumor-specific therapy. ''These oncogenes may function like a mechanic who is always on the spot to keep a junk car running,'' Gilbertson said. ''Just like the car will break down if you get rid of the mechanic, preclinical trials are underway using different drug combinations to block the hyperactive DNA repair mechanism so the tumors eventually succumb to the accumulated DNA damage.''</w:t>
        <w:br/>
        <w:br/>
        <w:t>The other authors are Birgit Nimmervoll, Yong-Dong Wang, David Finkelstein, James Dalton, David Ellison, Xiaotu Ma and Jinghui Zhang, all of St. Jude; Kirti Gupta, formerly of St. Jude, and Diane Marino and David Malkin, both of The Hospital for Sick Children and the University of Toronto.</w:t>
      </w:r>
    </w:p>
    <w:p>
      <w:pPr>
        <w:pStyle w:val="Heading1"/>
      </w:pPr>
      <w:r>
        <w:t>End of Article 22</w:t>
      </w:r>
    </w:p>
    <w:p>
      <w:r>
        <w:br w:type="page"/>
      </w:r>
    </w:p>
    <w:p>
      <w:pPr>
        <w:pStyle w:val="Heading1"/>
      </w:pPr>
      <w:r>
        <w:t>Start of Article 23</w:t>
      </w:r>
    </w:p>
    <w:p>
      <w:pPr>
        <w:pStyle w:val="Heading1"/>
      </w:pPr>
      <w:r>
        <w:t>Document ID BHLD000020150518eb5d00011</w:t>
      </w:r>
    </w:p>
    <w:p>
      <w:r>
        <w:t>Yee said if the drug is approved, it will likely cost around $250,000, about $50,000 less than the company's other cystic fibrosis drug.</w:t>
        <w:br/>
        <w:br/>
        <w:t>Jeffrey Chodakewitz, chief medical officer and executive vice president of Vertex, said, “The positive recommendation brings the cystic fibrosis community one step closer to potential approval of the first medicine to treat the underlying cause of this disease for many more people."</w:t>
        <w:br/>
        <w:br/>
        <w:t>The FDA must still approve the drug, and is scheduled to make a decision by July 5. The agency is not bound by the advisory panel's vote, but often follows it. The drug Orkambi will treat the largest group of cystic fibrosis patients. Orkambi, if approved, would be the first drug to treat the underlying cause of cystic fibrosis in that population of roughly 8,500 people.</w:t>
        <w:br/>
        <w:br/>
        <w:t>Cystic fibrosis is caused by a genetic mutation that limits the flow of salt and water into and out of cells. Mucus can build in the lungs, leading to infections and eventually death.</w:t>
        <w:br/>
        <w:br/>
        <w:t>“The quote I've heard several patients say is ‘it gives me my life back,'" said Matt Roden, an analyst with UBS.</w:t>
        <w:br/>
        <w:br/>
        <w:t>Analysts expect Orkambi to reach $5 billion in sales annually. Trading on Vertex was halted during the daylong advisory panel meeting yesterday.</w:t>
        <w:br/>
        <w:br/>
        <w:t>— jordan.graham@bostonherald.com</w:t>
      </w:r>
    </w:p>
    <w:p>
      <w:pPr>
        <w:pStyle w:val="Heading1"/>
      </w:pPr>
      <w:r>
        <w:t>End of Article 23</w:t>
      </w:r>
    </w:p>
    <w:p>
      <w:r>
        <w:br w:type="page"/>
      </w:r>
    </w:p>
    <w:p>
      <w:pPr>
        <w:pStyle w:val="Heading1"/>
      </w:pPr>
      <w:r>
        <w:t>Start of Article 24</w:t>
      </w:r>
    </w:p>
    <w:p>
      <w:pPr>
        <w:pStyle w:val="Heading1"/>
      </w:pPr>
      <w:r>
        <w:t>Document ID NBPPBS0020150507eb58001vs</w:t>
      </w:r>
    </w:p>
    <w:p>
      <w:r>
        <w:t>Here is a record of Michael L. Babich's transactions that were reported:</w:t>
        <w:br/>
        <w:br/>
        <w:t>Date               Transaction Type  No. of Shares Price, US$                                 Value, US$</w:t>
        <w:br/>
        <w:t>March 17, 2015    Sold              27400           57.7533211678832116788321167883211678832 1,582,441</w:t>
        <w:br/>
        <w:t>March 16, 2015    Sold              47600           59.1275861344537815126050420168067226891 2,814,473</w:t>
        <w:br/>
        <w:t>November 04, 2014 Sold              7,500          37.27                                     279,525</w:t>
        <w:br/>
        <w:t>November 03, 2014 Sold              72,500         39.06                                     2,831,850</w:t>
        <w:br/>
        <w:t>October 21, 2014  Sold              20,000         40.17                                     803,400</w:t>
        <w:br/>
        <w:t>March 05, 2014    Sold              288,432        79.79                                      23,013,989</w:t>
        <w:br/>
        <w:br/>
        <w:br/>
        <w:t>MANAGEMENT SCORECARD FOR INSYS THERAPEUTICS, INC.:</w:t>
        <w:br/>
        <w:br/>
        <w:t>Michael L. Babich's performance for Insys Therapeutics is placed 418/2,362 in BSS News Bites's ranking of NASDAQ performers in the past year, a percentile ranking of 81%.</w:t>
        <w:br/>
        <w:br/>
        <w:t>Key Financials:</w:t>
        <w:br/>
        <w:br/>
        <w:t>(all figures in pct)</w:t>
        <w:br/>
        <w:br/>
        <w:t xml:space="preserve"> Revenue Growth  EPS Growth  Operating Margin ROE</w:t>
        <w:br/>
        <w:t>2014            123.7       -26.1             -     22.9</w:t>
        <w:br/>
        <w:t>2013            541.6       -                 32.8  50.8</w:t>
        <w:br/>
        <w:br/>
        <w:br/>
        <w:t xml:space="preserve"> Share Price (USD)  Market Capitalisation ($)</w:t>
        <w:br/>
        <w:t>Last               55.9 2 billion</w:t>
        <w:br/>
        <w:t>1 Year ago         40.0 1.4 billion</w:t>
        <w:br/>
        <w:br/>
        <w:br/>
        <w:t>Biography</w:t>
        <w:br/>
        <w:br/>
        <w:t>Michael L. Babich, CEO and President</w:t>
        <w:br/>
        <w:br/>
        <w:t>Michael Babich has served as our President since November 2010 and was appointed as our Chief Executive Officer in March 2011. Mr. Babich has also served on our Board since 2008. From March 2007 until November 2010, Mr. Babich served as the Chief Operating Officer and a director of Insys Pharma, our wholly-owned subsidiary, which was responsible for the initial development of Dronabinol SG Capsule and many of our product candidates, including Subsys and our other dronabinol product candidates. Prior to that, from 2001 to 2007, Mr. Babich worked at EJ Financial Enterprises, a venture capital firm specializing in early stage and startup investments primarily in the healthcare sector. During his time at EJ Financial Enterprises, Mr. Babich held various roles and worked on various projects, including private equity transactions, asset management and strategic consulting for both public and private companies. Prior to his work at EJ Financial Enterprises, Mr. Babich worked at the Northern Trust Corporation managing mid- to large-cap portfolios for high net worth individuals. Mr. Babich also has served as a director and in management roles at Alliant Pharmaceuticals. Mr. Babich received an MBA from the Kellogg School of Management at Northwestern University and a B.A. from the University of Illinois at Urbana-Champaign. We believe that Mr. Babich's business expertise, including his experience working with the investment community, provides him the operational expertise, breadth of knowledge and valuable understanding of our industry to qualify him to serve on our board of directors and as our President and Chief Executive Officer.</w:t>
        <w:br/>
        <w:br/>
        <w:t>Remuneration</w:t>
        <w:br/>
        <w:br/>
        <w:t>Year: 2014</w:t>
        <w:br/>
        <w:br/>
        <w:t>Salary ($): 389,229</w:t>
        <w:br/>
        <w:br/>
        <w:t>Bonus ($): 500,000</w:t>
        <w:br/>
        <w:br/>
        <w:t>Option Awards ($): 1,649,370</w:t>
        <w:br/>
        <w:br/>
        <w:t>All Other Compensation ($): 1,307</w:t>
        <w:br/>
        <w:br/>
        <w:t>Total ($):2,539,906</w:t>
        <w:br/>
        <w:br/>
        <w:t>Original Newsbody (Release Date: May 07, 2015)</w:t>
        <w:br/>
        <w:br/>
        <w:t>http://www.sec.gov/Archives/edgar/data/1368078/000120919115039907/xslF345X03/doc4.xml</w:t>
        <w:br/>
        <w:br/>
        <w:t>Source: BuySellSignals.com</w:t>
      </w:r>
    </w:p>
    <w:p>
      <w:pPr>
        <w:pStyle w:val="Heading1"/>
      </w:pPr>
      <w:r>
        <w:t>End of Article 24</w:t>
      </w:r>
    </w:p>
    <w:p>
      <w:r>
        <w:br w:type="page"/>
      </w:r>
    </w:p>
    <w:p>
      <w:pPr>
        <w:pStyle w:val="Heading1"/>
      </w:pPr>
      <w:r>
        <w:t>Start of Article 25</w:t>
      </w:r>
    </w:p>
    <w:p>
      <w:pPr>
        <w:pStyle w:val="Heading1"/>
      </w:pPr>
      <w:r>
        <w:t>Document ID ATPHAM0020151112ebba0005o</w:t>
      </w:r>
    </w:p>
    <w:p>
      <w:r>
        <w:t>The medicine was well-tolerated and did not affect any severe health concerns, said the company.</w:t>
        <w:br/>
        <w:br/>
        <w:t>PRX302 is being developed since 2009. Referring to interim review, the company said last December that the review had showed that the treatment would not be effective. The review was based on data available at that time.</w:t>
        <w:br/>
        <w:br/>
        <w:t>The pharma major said that the medication has huge potential to do annual sales of worth more than $1 billion.</w:t>
        <w:br/>
        <w:br/>
        <w:t>As per the Urology Care Foundation, benign prostatic hyperplasia affects nearly 50% of men in their 50s and around 90% of men aged above 80.</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76DF1B4-FFF8-4472-82CB-BDC94276CDE0}"/>
</file>

<file path=customXml/itemProps3.xml><?xml version="1.0" encoding="utf-8"?>
<ds:datastoreItem xmlns:ds="http://schemas.openxmlformats.org/officeDocument/2006/customXml" ds:itemID="{7204A4C4-268C-45EE-8733-E1F2FB9D4A5C}"/>
</file>

<file path=customXml/itemProps4.xml><?xml version="1.0" encoding="utf-8"?>
<ds:datastoreItem xmlns:ds="http://schemas.openxmlformats.org/officeDocument/2006/customXml" ds:itemID="{9D702E21-5200-48C6-8E93-E57F95876E0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