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0375BF51" wp14:textId="77777777">
      <w:pPr>
        <w:pStyle w:val="Heading1"/>
      </w:pPr>
      <w:r>
        <w:t>Document ID BWR0000020150217eb2h00047</w:t>
      </w:r>
    </w:p>
    <w:p xmlns:wp14="http://schemas.microsoft.com/office/word/2010/wordml" w14:paraId="57AD094E" wp14:textId="77777777">
      <w:r>
        <w:br/>
      </w:r>
      <w:r>
        <w:t xml:space="preserve">   -- Cowen and Company 35th Annual Health Care Conference on Tuesday, March 3, </w:t>
      </w:r>
      <w:r>
        <w:br/>
      </w:r>
      <w:r>
        <w:t xml:space="preserve">      2015 at 10:40 am (EST) in Boston; and </w:t>
      </w:r>
      <w:r>
        <w:br/>
      </w:r>
      <w:r>
        <w:t xml:space="preserve"> </w:t>
      </w:r>
      <w:r>
        <w:br/>
      </w:r>
      <w:r>
        <w:t xml:space="preserve">   -- Barclays Global Healthcare Conference on Wednesday, March 11, 2015 at </w:t>
      </w:r>
      <w:r>
        <w:br/>
      </w:r>
      <w:r>
        <w:t xml:space="preserve">      3:50 pm (EDT) in Miami </w:t>
      </w:r>
      <w:r>
        <w:br/>
      </w:r>
      <w:r>
        <w:br/>
      </w:r>
      <w:r>
        <w:t>The presentations will be webcast live and can be accessed at www.incyte.com under Investor Relations, Events and Webcasts. A replay of the presentations will be available. Investors interested in listening to the live webcast should log on before the start time in order to download any software required.</w:t>
      </w:r>
      <w:r>
        <w:br/>
      </w:r>
      <w:r>
        <w:br/>
      </w:r>
      <w:r>
        <w:t>Incyte Corporation is a Wilmington, Delaware-based biopharmaceutical company focused on the discovery, development and commercialization of proprietary therapeutics, primarily for oncology. For additional information on Incyte, please visit the Company's web site at www.incyte.com.</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55BE014B" wp14:textId="77777777">
      <w:pPr>
        <w:pStyle w:val="Heading1"/>
      </w:pPr>
      <w:r>
        <w:t>Document ID WSJO000020151216ebcg000p3</w:t>
      </w:r>
    </w:p>
    <w:p xmlns:wp14="http://schemas.microsoft.com/office/word/2010/wordml" w14:paraId="42F91EBA" wp14:textId="77777777">
      <w:r>
        <w:t>Federal officials had long been expecting a surge of applications around a heavily promoted Dec. 15 deadline to have coverage effective Jan. 1. The new sign-up season had started Nov. 1, but as in previous years, most activity has been clustered in the final days.</w:t>
      </w:r>
      <w:r>
        <w:br/>
      </w:r>
      <w:r>
        <w:br/>
      </w:r>
      <w:r>
        <w:t>The Obama administration said Tuesday evening that the past few days have been the busiest ever on the site and customer support call center, which serve about three dozen states that were unable or unwilling to operate their own. The extension means the sign-up period now ends at 11:59 p.m. Pacific Time on Dec. 17.</w:t>
      </w:r>
      <w:r>
        <w:br/>
      </w:r>
      <w:r>
        <w:br/>
      </w:r>
      <w:r>
        <w:t>The federal site underwent a substantial overhaul after a rough launch in the fall of 2013 and performed significantly better last fall. It also appeared to hold up this year at busy moments, when it was able to handle more than 150,000 simultaneous users, but the federal government also deployed ‘waiting rooms' for numbers beyond that point at certain times, or asked customers to leave their contact information and hold a place in line.</w:t>
      </w:r>
      <w:r>
        <w:br/>
      </w:r>
      <w:r>
        <w:br/>
      </w:r>
      <w:r>
        <w:t>“Because of the unprecedented demand and volume of consumers contacting our call center of visiting HealthCare.gov, we are extending the deadline," said Kevin Counihan, the Obama administration's official in charge of HealthCare.gov. “Our goal is to provide access to affordable coverage and the additional 48 hours will give consumers an opportunity to come back and complete their enrollment for January 1 coverage."</w:t>
      </w:r>
      <w:r>
        <w:br/>
      </w:r>
      <w:r>
        <w:br/>
      </w:r>
      <w:r>
        <w:t>People who want coverage that starts later in 2016 will be able to sign up any time before Jan. 31. The federal government has said that unlike in previous years, it won't offer a broad extension of that deadline to coincide with tax-filing deadlines.</w:t>
      </w:r>
      <w:r>
        <w:br/>
      </w:r>
      <w:r>
        <w:br/>
      </w:r>
      <w:r>
        <w:t>Write to Louise Radnofsky at louise.radnofsky@wsj.com</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rsidP="1F520937" w14:paraId="6E8EB604" wp14:textId="77777777" wp14:noSpellErr="1">
      <w:pPr>
        <w:pStyle w:val="Heading1"/>
        <w:rPr>
          <w:highlight w:val="yellow"/>
        </w:rPr>
      </w:pPr>
      <w:r w:rsidRPr="1F520937" w:rsidR="1F520937">
        <w:rPr>
          <w:highlight w:val="yellow"/>
        </w:rPr>
        <w:t>Start of Article 3</w:t>
      </w:r>
    </w:p>
    <w:p xmlns:wp14="http://schemas.microsoft.com/office/word/2010/wordml" w14:paraId="25D931C7" wp14:textId="77777777">
      <w:pPr>
        <w:pStyle w:val="Heading1"/>
      </w:pPr>
      <w:r>
        <w:t>Document ID PBRELS0020151112ebb500001</w:t>
      </w:r>
    </w:p>
    <w:p xmlns:wp14="http://schemas.microsoft.com/office/word/2010/wordml" w14:paraId="2C44A2A1" wp14:textId="77777777">
      <w:r>
        <w:t>Website: http://www.pharmaceutical-business-review.com/</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12BFF655" wp14:textId="77777777">
      <w:pPr>
        <w:pStyle w:val="Heading1"/>
      </w:pPr>
      <w:r>
        <w:t>Document ID STLBJO0020150611eb6b0002w</w:t>
      </w:r>
    </w:p>
    <w:p xmlns:wp14="http://schemas.microsoft.com/office/word/2010/wordml" w14:paraId="1E27E6A2" wp14:textId="77777777">
      <w:r>
        <w:t>NeuroLutions is developing medical devices that use Brain Computer Interface (BCI) technology to help restore function in patients disabled by neurological injury. The device is based on research from Washington University professors Drs. Eric Leuthardt and Dan Moran.</w:t>
      </w:r>
      <w:r>
        <w:br/>
      </w:r>
      <w:r>
        <w:br/>
      </w:r>
      <w:r>
        <w:t>The company, led by CEO Tara Butler, is still pre-revenue and has offices at Washington University and Ascension Ventures' office in Clayton.</w:t>
      </w:r>
      <w:r>
        <w:br/>
      </w:r>
      <w:r>
        <w:br/>
      </w:r>
      <w:r>
        <w:t>Butler is also a managing director at Ascension Ventures.</w:t>
      </w:r>
      <w:r>
        <w:br/>
      </w:r>
      <w:r>
        <w:br/>
      </w:r>
      <w:r>
        <w:t>To date, the company has raised approximately $2 million, Butler said, from previous investors that also include Ascension Ventures and BioGenerator.</w:t>
      </w:r>
      <w:r>
        <w:br/>
      </w:r>
      <w:r>
        <w:br/>
      </w:r>
      <w:r>
        <w:t>Including this most recent round, BioGenerator has now invested $350,000 in the startup. BioGenerator's portfolio includes seven medical device companies, including BacterioScan, Pulse Therapeutics and Kogent Surgical. In 2014, BioGenerator invested $700,000 in medical device companies.</w:t>
      </w:r>
      <w:r>
        <w:br/>
      </w:r>
      <w:r>
        <w:br/>
      </w:r>
      <w:r>
        <w:t>Did you find this article useful? Why not subscribe to St. Louis Business Journal for more articles and leads? Visit bizjournals.com/subscribe or call 1-866-853-3661.</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rsidP="1F520937" w14:paraId="317907DB" wp14:textId="77777777" wp14:noSpellErr="1">
      <w:pPr>
        <w:pStyle w:val="Heading1"/>
        <w:rPr>
          <w:highlight w:val="yellow"/>
        </w:rPr>
      </w:pPr>
      <w:r w:rsidRPr="1F520937" w:rsidR="1F520937">
        <w:rPr>
          <w:highlight w:val="yellow"/>
        </w:rPr>
        <w:t>Start of Article 5</w:t>
      </w:r>
    </w:p>
    <w:p xmlns:wp14="http://schemas.microsoft.com/office/word/2010/wordml" w:rsidP="1F520937" w14:paraId="1EE550B8" wp14:textId="77777777" wp14:noSpellErr="1">
      <w:pPr>
        <w:pStyle w:val="Heading1"/>
        <w:rPr>
          <w:highlight w:val="yellow"/>
        </w:rPr>
      </w:pPr>
      <w:r w:rsidRPr="1F520937" w:rsidR="1F520937">
        <w:rPr>
          <w:highlight w:val="yellow"/>
        </w:rPr>
        <w:t>Document ID CHPR000020150923eb9g00016</w:t>
      </w:r>
    </w:p>
    <w:p xmlns:wp14="http://schemas.microsoft.com/office/word/2010/wordml" w:rsidP="1F520937" w14:paraId="795B08B8" wp14:textId="77777777" wp14:noSpellErr="1">
      <w:pPr>
        <w:rPr>
          <w:highlight w:val="yellow"/>
        </w:rPr>
      </w:pPr>
      <w:r w:rsidRPr="1F520937" w:rsidR="1F520937">
        <w:rPr>
          <w:highlight w:val="yellow"/>
        </w:rPr>
        <w:t>Website: http://www.marketwired.com</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45448458" wp14:textId="77777777">
      <w:pPr>
        <w:pStyle w:val="Heading1"/>
      </w:pPr>
      <w:r>
        <w:t>Document ID ECTDEL0020151027ebar0000r</w:t>
      </w:r>
    </w:p>
    <w:p xmlns:wp14="http://schemas.microsoft.com/office/word/2010/wordml" w14:paraId="298C8232" wp14:textId="77777777">
      <w:r>
        <w:t>A Cipla spokesperson said since Cipla was not a party to the suit it has no comment to make. In an email response seeking comment, PuraCap said its complaint was publicly available at the US District Court for the Southern District of New York but didn't provide any other specific information.</w:t>
      </w:r>
      <w:r>
        <w:br/>
      </w:r>
      <w:r>
        <w:br/>
      </w:r>
      <w:r>
        <w:t>In an earlier statement, PuraCap said it was seeking damages from InvaGen but did not provide details on the al leged violations or breech of obligations. An industry source said the dispute could be related to some manufacturing contracts, but this could not be verified. PuraCap has a presence in branded and private label drugs, in addition to over-the-counter and prescription products.</w:t>
      </w:r>
      <w:r>
        <w:br/>
      </w:r>
      <w:r>
        <w:br/>
      </w:r>
      <w:r>
        <w:t>Although strong in markets like India and Africa, Cipla lags its leading local peers in terms of market share in the US. The deal is aimed at boosting its presence in the US, from where it targets to generate at least 20% of overall revenue by 2020.</w:t>
      </w:r>
      <w:r>
        <w:br/>
      </w:r>
      <w:r>
        <w:br/>
      </w:r>
      <w:r>
        <w:t>The two companies -InvaGen and Exelan -are expected to bring scale to Cipla via access to a wide-ranging product portfolio, including cardiovascular, anti-infective, CNS, anti-diabetic and anti-depression drugs that had combined annual revenue of about $225 million. At the time of the announcement of the deal, Cipla said it had access to about 40 applications for new generic drugs, 32 marketed products and 30 pipeline products that were expected to be approved over four years.</w:t>
      </w:r>
      <w:r>
        <w:br/>
      </w:r>
      <w:r>
        <w:br/>
      </w:r>
      <w:r>
        <w:t>Through Exelan, Cipla said it got access to the government and institutional market.</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534EA678" wp14:textId="77777777">
      <w:pPr>
        <w:pStyle w:val="Heading1"/>
      </w:pPr>
      <w:r>
        <w:t>Document ID NBPPBS0020150508eb5900043</w:t>
      </w:r>
    </w:p>
    <w:p xmlns:wp14="http://schemas.microsoft.com/office/word/2010/wordml" w14:paraId="7B4E184F" wp14:textId="77777777">
      <w:r>
        <w:t>Mr. Chahil is a Silicon Valley based Innovations Advisor and Social Entrepreneur. Since January 2010, Mr. Chahil has been an Executive Adviser to several global high tech companies, including Hewlett-Packard, Beats Electronics, Blackberry (RIM), Starkey Hearing Technologies, and Sony Electronics. Prior to that, Mr. Chahil was the Senior Vice President-Marketing of Hewlett Packard's Personal Systems Group, and prior to that, he was advisor to the Chairman of Palm, Inc. (a manufacturer and marketer of handheld computing and mobile and wireless Internet solutions). He is also Trustee of the American India Foundation.</w:t>
      </w:r>
      <w:r>
        <w:br/>
      </w:r>
      <w:r>
        <w:br/>
      </w:r>
      <w:r>
        <w:t>Mr. Chahil earned a bachelor's degree in commerce from Punjab University in Chandigarh, India and a master's degree from the American (Thunderbird) Graduate School of International Management in Arizona.</w:t>
      </w:r>
      <w:r>
        <w:br/>
      </w:r>
      <w:r>
        <w:br/>
      </w:r>
      <w:r>
        <w:t>Mr. Chahil has been a Class II director of the Company since 2002. He also serves as a member of our Compensation and Corporate Governance and Nominating Committees. At the 2014 Annual Meeting of Stockholders, Mr. Chahil was reelected as a Class II Director of the Company to serve until the 2016 Annual Meeting of Stockholders.</w:t>
      </w:r>
      <w:r>
        <w:br/>
      </w:r>
      <w:r>
        <w:br/>
      </w:r>
      <w:r>
        <w:t>Mr. Chahil provides our Board with proven leadership and business experience in the areas of digital convergence, new media and global marketing gained from serving in various executive management positions with multinational information technology, computing and wireless control companies and the extensive management and corporate governance experience gained from those roles.</w:t>
      </w:r>
      <w:r>
        <w:br/>
      </w:r>
      <w:r>
        <w:br/>
      </w:r>
      <w:r>
        <w:t>MANAGEMENT SCORECARD FOR UNIVERSAL ELECTRONICS INC.:</w:t>
      </w:r>
      <w:r>
        <w:br/>
      </w:r>
      <w:r>
        <w:br/>
      </w:r>
      <w:r>
        <w:t>Satjiv S. Chahil's performance for Universal Electronics is placed 367/2,362 in BSS News Bites's ranking of NASDAQ performers in the past year, a percentile ranking of 83%.</w:t>
      </w:r>
      <w:r>
        <w:br/>
      </w:r>
      <w:r>
        <w:br/>
      </w:r>
      <w:r>
        <w:t>Key Financials:</w:t>
      </w:r>
      <w:r>
        <w:br/>
      </w:r>
      <w:r>
        <w:br/>
      </w:r>
      <w:r>
        <w:t>(all figures in pct)</w:t>
      </w:r>
      <w:r>
        <w:br/>
      </w:r>
      <w:r>
        <w:br/>
      </w:r>
      <w:r>
        <w:t xml:space="preserve"> Revenue Growth  EPS Growth ROE</w:t>
      </w:r>
      <w:r>
        <w:br/>
      </w:r>
      <w:r>
        <w:t>2014            6.2         36.7  10.3</w:t>
      </w:r>
      <w:r>
        <w:br/>
      </w:r>
      <w:r>
        <w:t>2013            14.3        33.6 7.9</w:t>
      </w:r>
      <w:r>
        <w:br/>
      </w:r>
      <w:r>
        <w:t>2012            -1.2        -16  6.6</w:t>
      </w:r>
      <w:r>
        <w:br/>
      </w:r>
      <w:r>
        <w:t>2011            41.2        22.4 8.7</w:t>
      </w:r>
      <w:r>
        <w:br/>
      </w:r>
      <w:r>
        <w:br/>
      </w:r>
      <w:r>
        <w:br/>
      </w:r>
      <w:r>
        <w:t xml:space="preserve"> Share Price (USD)  Market Capitalisation ($)</w:t>
      </w:r>
      <w:r>
        <w:br/>
      </w:r>
      <w:r>
        <w:t>Last               56.4 895.8 million</w:t>
      </w:r>
      <w:r>
        <w:br/>
      </w:r>
      <w:r>
        <w:t>1 Year ago         40.3 640.3 million</w:t>
      </w:r>
      <w:r>
        <w:br/>
      </w:r>
      <w:r>
        <w:t>2 Years ago        24.1 360.4 million</w:t>
      </w:r>
      <w:r>
        <w:br/>
      </w:r>
      <w:r>
        <w:t>3 Years ago        15.3 225.4 million</w:t>
      </w:r>
      <w:r>
        <w:br/>
      </w:r>
      <w:r>
        <w:t>4 Years ago        26.0 383.9 million</w:t>
      </w:r>
      <w:r>
        <w:br/>
      </w:r>
      <w:r>
        <w:t>5 Years ago        20.5 303.1 million</w:t>
      </w:r>
      <w:r>
        <w:br/>
      </w:r>
      <w:r>
        <w:br/>
      </w:r>
      <w:r>
        <w:br/>
      </w:r>
      <w:r>
        <w:t>Source: BuySellSignals.com</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770C02E3" wp14:textId="77777777">
      <w:pPr>
        <w:pStyle w:val="Heading1"/>
      </w:pPr>
      <w:r>
        <w:t>Document ID BIOELSE020150831eb8o0000e</w:t>
      </w:r>
    </w:p>
    <w:p xmlns:wp14="http://schemas.microsoft.com/office/word/2010/wordml" w14:paraId="5281A47B" wp14:textId="77777777">
      <w:r>
        <w:t xml:space="preserve"> The second cohort will be comprised of patients with other INI1-negative tumours including epithelial sarcoma, epithelioid malignant peripheral nerve sheath tumour, extraskeletal myxoid chondrosarcoma, myoepithelial carcinoma, and renal medullary carcinoma. The third cohort will be comprised of patients with synovial sarcoma. Dosing in all three cohorts will be at the recommended phase 2 dose of 800 mg twice per day (BID) with a tablet formulation, which Epizyme is also using in its ongoing phase 2 trial in non-Hodgkin lymphoma. The primary endpoint is overall response rate (ORR) for patients with INI1-negative tumours and progression-free survival (PFS) for patients with synovial sarcoma. Secondary endpoints include duration of response, overall survival (OS), PFS for patients with INI1-negative tumours, safety and pharmacokinetics (PK). The paediatric phase 1 multicentre study will enrol approximately 40 patients in a dose escalation design, followed by dose expansion, with an oral suspension of tazemetostat. The study will enrol subjects with INI1-negative tumours or synovial sarcoma. INI1-negative tumours include MRT, ATRT, RTK, and other INI1-negative tumours as previously described. The primary endpoint of study is safety with the objective of establishing the recommended phase 2 dose in paediatric patients. Secondary endpoints include PK, ORR, duration of response, PFS and OS. Epizyme will present a clinical update for the phase 1 portion of the ongoing phase 1/2 trial of tazemetostat at ESMO's European Cancer Conference on 26 Sep 2015. This update will include safety data from the entire cohort and efficacy data from patients with solid tumours including INI1-negative tumours. Original Source: BioSpace.com, 2015. From website: http://www.biospace.com.</w:t>
      </w:r>
      <w:r>
        <w:br/>
      </w:r>
      <w:r>
        <w:br/>
      </w:r>
      <w:r>
        <w:t>BioSpace</w:t>
      </w:r>
      <w:r>
        <w:br/>
      </w:r>
      <w:r>
        <w:br/>
      </w:r>
      <w:r>
        <w:t>Website: http://www.biospace.com</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342B3C6B" wp14:textId="77777777">
      <w:pPr>
        <w:pStyle w:val="Heading1"/>
      </w:pPr>
      <w:r>
        <w:t>Document ID INDFED0020151216ebce009yk</w:t>
      </w:r>
    </w:p>
    <w:p xmlns:wp14="http://schemas.microsoft.com/office/word/2010/wordml" w14:paraId="0083AAF8" wp14:textId="77777777">
      <w:r>
        <w:t>"Prescription drug abuse continues to claim far too many lives in the state and country - so I am proud that we are taking another step in New York to stop it," said Governor Cuomo. "By joining this hub, prescribers and pharmacists across New York State will be better able to ensure that their patients are not abusing or trafficking prescription drugs. This is about saving lives - plain and simple - and I want to thank all of our partners who have worked with us to make this possible."</w:t>
      </w:r>
      <w:r>
        <w:br/>
      </w:r>
      <w:r>
        <w:br/>
      </w:r>
      <w:r>
        <w:t>State Health Commissioner Dr. Howard Zucker said: "This agreement is another component of Governor Cuomo's aggressive plan to root out prescription drug abuse in New York. It is an initiative that will help us to better fight the abuse of dangerous controlled substances."</w:t>
      </w:r>
      <w:r>
        <w:br/>
      </w:r>
      <w:r>
        <w:br/>
      </w:r>
      <w:r>
        <w:t>The Governor initiated New York State's Prescription Monitoring Program - known as the Internet System for Tracking Over-Prescribing Act (I-STOP) - in 2012, which allows prescribers and pharmacists across the State to run prescription checks to ensure patients are not "doctor shopping" to obtain multiple prescriptions for dangerous controlled substances. I-STOP revolutionized the way controlled substances are prescribed, distributed and tracked in New York State.</w:t>
      </w:r>
      <w:r>
        <w:br/>
      </w:r>
      <w:r>
        <w:br/>
      </w:r>
      <w:r>
        <w:t>I-STOP allows for a "real time" prescription monitoring registry to provide timely and enhanced information to practitioners and pharmacists. Other reforms include requiring all prescriptions to be electronically transmitted; improving safeguards for the distribution of specific prescription controlled substances that are prone to abuse; and requiring the Department of Health to establish a safe disposal program for unused medications.</w:t>
      </w:r>
      <w:r>
        <w:br/>
      </w:r>
      <w:r>
        <w:br/>
      </w:r>
      <w:r>
        <w:t>By joining the NABP PMP InterConnect hub, prescribers and pharmacists using New York's prescription monitoring program will soon have have access to the databases of more than 30 other states currently using the InterConnect hub.</w:t>
      </w:r>
      <w:r>
        <w:br/>
      </w:r>
      <w:r>
        <w:br/>
      </w:r>
      <w:r>
        <w:t>Senator Andrew Lanza said: "Prescription drug addiction is a national epidemic destroying lives from New York to California. Governor Cuomo, Assemblyman Cusick and myself, together with the New York State Legislature, enacted a landmark law to monitor prescription opioid distribution which has become a model for the country. From the outset, Governor Cuomo, Assemblyman Cusick and myself have pushed to ensure that this system is connected across state lines so that we can begin to further close the loop on this national tragedy. I commend Governor Cuomo for his groundbreaking leadership on this issue."</w:t>
      </w:r>
      <w:r>
        <w:br/>
      </w:r>
      <w:r>
        <w:br/>
      </w:r>
      <w:r>
        <w:t>Assemblyman Michael Cusick said: "Although New York's overdose rate from opioid misuse has dropped since the passage of I-STOP legislation authored by Senator Lanza and myself in 2012, we know that prescription drug abuse does not end at our state lines. Staten Island's crossings into New Jersey are just a short drive away, and until now, our efforts to prevent phony prescriptions from being filled were hampered by our borders. I am pleased that New York will now be able to effectively communicate with our neighbors, creating a regional network to stop the scourge of abuse. I applaud Governor Cuomo for taking this step to join the Interconnect system, and thank the National Association of Pharmacy Boards for their partnership in our fight against this epidemic."</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60E99C9C" wp14:textId="77777777">
      <w:pPr>
        <w:pStyle w:val="Heading1"/>
      </w:pPr>
      <w:r>
        <w:t>Document ID MPRMPR0020150107eb1600003</w:t>
      </w:r>
    </w:p>
    <w:p xmlns:wp14="http://schemas.microsoft.com/office/word/2010/wordml" w14:paraId="0A4F69B8" wp14:textId="77777777">
      <w:r>
        <w:t>Diovan is an angiotensin II receptor blocker indicated for the treatment of hypertension and heart failure. Diovan selectively blocks the binding of angiotensin II to the AT1 receptor in many tissues, such as vascular smooth muscle and the adrenal gland. Its action is therefore independent of the pathways for angiotensin II synthesis.</w:t>
      </w:r>
      <w:r>
        <w:br/>
      </w:r>
      <w:r>
        <w:br/>
      </w:r>
      <w:r>
        <w:t>RELATED: Hypertension Evaluation</w:t>
      </w:r>
      <w:r>
        <w:br/>
      </w:r>
      <w:r>
        <w:br/>
      </w:r>
      <w:r>
        <w:t>Valsartan Tablets are available in 40mg, 80mg, 160mg, and 320mg strengths.</w:t>
      </w:r>
      <w:r>
        <w:br/>
      </w:r>
      <w:r>
        <w:br/>
      </w:r>
      <w:r>
        <w:t>For more information call (800) 399-2561 or visit Lupin.com.</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73070567" wp14:textId="77777777">
      <w:pPr>
        <w:pStyle w:val="Heading1"/>
      </w:pPr>
      <w:r>
        <w:t>Document ID BIWK000020150213eb2i0014r</w:t>
      </w:r>
    </w:p>
    <w:p xmlns:wp14="http://schemas.microsoft.com/office/word/2010/wordml" w14:paraId="18DD60E3" wp14:textId="77777777">
      <w:r>
        <w:t>This patent was filed on December 29, 2005 and was published online on February 3, 2015.</w:t>
      </w:r>
      <w:r>
        <w:br/>
      </w:r>
      <w:r>
        <w:br/>
      </w:r>
      <w:r>
        <w:t>From the background information supplied by the inventors, news correspondents obtained the following quote: "In recent years, drug-eluting implantable medical devices, such as, for example, stents, stent grafts, anastomosis devices, vascular grafts, vascular patches, AV shunts, catheters, guide wires, balloons, and filters, which contain one or more therapeutic drugs for local administration and controlled release of such therapeutic drugs, have gained more and more acceptance in the medical device industry. These implantable medical devices (or at least portions thereof) are typically formed of or coated by a biocompatible polymer that encapsulates or otherwise contains the therapeutic drug(s), which can be released into the surrounding environment from the implantable medical devices in a controlled and sustained manner.</w:t>
      </w:r>
      <w:r>
        <w:br/>
      </w:r>
      <w:r>
        <w:br/>
      </w:r>
      <w:r>
        <w:t>"The biocompatible polymer as described hereinabove can be made from a polymeric solution via various different processes, including, but not limited to: spray drying (for preparation of coatings), solvent casting or spin coating (for preparation of thin films or membranes), and spinning (for preparation of fibers). The polymeric solution typically contains one or more biocompatible homopolymers or copolymers (either biostable or biodegradable) and one or more therapeutic drugs dissolved in one or more solvents.</w:t>
      </w:r>
      <w:r>
        <w:br/>
      </w:r>
      <w:r>
        <w:br/>
      </w:r>
      <w:r>
        <w:t>"However, the solvent(s) used in the polymeric solution may have deleterious impact on living tissues. It is therefore important to remove the solvent(s) as completely as possible from the final polymeric composition, or at least reduce the solvent content in the final polymeric composition to a safe level defined by applicable government guidelines, while without reducing the amount of therapeutic drug(s) contained therein.</w:t>
      </w:r>
      <w:r>
        <w:br/>
      </w:r>
      <w:r>
        <w:br/>
      </w:r>
      <w:r>
        <w:t>"For example, the polymeric solution can be coated onto or cast into at least a portion of an implantable medical device to form a drug-containing thin polymeric film (e.g., about 3 to 6 mils), and the solvent(s) contained in the polymeric film can be gradually removed by evaporation under ambient conditions (i.e., room temperature and atmospheric pressure). The final solvent content in the polymeric film typically ranges from about 5 wt % to about 10 wt %, by total weight of the film. This solvent removal method under ambient conditions results in little or no reduction of the drug content in the polymeric film.</w:t>
      </w:r>
      <w:r>
        <w:br/>
      </w:r>
      <w:r>
        <w:br/>
      </w:r>
      <w:r>
        <w:t>"Alternatively, the solvent(s) contained in the polymeric film can be removed by low temperature drying, which is typically carried out at temperatures ranging from about 45.degree. C. to about 60.degree. C. under vacuum. The low temperature drying method can remove the solvent(s) with significant efficiency, resulting in a reduced final solvent content of from about 2 wt % to about 5 wt %, with little or not reduction of the drug content in the polymeric film.</w:t>
      </w:r>
      <w:r>
        <w:br/>
      </w:r>
      <w:r>
        <w:br/>
      </w:r>
      <w:r>
        <w:t>"Further, the solvent(s) can be removed by high temperature drying, which is typically carried out at temperatures ranging from about 60.degree. C. to about 110.degree. C. The high temperature drying method can further reduce of the final solvent content in the polymeric film. However, because the therapeutic drug(s) contained in the polymeric film is typically in an amorphous state and is therefore thermally unstable, the high temperature drying method may cause degradation of the therapeutic drug(s) and lead to significant reduction of the drug content in the polymeric film.</w:t>
      </w:r>
      <w:r>
        <w:br/>
      </w:r>
      <w:r>
        <w:br/>
      </w:r>
      <w:r>
        <w:t>"There is therefore a continuing need for improved methods for effectively removing solvent(s) from a drug-containing polymeric composition, without removing or degrading the therapeutic drug(s) contained therein."</w:t>
      </w:r>
      <w:r>
        <w:br/>
      </w:r>
      <w:r>
        <w:br/>
      </w:r>
      <w:r>
        <w:t>Supplementing the background information on this patent, NewsRx reporters also obtained the inventors' summary information for this patent: "The present invention in one aspect relates to a method comprising: forming a drug-containing polymeric composition comprising a biocompatible polymeric matrix with one or more therapeutic agents encapsulated therein, wherein the polymeric matrix further comprises one or more organic or aqueous solvents in an amount ranging from about 0.5 wt % to about 10 wt % of the total weight of the polymeric matrix; and treating the drug-containing polymeric composition using a low-temperature drying process at a processing temperature of less than 60.degree. C., so as to reduce solvent content in said composition to from about 1 ppm to about 10,000 ppm.</w:t>
      </w:r>
      <w:r>
        <w:br/>
      </w:r>
      <w:r>
        <w:br/>
      </w:r>
      <w:r>
        <w:t>"The term 'polymer' or 'polymeric' as used herein refers to any material, composition, structure, or article that comprises one or more polymers, which can be homopolymers, copolymers, or polymer blends.</w:t>
      </w:r>
      <w:r>
        <w:br/>
      </w:r>
      <w:r>
        <w:br/>
      </w:r>
      <w:r>
        <w:t>"The term 'biocompatible' as used herein refers to any material, composition, structure, or article that have essentially no toxic or injurious impact on the living tissues or living systems which the material, composition, structure, or article is in contact with and produce essentially no immunological response in such living tissues or living systems. More particularly, the material, composition, structure, or article has essentially no adverse impact on the growth and any other desired characteristics of the cells of the living tissues or living systems that are in contact with the material, composition, structure, or article. Generally, the methods for testing the biocompatibility of a material, composition, structure, or article is well known in the art.</w:t>
      </w:r>
      <w:r>
        <w:br/>
      </w:r>
      <w:r>
        <w:br/>
      </w:r>
      <w:r>
        <w:t>"In another aspect, the present invention relates to a drug-containing polymeric composition comprising a biocompatible polymeric matrix with one or more therapeutic agents encapsulated therein, wherein the polymeric matrix further comprises one or more organic or aqueous solvents in an amount from about 1 ppm (parts per million) to about 10,000 ppm.</w:t>
      </w:r>
      <w:r>
        <w:br/>
      </w:r>
      <w:r>
        <w:br/>
      </w:r>
      <w:r>
        <w:t>"The drug-containing polymeric compositions of the present invention preferably are first formed by one or more conventional processing steps to achieve a relatively low initial solvent content from about from about 0.5 wt % to about 10 wt % of the total weight of the polymeric matrix, followed by one or more low temperature processing steps to further reduce the solvent content to a range from about 1 ppm to about 10,000 ppm. By first reducing the solvent content using conventional processing steps, porosity in the final composition resulting from the low temperature drying step can be significantly reduced, while the solvent content in the final composition can be reduced to a desired level (e.g., less than 10,000 ppm), without removing the active therapeutic agents from the composition.</w:t>
      </w:r>
      <w:r>
        <w:br/>
      </w:r>
      <w:r>
        <w:br/>
      </w:r>
      <w:r>
        <w:t>"Conventional processing steps that can be used for forming the initial drug-containing polymeric compositions of relatively low initial solvent contents include, but are not limited to: solution processing and extrusion, melt processing using solvents and plasticizers, processing from gels and viscous solutions, solvent extraction, coating, co-extrusion, wire-coating, spinning disk, wet and dry fiber spinning, electrostatic fiber spinning, injection molding, and compression molding.</w:t>
      </w:r>
      <w:r>
        <w:br/>
      </w:r>
      <w:r>
        <w:br/>
      </w:r>
      <w:r>
        <w:t>"Low temperature processing steps that can be used for further reducing the solvent content in the drug-containing polymeric compositions of the present invention include, but are not limited to: lyophilization (also referred to as freeze drying), super-critical fluid extraction, and azeotropic extraction. The low temperature processes of the present invention function to increase the loading dose or concentration of drugs or other active agents in the drug-containing polymeric composition.</w:t>
      </w:r>
      <w:r>
        <w:br/>
      </w:r>
      <w:r>
        <w:br/>
      </w:r>
      <w:r>
        <w:t>"The drug-containing compositions of the present invention preferably comprise one or more bioabsorbable polymers and can be formed into various structures, including, but not limited to: films, fibers and tubes. The drug-containing compositions of the present invention can be readily incorporated into drug delivery devices, either as polymeric coatings or as integrated parts of the devices, for sustained and controlled local delivery of therapeutic drugs. Different geometries and performance characteristics of the drug delivery devices can be achieved, by adjusting the drug-containing polymeric compositions and/or the processing conditions used for fabricating the devices.</w:t>
      </w:r>
      <w:r>
        <w:br/>
      </w:r>
      <w:r>
        <w:br/>
      </w:r>
      <w:r>
        <w:t>"In a preferred but not necessary embodiment of the present invention, the drug delivery device is a stent comprised of bioabsorbable polymers with drugs or other pharmaceutically active agents incorporated therein. The drugs or other pharmaceutically active agents are incorporated into, or coated onto, the stent in significantly greater amounts than in prior art stents. Likewise, radiopaque markers may also be incorporated into or coated onto the stent, to enable visualization of the stent and thereby more precise placement of the stent in a patient's body. The delivery of greater amounts of drugs and/or other pharmaceutically active agents by the device of the present invention, in combination with the radiopaque markers, tends to improve the efficacy in treating a targeted site, disease or condition.</w:t>
      </w:r>
      <w:r>
        <w:br/>
      </w:r>
      <w:r>
        <w:br/>
      </w:r>
      <w:r>
        <w:t>"Other aspects, features and advantages of the invention will be more fully apparent from the ensuing disclosure and appended claims."</w:t>
      </w:r>
      <w:r>
        <w:br/>
      </w:r>
      <w:r>
        <w:br/>
      </w:r>
      <w:r>
        <w:t>For the URL and additional information on this patent, see: Dave, Vipul; Vyakamam, Murty N.; Zhang, Qiang. Low Temperature Drying Methods for Forming Drug-Containing Polymeric Compositions. U.S. Patent Number 8945598, filed December 29, 2005, and published online on February 3, 2015. Patent URL: http://patft.uspto.gov/netacgi/nph-Parser?Sect1=PTO1&amp;Sect2=HITOFF&amp;d=PALL&amp;p=1&amp;u=%2Fnetahtml%2FPTO%2Fsrchnum.htm&amp;r=1&amp;f=G&amp;l=50&amp;s1=8945598.PN.&amp;OS=PN/8945598RS=PN/8945598</w:t>
      </w:r>
      <w:r>
        <w:br/>
      </w:r>
      <w:r>
        <w:br/>
      </w:r>
      <w:r>
        <w:t>Keywords for this news article include: Therapy, Drug Delivery Systems.</w:t>
      </w:r>
      <w:r>
        <w:br/>
      </w:r>
      <w:r>
        <w:br/>
      </w:r>
      <w:r>
        <w:t>Our reports deliver fact-based news of research and discoveries from around the world. Copyright 2015, NewsRx LLC</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0B0C8B42" wp14:textId="77777777">
      <w:pPr>
        <w:pStyle w:val="Heading1"/>
      </w:pPr>
      <w:r>
        <w:t>Document ID ATPATN0020150601eb610000g</w:t>
      </w:r>
    </w:p>
    <w:p xmlns:wp14="http://schemas.microsoft.com/office/word/2010/wordml" w14:paraId="49FF73C8" wp14:textId="77777777">
      <w:r>
        <w:t>The abstract of the patent published by the Controller General of Patents, Designs &amp; Trade Marks states: "This invention provides novel pharmaceutical compositions of the compound of formula (I): or a pharmaceutically acceptable salt thereof, that are suitable for the bulk production of an oral pharmaceutical dosage form; processes for the production of said oral pharmaceutical dosage form; and the use of the pharmaceutical composition for the treatment of patients suffering from or subject to diseases, disorders, or conditions involving cell survival, proliferation and migration, including chronic inflammatory proliferative disorders, proliferative ocular disorders, benign proliferative disorders, and cancer."</w:t>
      </w:r>
      <w:r>
        <w:br/>
      </w:r>
      <w:r>
        <w:br/>
      </w:r>
      <w:r>
        <w:t>The Patent was published in the Issue No. 20/2015 of the Patent Office Journal on May 15, 2015.</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46F9DF55" wp14:textId="77777777">
      <w:pPr>
        <w:pStyle w:val="Heading1"/>
      </w:pPr>
      <w:r>
        <w:t>Document ID JORTI00020150626eb6q0008i</w:t>
      </w:r>
    </w:p>
    <w:p xmlns:wp14="http://schemas.microsoft.com/office/word/2010/wordml" w14:paraId="76083BA4" wp14:textId="77777777">
      <w:r>
        <w:t>Ureteral stents are hollow tubes that allow urine to be drained though a catheter from the upper part of the urinary system. This market segment is experiencing healthy growth at a CAGR of 7.5%. Meanwhile, the holmium laser segment is expected to grow at a rapid CAGR of 8.1% through 2020, making it the fastest growing segment in the stone management market. Holmium lasers are the only type of lasers used in stone management. Procedures in which they are used are referred to as laser lithotripsy procedures.</w:t>
      </w:r>
      <w:r>
        <w:br/>
      </w:r>
      <w:r>
        <w:br/>
      </w:r>
      <w:r>
        <w:t>Many urologists consider high powered holmium lasers, which are defined as over 80 watts, to be a cost-effective investment. This is due to the fact that the devices can be used not only for stone treatment, but also for laser benign prostate hyperplasia (BPH) treatment. The use of holmium lasers in multiple applications and its consequent returns on investments makes them very appealing, thus driving the overall stone treatment device market.</w:t>
      </w:r>
      <w:r>
        <w:br/>
      </w:r>
      <w:r>
        <w:br/>
      </w:r>
      <w:r>
        <w:t>Lumenis, whose holmium laser technology is distributed by Boston Scientific, is the market leader for holmium lasers. Lumenis is the largest medical laser company in the world and it was the first company to develop a 100-watt holmium laser, as seen in its VersaPulse® PowerSuite system. Also a significant competitor in this market segment is Dornier MedTech America, with its H20 Holmium laser system from the Medilas product family, which is distributed by Olympus.</w:t>
      </w:r>
      <w:r>
        <w:br/>
      </w:r>
      <w:r>
        <w:br/>
      </w:r>
      <w:r>
        <w:t>On the ureteral stents front, the clear market leader is Boston Scientific with their successful Percuflex, Contour and Polaris families of products. Also prominent in this segment is Cook Medical, who offers the C-Flex®, Sof-Flex® and Universa® lines of stents. C. R. Bard is also among the leaders of this market with their popular INLAY ®and BARDEX® family of ureteral stents.</w:t>
      </w:r>
      <w:r>
        <w:br/>
      </w:r>
      <w:r>
        <w:br/>
      </w:r>
      <w:r>
        <w:t>"An emerging technology is antimicrobial coated stents, which have not yet gained FDA approval but could increase demand in the future," explains Dr. Kamran Zamanian, CEO of iData. "Driven by physician preference moving away from placing nephrostomy tubes, unit sales growth is expected to increase."</w:t>
      </w:r>
      <w:r>
        <w:br/>
      </w:r>
      <w:r>
        <w:br/>
      </w:r>
      <w:r>
        <w:t>For Further Information More on the markets for stone management in the U.S. can be found in this latest edition report published by iData entitled U.S. Market for Urological Devices, which covers the U.S. as a whole, as well as market segments for urinary incontinence devices, stone management devices, BPH treatment devices, urological endoscopes, prostate cancer treatment devices, urodynamic equipment and nephrostomy devices.</w:t>
      </w:r>
      <w:r>
        <w:br/>
      </w:r>
      <w:r>
        <w:br/>
      </w:r>
      <w:r>
        <w:t>The iData series on the market for urological devices also covers the U.S., India, China, Japan and 15 countries in Europe. Full reports provide a comprehensive analysis including units sold, procedure numbers, market value, forecasts, as well as detailed competitive market shares and analysis of major players' success strategies in each market and segment.</w:t>
      </w:r>
      <w:r>
        <w:br/>
      </w:r>
      <w:r>
        <w:br/>
      </w:r>
      <w:r>
        <w:t>Register online or email us at info@idataresearch.net for an U.S. Market for Urological Devices report brochure and synopsis.</w:t>
      </w:r>
      <w:r>
        <w:br/>
      </w:r>
      <w:r>
        <w:br/>
      </w:r>
      <w:r>
        <w:t>About Procedure Tracker Procedure number data is available from iData's Procedure Tracker service, which allows subscribers to define and analyze procedure data segmented by State, region, hospital, surgery centre, and physician. A customizable dashboard sorts procedure data for further analysis and research.</w:t>
      </w:r>
      <w:r>
        <w:br/>
      </w:r>
      <w:r>
        <w:br/>
      </w:r>
      <w:r>
        <w:t>About iData Research iData Research (http://www.idataresearch.com) is an international market research and consulting group focused on providing market intelligence for medical device and pharmaceutical companies. iData covers research in: Diabetes Drugs, Diabetes Devices, Pharmaceuticals, Anesthesiology, Wound Management, Orthopedics, Cardiovascular, Ophthalmics, Endoscopy, Gynecology, Urology and more.</w:t>
      </w:r>
      <w:r>
        <w:br/>
      </w:r>
      <w:r>
        <w:br/>
      </w:r>
      <w:r>
        <w:t>For the original version on PRWeb visit: http://www.prweb.com/releases/2015/06/prweb12811618.htm</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2300E3E5" wp14:textId="77777777">
      <w:pPr>
        <w:pStyle w:val="Heading1"/>
      </w:pPr>
      <w:r>
        <w:t>Document ID BIOELSE020151117ebb90001r</w:t>
      </w:r>
    </w:p>
    <w:p xmlns:wp14="http://schemas.microsoft.com/office/word/2010/wordml" w14:paraId="07D390BB" wp14:textId="77777777">
      <w:r>
        <w:t xml:space="preserve"> The STELLAR (Safety and Therapeutic Efficacy of Live-attenuated Listeria/GVAX with Anti-PD1 Regimen) poster highlighted the randomized, controlled trial that now has an increased enrolment target of 102 adult patients with metastatic pancreatic cancer who have failed one prior chemotherapy regimen for metastatic disease. With the increased enrolment target, Aduro now expects enrolment to be completed in 2H 2016 and continues to expect interim data in 2H 2016. Original Source: BioSpace.com, 2015. From website: http://www.biospace.com.</w:t>
      </w:r>
      <w:r>
        <w:br/>
      </w:r>
      <w:r>
        <w:br/>
      </w:r>
      <w:r>
        <w:t>BioSpace</w:t>
      </w:r>
      <w:r>
        <w:br/>
      </w:r>
      <w:r>
        <w:br/>
      </w:r>
      <w:r>
        <w:t>Website: http://www.biospace.com</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rsidP="1F520937" w14:paraId="15AC8AE1" wp14:textId="77777777" wp14:noSpellErr="1">
      <w:pPr>
        <w:pStyle w:val="Heading1"/>
        <w:rPr>
          <w:highlight w:val="yellow"/>
        </w:rPr>
      </w:pPr>
      <w:r w:rsidRPr="1F520937" w:rsidR="1F520937">
        <w:rPr>
          <w:highlight w:val="yellow"/>
        </w:rPr>
        <w:t>Document ID ATPHAM0020150527eb5q0006d</w:t>
      </w:r>
    </w:p>
    <w:p xmlns:wp14="http://schemas.microsoft.com/office/word/2010/wordml" w:rsidP="1F520937" w14:paraId="3FE3242F" wp14:textId="77777777" wp14:noSpellErr="1">
      <w:pPr>
        <w:rPr>
          <w:highlight w:val="yellow"/>
        </w:rPr>
      </w:pPr>
      <w:r w:rsidRPr="1F520937" w:rsidR="1F520937">
        <w:rPr>
          <w:highlight w:val="yellow"/>
        </w:rPr>
        <w:t>Source: Mylan</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59EAF18B" wp14:textId="77777777">
      <w:pPr>
        <w:pStyle w:val="Heading1"/>
      </w:pPr>
      <w:r>
        <w:t>Document ID NBPPBS0020150410eb4b0020b</w:t>
      </w:r>
    </w:p>
    <w:p xmlns:wp14="http://schemas.microsoft.com/office/word/2010/wordml" w14:paraId="56E1F43D" wp14:textId="77777777">
      <w:r>
        <w:t>MANAGEMENT SCORECARD FOR ZOETIS INC.:</w:t>
      </w:r>
      <w:r>
        <w:br/>
      </w:r>
      <w:r>
        <w:br/>
      </w:r>
      <w:r>
        <w:t>Paul S. Herendeen's performance for Zoetis is placed 69/2,784 in BSS News Bites's ranking of NYSE performers in the past year, a percentile ranking of 96%.</w:t>
      </w:r>
      <w:r>
        <w:br/>
      </w:r>
      <w:r>
        <w:br/>
      </w:r>
      <w:r>
        <w:t>Key Financials:</w:t>
      </w:r>
      <w:r>
        <w:br/>
      </w:r>
      <w:r>
        <w:br/>
      </w:r>
      <w:r>
        <w:t>(all figures in pct)</w:t>
      </w:r>
      <w:r>
        <w:br/>
      </w:r>
      <w:r>
        <w:br/>
      </w:r>
      <w:r>
        <w:t xml:space="preserve"> Revenue Growth  EPS Growth  Operating Margin ROE</w:t>
      </w:r>
      <w:r>
        <w:br/>
      </w:r>
      <w:r>
        <w:t>2014            4.9         14.9              -     44.5</w:t>
      </w:r>
      <w:r>
        <w:br/>
      </w:r>
      <w:r>
        <w:t>2013            5.2         16.1              -     53.6</w:t>
      </w:r>
      <w:r>
        <w:br/>
      </w:r>
      <w:r>
        <w:t>2012            2.4         77.6              17.1  10.8</w:t>
      </w:r>
      <w:r>
        <w:br/>
      </w:r>
      <w:r>
        <w:t>2011            -           -                 -     65.9</w:t>
      </w:r>
      <w:r>
        <w:br/>
      </w:r>
      <w:r>
        <w:br/>
      </w:r>
      <w:r>
        <w:br/>
      </w:r>
      <w:r>
        <w:t>Moving Annual Return (Trailing 12 months):</w:t>
      </w:r>
      <w:r>
        <w:br/>
      </w:r>
      <w:r>
        <w:br/>
      </w:r>
      <w:r>
        <w:t>Close               Dividends  Capital Gain / (Loss) %  % Yield  Annual Return %</w:t>
      </w:r>
      <w:r>
        <w:br/>
      </w:r>
      <w:r>
        <w:t>Last Traded Apr 09  US$46.55  29.70c                   61       1   62</w:t>
      </w:r>
      <w:r>
        <w:br/>
      </w:r>
      <w:r>
        <w:t>1 Year ago          US$28.92  26.70c                   (10.7)   0.8 -9.9</w:t>
      </w:r>
      <w:r>
        <w:br/>
      </w:r>
      <w:r>
        <w:br/>
      </w:r>
      <w:r>
        <w:br/>
      </w:r>
      <w:r>
        <w:t>Biography</w:t>
      </w:r>
      <w:r>
        <w:br/>
      </w:r>
      <w:r>
        <w:br/>
      </w:r>
      <w:r>
        <w:t>Paul S. Herendeen, CFO</w:t>
      </w:r>
      <w:r>
        <w:br/>
      </w:r>
      <w:r>
        <w:br/>
      </w:r>
      <w:r>
        <w:t>Mr. Herendeen has served as our Executive Vice President and Chief Financial Officer since August 2014. He served as Executive Vice President and Chief Financial Officer of Warner Chilcott PLC, a specialty pharmaceutical company, from 2005 to 2013 and from 1998 to 2000, and was a director of Warner Chilcott in 2013 and from 1996 to 2000. From 2001 to 2004, Mr. Herendeen was Executive Vice President and Chief Financial Officer of MedPointe, Inc., a specialty pharmaceutical company acquired by Meda AB.</w:t>
      </w:r>
      <w:r>
        <w:br/>
      </w:r>
      <w:r>
        <w:br/>
      </w:r>
      <w:r>
        <w:t>Original Newsbody (Release Date: Apr 10, 2015)</w:t>
      </w:r>
      <w:r>
        <w:br/>
      </w:r>
      <w:r>
        <w:br/>
      </w:r>
      <w:r>
        <w:t>http://www.sec.gov/Archives/edgar/data/1374175/000155528015000138/xslF345X03/wf-form4_142867246867088.xml</w:t>
      </w:r>
      <w:r>
        <w:br/>
      </w:r>
      <w:r>
        <w:br/>
      </w:r>
      <w:r>
        <w:t>Source: BuySellSignals.com</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5860B35D" wp14:textId="77777777">
      <w:pPr>
        <w:pStyle w:val="Heading1"/>
      </w:pPr>
      <w:r>
        <w:t>Document ID DEALNEW020150316eb390000a</w:t>
      </w:r>
    </w:p>
    <w:p xmlns:wp14="http://schemas.microsoft.com/office/word/2010/wordml" w14:paraId="3A06AB10" wp14:textId="77777777">
      <w:r>
        <w:t>RegenMedTX has agreed to pay $1.5 million in cash for the debtor's assets. Under the deal, secured creditors Deerfield Special Situations Fund LP, RA Capital Healthcare Funds LP and Celgene Corp. (CELG) will assign $20.56 million in claims to the buyer in exchange for 25% of the aggregate membership interests in the buyer, a clinical-stage company developing regenerative products.</w:t>
      </w:r>
      <w:r>
        <w:br/>
      </w:r>
      <w:r>
        <w:br/>
      </w:r>
      <w:r>
        <w:t>The buyer will acquire all the debtor's intellectual property and biological samples related to its trials housed at its Winston-Salem, N.C., headquarters. (Three employees have been regularly monitoring the headquarters, including responding to any alarms at the property.)</w:t>
      </w:r>
      <w:r>
        <w:br/>
      </w:r>
      <w:r>
        <w:br/>
      </w:r>
      <w:r>
        <w:t>No other offers for the assets were submitted by the Friday sale hearing, according to Jeffrey Testa of McCarter &amp; English LLP, counsel to Chapter 7 trustee Charles A. Stanziale Jr.</w:t>
      </w:r>
      <w:r>
        <w:br/>
      </w:r>
      <w:r>
        <w:br/>
      </w:r>
      <w:r>
        <w:t>"We think it's a great result whenever a trustee can both save a business and be in a position to make a distribution to unsecured creditors, so we believe it's a win-win," Testa said. He added that 5% of the net sale proceeds will be set aside to fund a recovery to unsecured creditors.</w:t>
      </w:r>
      <w:r>
        <w:br/>
      </w:r>
      <w:r>
        <w:br/>
      </w:r>
      <w:r>
        <w:t>Stanziale said the buyer intended to put up the money to continue the approval process for Tengion's regenerative medicine.</w:t>
      </w:r>
      <w:r>
        <w:br/>
      </w:r>
      <w:r>
        <w:br/>
      </w:r>
      <w:r>
        <w:t>He said that process could cost "in the tens of millions of dollars" and estimated it could take up to three years. Keeping the patents alone costs $100,000 per month, Stanziale said.</w:t>
      </w:r>
      <w:r>
        <w:br/>
      </w:r>
      <w:r>
        <w:br/>
      </w:r>
      <w:r>
        <w:t>Stanziale, who acknowledged the sale would not "in my view come close to paying creditors," added: "Is it a plus to have the research and [U.S. Food and Drug Administration] approval [process] go forward in what may be a breakthrough health remedy? That's a different story, and that's a good thing."&lt;STORY_PAGE_BREAK/&gt;</w:t>
      </w:r>
      <w:r>
        <w:br/>
      </w:r>
      <w:r>
        <w:br/>
      </w:r>
      <w:r>
        <w:t>He continued, "So all of the time and the effort and the money that has been spent for research and approval will not go out the window."</w:t>
      </w:r>
      <w:r>
        <w:br/>
      </w:r>
      <w:r>
        <w:br/>
      </w:r>
      <w:r>
        <w:t>Stanziale said the buyer originally did not offer to include a credit bid component and only offered $600,000 cash, but he and his team "talked them up significantly."</w:t>
      </w:r>
      <w:r>
        <w:br/>
      </w:r>
      <w:r>
        <w:br/>
      </w:r>
      <w:r>
        <w:t>The deal was scheduled to close Monday.</w:t>
      </w:r>
      <w:r>
        <w:br/>
      </w:r>
      <w:r>
        <w:br/>
      </w:r>
      <w:r>
        <w:t>"It had to be done quickly because the research that was in cold storage needed to be attended to, and we couldn't take the risk of losing the currency on the patents and losing the frozen research [by waiting]," he said. "We couldn't put that in jeopardy."</w:t>
      </w:r>
      <w:r>
        <w:br/>
      </w:r>
      <w:r>
        <w:br/>
      </w:r>
      <w:r>
        <w:t>Stanziale said he was satisfied there wouldn't be a higher offer for the assets because they had been "well shopped" before and during bankruptcy.</w:t>
      </w:r>
      <w:r>
        <w:br/>
      </w:r>
      <w:r>
        <w:br/>
      </w:r>
      <w:r>
        <w:t>Court papers show the company has made the necessary payments to maintain the clinical programs and research through December.</w:t>
      </w:r>
      <w:r>
        <w:br/>
      </w:r>
      <w:r>
        <w:br/>
      </w:r>
      <w:r>
        <w:t>In a Feb. 12 motion, Stanziale said that in his business judgment the offer from RegenMedTX, which would relieve the estate of the secured claims, was superior to any bid from a third-party buyer.&lt;STORY_PAGE_BREAK/&gt;</w:t>
      </w:r>
      <w:r>
        <w:br/>
      </w:r>
      <w:r>
        <w:br/>
      </w:r>
      <w:r>
        <w:t>"As a result, the Chapter 7 trustee believes that the buyer's offer for the assets is the highest or otherwise best offer that can be obtained under the circumstances," he said in the document.</w:t>
      </w:r>
      <w:r>
        <w:br/>
      </w:r>
      <w:r>
        <w:br/>
      </w:r>
      <w:r>
        <w:t>Tengion's first clinical program was its Neo-Kidney Augment, intended to prevent or delay dialysis and transplantation by boosting renal function in patients that have advanced chronic kidney disease, according to its website. The debtor had received regulatory approval to begin clinical trials on the product.</w:t>
      </w:r>
      <w:r>
        <w:br/>
      </w:r>
      <w:r>
        <w:br/>
      </w:r>
      <w:r>
        <w:t>Additionally, the company's second clinical program, Neo-Urinary Conduit, was in clinical trials. The product is an implant made from a patient's own cells and is "intended to catalyze regeneration of native-like urinary tissue, thereby eliminating the need to use bowel tissue in the current standard of care surgery," the company said on its website.</w:t>
      </w:r>
      <w:r>
        <w:br/>
      </w:r>
      <w:r>
        <w:br/>
      </w:r>
      <w:r>
        <w:t>Faced with a funding shortage, Tengion submitted a Chapter 7 petition on Dec. 29, just after the company warned of a potential filing.</w:t>
      </w:r>
      <w:r>
        <w:br/>
      </w:r>
      <w:r>
        <w:br/>
      </w:r>
      <w:r>
        <w:t>The company's board of directors on Dec. 1 voted to terminate all 29 employees, who served in research, development, financial and administrative roles, according to a Dec. 5 filing with the Securities and Exchange Commission. The debtor said it would pay out $916,000 in severance payments in the fourth quarter of 2014.</w:t>
      </w:r>
      <w:r>
        <w:br/>
      </w:r>
      <w:r>
        <w:br/>
      </w:r>
      <w:r>
        <w:t>Tengion opted to let go of the employees to preserve cash, as it faced high operating expenditures and debt repayments.</w:t>
      </w:r>
      <w:r>
        <w:br/>
      </w:r>
      <w:r>
        <w:br/>
      </w:r>
      <w:r>
        <w:t>"Despite these cost-cutting measures, if financing is not obtained, the company will not be able to remain in business and will likely need to seek protection under the U.S. bankruptcy laws," the company warned in the filing.&lt;STORY_PAGE_BREAK/&gt;</w:t>
      </w:r>
      <w:r>
        <w:br/>
      </w:r>
      <w:r>
        <w:br/>
      </w:r>
      <w:r>
        <w:t>Tengion announced on Sept. 22 that it had retained Jefferies LLC as financial adviser to assist it with "reviewing and structuring potential strategic transactions."</w:t>
      </w:r>
      <w:r>
        <w:br/>
      </w:r>
      <w:r>
        <w:br/>
      </w:r>
      <w:r>
        <w:t>On March 26, auditor Ernst &amp; Young LLP had issued a going concern warning for the company due to its recurring losses from operations and cash flow deficit.</w:t>
      </w:r>
      <w:r>
        <w:br/>
      </w:r>
      <w:r>
        <w:br/>
      </w:r>
      <w:r>
        <w:t>In a Nov. 14 statement, Tengion said that it had experienced an adjusted net loss of $6.6 million for the three months ended Sept. 30.</w:t>
      </w:r>
      <w:r>
        <w:br/>
      </w:r>
      <w:r>
        <w:br/>
      </w:r>
      <w:r>
        <w:t>The company blamed the loss on a rise in research and development expenses and administrative costs. The company also said legal costs related to the preparation of a market assessment of its kidney program also constrained cash flow.</w:t>
      </w:r>
      <w:r>
        <w:br/>
      </w:r>
      <w:r>
        <w:br/>
      </w:r>
      <w:r>
        <w:t>For the nine months ended Sept. 30, Tengion reported a $19.3 million adjusted net loss on no revenue.</w:t>
      </w:r>
      <w:r>
        <w:br/>
      </w:r>
      <w:r>
        <w:br/>
      </w:r>
      <w:r>
        <w:t>In its latest quarterly report, the company listed $9.62 million in assets and $93 million in liabilities as of Sept. 30. (In its petition, Tengion reported $1 million to $10 million in assets and $10 million to $50 million in liabilities.)</w:t>
      </w:r>
      <w:r>
        <w:br/>
      </w:r>
      <w:r>
        <w:br/>
      </w:r>
      <w:r>
        <w:t>Tengion on July 1, 2013, raised $33.6 million in a private placement to fund Phase 1 clinical trials of its kidney program.</w:t>
      </w:r>
      <w:r>
        <w:br/>
      </w:r>
      <w:r>
        <w:br/>
      </w:r>
      <w:r>
        <w:t>The company's shares, which trade on the OTC Pink tier of OTC Markets, closed down 25% at 0.15 cents Monday.</w:t>
      </w:r>
      <w:r>
        <w:br/>
      </w:r>
      <w:r>
        <w:br/>
      </w:r>
      <w:r>
        <w:t>Matthew P. Ward of Womble Carlyle Sandridge &amp; Rice LLP represents RegenMedTX. &lt;STORY_PAGE_BREAK/&gt;</w:t>
      </w:r>
      <w:r>
        <w:br/>
      </w:r>
      <w:r>
        <w:br/>
      </w:r>
      <w:r>
        <w:t>Jeff J. Friedman of Katten Muchin Rosenman LLP is counsel to Deerfield.</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rsidP="1F520937" w14:paraId="244C3217" wp14:textId="77777777" wp14:noSpellErr="1">
      <w:pPr>
        <w:pStyle w:val="Heading1"/>
        <w:rPr>
          <w:highlight w:val="yellow"/>
        </w:rPr>
      </w:pPr>
      <w:r w:rsidRPr="1F520937" w:rsidR="1F520937">
        <w:rPr>
          <w:highlight w:val="yellow"/>
        </w:rPr>
        <w:t>Document ID CHPR000020151123ebbc0000k</w:t>
      </w:r>
    </w:p>
    <w:p xmlns:wp14="http://schemas.microsoft.com/office/word/2010/wordml" w14:paraId="10E9EB81" wp14:textId="77777777">
      <w:r>
        <w:t xml:space="preserve"> Original Source: Innovus Pharmaceuticals Inc, 2015. Found on website: http://www.marketwired.com.</w:t>
      </w:r>
      <w:r>
        <w:br/>
      </w:r>
      <w:r>
        <w:br/>
      </w:r>
      <w:r>
        <w:t>Marketwired</w:t>
      </w:r>
      <w:r>
        <w:br/>
      </w:r>
      <w:r>
        <w:br/>
      </w:r>
      <w:r>
        <w:t>Website: http://www.marketwired.com</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362518AF" wp14:textId="77777777">
      <w:pPr>
        <w:pStyle w:val="Heading1"/>
      </w:pPr>
      <w:r>
        <w:t>Document ID ATPHAM0020150807eb850002u</w:t>
      </w:r>
    </w:p>
    <w:p xmlns:wp14="http://schemas.microsoft.com/office/word/2010/wordml" w14:paraId="29C6345C" wp14:textId="77777777">
      <w:r>
        <w:t>An archived replay of the webcast will be available on the Company's website for 30 days after the conference.</w:t>
      </w:r>
      <w:r>
        <w:br/>
      </w:r>
      <w:r>
        <w:br/>
      </w:r>
      <w:r>
        <w:t>Source: Tenax Therapeutics</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2FFCD7C6" wp14:textId="77777777">
      <w:pPr>
        <w:pStyle w:val="Heading1"/>
      </w:pPr>
      <w:r>
        <w:t>Document ID RTNW000020150709eb79000ft</w:t>
      </w:r>
    </w:p>
    <w:p xmlns:wp14="http://schemas.microsoft.com/office/word/2010/wordml" w14:paraId="7D2E6C02" wp14:textId="77777777">
      <w:r>
        <w:br/>
      </w:r>
      <w:r>
        <w:t xml:space="preserve"> </w:t>
      </w:r>
      <w:r>
        <w:br/>
      </w:r>
      <w:r>
        <w:t xml:space="preserve">       MARKET                    MONEY FLOW (in millions)    RATIO </w:t>
      </w:r>
      <w:r>
        <w:br/>
      </w:r>
      <w:r>
        <w:t xml:space="preserve">                                    TODAY     PREV DAY </w:t>
      </w:r>
      <w:r>
        <w:br/>
      </w:r>
      <w:r>
        <w:t xml:space="preserve">       DJIA                          +75.5       -583.5       1.04 </w:t>
      </w:r>
      <w:r>
        <w:br/>
      </w:r>
      <w:r>
        <w:t xml:space="preserve">       Blocks                     +102.4       -538.1       1.41 </w:t>
      </w:r>
      <w:r>
        <w:br/>
      </w:r>
      <w:r>
        <w:t xml:space="preserve">       Russell 2000                 +133.0      -2288.1       1.10 </w:t>
      </w:r>
      <w:r>
        <w:br/>
      </w:r>
      <w:r>
        <w:t xml:space="preserve">       Blocks                      +39.2      -1890.3       1.25 </w:t>
      </w:r>
      <w:r>
        <w:br/>
      </w:r>
      <w:r>
        <w:t xml:space="preserve">       S &amp; P 500                    +731.4       -490.0       1.08 </w:t>
      </w:r>
      <w:r>
        <w:br/>
      </w:r>
      <w:r>
        <w:t xml:space="preserve">       Blocks                     +693.2       -324.6       1.59 </w:t>
      </w:r>
      <w:r>
        <w:br/>
      </w:r>
      <w:r>
        <w:t xml:space="preserve">       DJ U.S. Total Stock Market  +1125.7      -4112.6       1.06 </w:t>
      </w:r>
      <w:r>
        <w:br/>
      </w:r>
      <w:r>
        <w:t xml:space="preserve">       Blocks                     +969.0      -2733.2       1.36 </w:t>
      </w:r>
      <w:r>
        <w:br/>
      </w:r>
      <w:r>
        <w:t xml:space="preserve">ISSUE GAINERS                 SYMBOL   EXCH   LAST PRICE   MONEY FLOW    RATIO </w:t>
      </w:r>
      <w:r>
        <w:br/>
      </w:r>
      <w:r>
        <w:t xml:space="preserve">                                                          (in millions) </w:t>
      </w:r>
      <w:r>
        <w:br/>
      </w:r>
      <w:r>
        <w:t xml:space="preserve">iSh Short Maturity Bd          NEAR    BATS       50.11      +157.1     111.69 </w:t>
      </w:r>
      <w:r>
        <w:br/>
      </w:r>
      <w:r>
        <w:t xml:space="preserve">Abbott Laboratories            ABT     NYSE       49.56       +53.8       6.32 </w:t>
      </w:r>
      <w:r>
        <w:br/>
      </w:r>
      <w:r>
        <w:t xml:space="preserve">WisdomTree Europe              HEDJ    ARCA       61.17       +36.6       2.79 </w:t>
      </w:r>
      <w:r>
        <w:br/>
      </w:r>
      <w:r>
        <w:t xml:space="preserve">Baidu                          BIDU    NASD      189.32       +30.8       1.21 </w:t>
      </w:r>
      <w:r>
        <w:br/>
      </w:r>
      <w:r>
        <w:t xml:space="preserve">Aetna                          AET     NYSE      114.40       +30.0       1.46 </w:t>
      </w:r>
      <w:r>
        <w:br/>
      </w:r>
      <w:r>
        <w:t xml:space="preserve">iSh US Home Construction       ITB     ARCA       27.76       +29.2       4.65 </w:t>
      </w:r>
      <w:r>
        <w:br/>
      </w:r>
      <w:r>
        <w:t xml:space="preserve">Intel                          INTC    NASD       29.35       +25.3       1.36 </w:t>
      </w:r>
      <w:r>
        <w:br/>
      </w:r>
      <w:r>
        <w:t xml:space="preserve">IBM                            IBM     NYSE      164.85       +25.0       1.54 </w:t>
      </w:r>
      <w:r>
        <w:br/>
      </w:r>
      <w:r>
        <w:t xml:space="preserve">Kroger Co                      KR      NYSE       76.00       +25.0       1.84 </w:t>
      </w:r>
      <w:r>
        <w:br/>
      </w:r>
      <w:r>
        <w:t xml:space="preserve">Amazon.com                     AMZN    NASD      437.36       +24.8       1.21 </w:t>
      </w:r>
      <w:r>
        <w:br/>
      </w:r>
      <w:r>
        <w:t xml:space="preserve">Disney                         DIS     NYSE      115.96       +24.3       1.35 </w:t>
      </w:r>
      <w:r>
        <w:br/>
      </w:r>
      <w:r>
        <w:t xml:space="preserve">Microsoft                      MSFT    NASD       45.04       +20.3       1.21 </w:t>
      </w:r>
      <w:r>
        <w:br/>
      </w:r>
      <w:r>
        <w:t xml:space="preserve">Google Cl C                    GOOG    NASD      523.02       +20.2       1.18 </w:t>
      </w:r>
      <w:r>
        <w:br/>
      </w:r>
      <w:r>
        <w:t xml:space="preserve">Google Cl A                    GOOGL   NASD      547.06       +19.7       1.21 </w:t>
      </w:r>
      <w:r>
        <w:br/>
      </w:r>
      <w:r>
        <w:t xml:space="preserve">Pfizer                         PFE     NYSE       33.91       +19.6       1.85 </w:t>
      </w:r>
      <w:r>
        <w:br/>
      </w:r>
      <w:r>
        <w:t xml:space="preserve">iShares MSCI Japan ETF         EWJ     ARCA       12.47       +18.8       2.44 </w:t>
      </w:r>
      <w:r>
        <w:br/>
      </w:r>
      <w:r>
        <w:t xml:space="preserve">Adobe Systems                  ADBE    NASD       80.98       +18.4       2.06 </w:t>
      </w:r>
      <w:r>
        <w:br/>
      </w:r>
      <w:r>
        <w:t xml:space="preserve">AbbVie Inc.                    ABBV    NYSE       68.20       +18.3       1.72 </w:t>
      </w:r>
      <w:r>
        <w:br/>
      </w:r>
      <w:r>
        <w:t xml:space="preserve">SPDR S&amp;P O&amp;G Exp &amp; Prd         XOP     ARCA       44.42       +17.8       1.42 </w:t>
      </w:r>
      <w:r>
        <w:br/>
      </w:r>
      <w:r>
        <w:t xml:space="preserve">HRG Group                      HRG     NYSE       13.12       +17.0      60.71 </w:t>
      </w:r>
      <w:r>
        <w:br/>
      </w:r>
      <w:r>
        <w:t xml:space="preserve">ISSUE DECLINERS               SYMBOL   EXCH   LAST PRICE   MONEY FLOW    RATIO </w:t>
      </w:r>
      <w:r>
        <w:br/>
      </w:r>
      <w:r>
        <w:t xml:space="preserve">                                                          (in millions) </w:t>
      </w:r>
      <w:r>
        <w:br/>
      </w:r>
      <w:r>
        <w:t xml:space="preserve">SPDR S&amp;P 500                   SPY     ARCA      206.31       -71.5       0.93 </w:t>
      </w:r>
      <w:r>
        <w:br/>
      </w:r>
      <w:r>
        <w:t xml:space="preserve">Alibaba Group Holding ADS      BABA    NYSE       80.62       -51.3       0.75 </w:t>
      </w:r>
      <w:r>
        <w:br/>
      </w:r>
      <w:r>
        <w:t xml:space="preserve">Apple                          AAPL    NASD      123.05       -49.0       0.91 </w:t>
      </w:r>
      <w:r>
        <w:br/>
      </w:r>
      <w:r>
        <w:t xml:space="preserve">Procter &amp; Gamble               PG      NYSE       81.27       -37.6       0.53 </w:t>
      </w:r>
      <w:r>
        <w:br/>
      </w:r>
      <w:r>
        <w:t xml:space="preserve">PepsiCo                        PEP     NYSE       95.84       -36.2       0.69 </w:t>
      </w:r>
      <w:r>
        <w:br/>
      </w:r>
      <w:r>
        <w:t xml:space="preserve">Freeport-McMoRan Inc.          FCX     NYSE       16.87       -35.9       0.33 </w:t>
      </w:r>
      <w:r>
        <w:br/>
      </w:r>
      <w:r>
        <w:t xml:space="preserve">SPDR EURO STOXX 50             FEZ     ARCA       36.85       -33.9       0.17 </w:t>
      </w:r>
      <w:r>
        <w:br/>
      </w:r>
      <w:r>
        <w:t xml:space="preserve">iShares China Large-Cap        FXI     ARCA       41.07       -31.7       0.75 </w:t>
      </w:r>
      <w:r>
        <w:br/>
      </w:r>
      <w:r>
        <w:t xml:space="preserve">Sigma-Aldrich                  SIAL    NASD      139.45       -31.3       0.14 </w:t>
      </w:r>
      <w:r>
        <w:br/>
      </w:r>
      <w:r>
        <w:t xml:space="preserve">AT&amp;T                           T       NYSE       34.59       -28.2       0.69 </w:t>
      </w:r>
      <w:r>
        <w:br/>
      </w:r>
      <w:r>
        <w:t xml:space="preserve">Altera                         ALTR    NASD       50.32       -24.7       0.73 </w:t>
      </w:r>
      <w:r>
        <w:br/>
      </w:r>
      <w:r>
        <w:t xml:space="preserve">iShares iBoxx $ HY Cp Bd       HYG     ARCA       88.40       -24.6       0.31 </w:t>
      </w:r>
      <w:r>
        <w:br/>
      </w:r>
      <w:r>
        <w:t xml:space="preserve">JPMorgan Div Return EM         JPEM    ARCA       50.09       -21.8       0.00 </w:t>
      </w:r>
      <w:r>
        <w:br/>
      </w:r>
      <w:r>
        <w:t xml:space="preserve">Facebook Inc. Cl A             FB      NASD       86.75       -21.5       0.90 </w:t>
      </w:r>
      <w:r>
        <w:br/>
      </w:r>
      <w:r>
        <w:t xml:space="preserve">iShares MSCI Emg Markets       EEM     ARCA       37.77       -19.8       0.81 </w:t>
      </w:r>
      <w:r>
        <w:br/>
      </w:r>
      <w:r>
        <w:t xml:space="preserve">JPMorgan Chase                 JPM     NYSE       66.47       -18.3       0.75 </w:t>
      </w:r>
      <w:r>
        <w:br/>
      </w:r>
      <w:r>
        <w:t xml:space="preserve">Chevron                        CVX     NYSE       94.25       -17.6       0.74 </w:t>
      </w:r>
      <w:r>
        <w:br/>
      </w:r>
      <w:r>
        <w:t xml:space="preserve">Catamaran Corp.                CTRX    NASD       61.28       -17.1       0.62 </w:t>
      </w:r>
      <w:r>
        <w:br/>
      </w:r>
      <w:r>
        <w:t xml:space="preserve">Bank Of America                BAC     NYSE       16.53       -16.8       0.81 </w:t>
      </w:r>
      <w:r>
        <w:br/>
      </w:r>
      <w:r>
        <w:t xml:space="preserve">iSh Europe Dev Real Est        IFEU    NASD       36.75       -16.8       0.00 </w:t>
      </w:r>
      <w:r>
        <w:br/>
      </w:r>
      <w:r>
        <w:t xml:space="preserve"> </w:t>
      </w:r>
      <w:r>
        <w:br/>
      </w:r>
      <w:r>
        <w:t xml:space="preserve"> </w:t>
      </w:r>
      <w:r>
        <w:br/>
      </w:r>
      <w:r>
        <w:br/>
      </w:r>
      <w:r>
        <w:t>Moneyflow figures are the dollar value of composite uptick trades minus</w:t>
      </w:r>
      <w:r>
        <w:br/>
      </w:r>
      <w:r>
        <w:br/>
      </w:r>
      <w:r>
        <w:t>the dollar value of downtick trades. The up/down ratio reflects the value</w:t>
      </w:r>
      <w:r>
        <w:br/>
      </w:r>
      <w:r>
        <w:br/>
      </w:r>
      <w:r>
        <w:t>of uptick trades relative to the value of downtick trades.</w:t>
      </w:r>
      <w:r>
        <w:br/>
      </w:r>
      <w:r>
        <w:br/>
      </w:r>
      <w:r>
        <w:t>Source: WSJ Market Data Group</w:t>
      </w:r>
      <w:r>
        <w:br/>
      </w:r>
      <w:r>
        <w:br/>
      </w:r>
      <w:r>
        <w:t>(END) Dow Jones Newswires</w:t>
      </w:r>
      <w:r>
        <w:br/>
      </w:r>
      <w:r>
        <w:br/>
      </w:r>
      <w:r>
        <w:t>09-07-15 1618GMT</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7EFDD16D" wp14:textId="77777777">
      <w:pPr>
        <w:pStyle w:val="Heading1"/>
      </w:pPr>
      <w:r>
        <w:t>Document ID CINEWA0020151008eba70002w</w:t>
      </w:r>
    </w:p>
    <w:p xmlns:wp14="http://schemas.microsoft.com/office/word/2010/wordml" w14:paraId="5CFB750B" wp14:textId="77777777">
      <w:r>
        <w:t>The clinical hold, which pertains only to axalimogene filolisbac, was issued in response to Advaxis's recent submission of a safety report to the FDA. The report involved a single event of one patient with end-stage cervical cancer who last received axalimogene filolisbac in early 2013 in an investigator-initiated trial. In late July 2015, the patient was hospitalized for end-stage cervical cancer symptoms. During hospitalization, routine blood cultures were positive for Listeria monocytogenes (Lm). Subsequent analysis determined that it was the highly attenuated strain of Lm used in axalimogene filolisbac which was incapable of causing infection and was highly sensitive to antibiotics. The patient received a course of intravenous antibiotics and was discharged. The patient returned to the hospital in mid-August, approximately two weeks later, with respiratory distress caused by her metastatic disease. The patient passed away later that day. The investigator ruled that the cause of death was due to progression of her cervical cancer.</w:t>
      </w:r>
      <w:r>
        <w:br/>
      </w:r>
      <w:r>
        <w:br/>
      </w:r>
      <w:r>
        <w:t>The company has evaluated this case and agrees with the investigator's conclusion that the cause of death was due to cervical cancer progression. The company believes that axalimogene filolisbac played no role in the patient's death. In investigating this event, Advaxis learned that the patient underwent multiple surgical procedures during the time she was receiving axalimogene filolisbac, including extensive orthopedic reconstruction and receipt of a bone graft and other medical implants. Due to these circumstances, the company believes these implants could have provided a location for axalimogene filolisbac to exist within the body without causing any infection.</w:t>
      </w:r>
      <w:r>
        <w:br/>
      </w:r>
      <w:r>
        <w:br/>
      </w:r>
      <w:r>
        <w:t>Advaxis is working closely with the FDA to facilitate the review and evaluation of this isolated event. The Agency has requested additional information to support a determination that axalimogene filolisbac did not contribute to the patient's death. This additional information has now been provided to the FDA. Advaxis expects that this clinical hold will be resolved expeditiously and without significant interruption to our HPV clinical development program.</w:t>
      </w:r>
      <w:r>
        <w:br/>
      </w:r>
      <w:r>
        <w:br/>
      </w:r>
      <w:r>
        <w:t>Ongoing clinical trials with Advaxis's other product candidates, ADXS-PSA and ADXS-HER2, are not affected by this hold and continue to actively enroll and dose patients.</w:t>
      </w:r>
      <w:r>
        <w:br/>
      </w:r>
      <w:r>
        <w:br/>
      </w:r>
      <w:r>
        <w:t>Conference Call DetailsAdvaxis's management team will host a conference call and webcast at 4:30 p.m. ET on Tuesday, October 6, 2015 to discuss further details of the clinical hold.</w:t>
      </w:r>
      <w:r>
        <w:br/>
      </w:r>
      <w:r>
        <w:br/>
      </w:r>
      <w:r>
        <w:t>Domestic Toll Free Dial-In</w:t>
      </w:r>
      <w:r>
        <w:br/>
      </w:r>
      <w:r>
        <w:br/>
      </w:r>
      <w:r>
        <w:t>800-378-6592</w:t>
      </w:r>
      <w:r>
        <w:br/>
      </w:r>
      <w:r>
        <w:br/>
      </w:r>
      <w:r>
        <w:t>International Dial-In</w:t>
      </w:r>
      <w:r>
        <w:br/>
      </w:r>
      <w:r>
        <w:br/>
      </w:r>
      <w:r>
        <w:t>719-785-1752</w:t>
      </w:r>
      <w:r>
        <w:br/>
      </w:r>
      <w:r>
        <w:br/>
      </w:r>
      <w:r>
        <w:t>Conference Passcode</w:t>
      </w:r>
      <w:r>
        <w:br/>
      </w:r>
      <w:r>
        <w:br/>
      </w:r>
      <w:r>
        <w:t>7583498</w:t>
      </w:r>
      <w:r>
        <w:br/>
      </w:r>
      <w:r>
        <w:br/>
      </w:r>
      <w:r>
        <w:t>Live Webcast</w:t>
      </w:r>
      <w:r>
        <w:br/>
      </w:r>
      <w:r>
        <w:br/>
      </w:r>
      <w:r>
        <w:t>http://public.viavid.com/player/index.php?id=116564</w:t>
      </w:r>
      <w:r>
        <w:br/>
      </w:r>
      <w:r>
        <w:br/>
      </w:r>
      <w:r>
        <w:t>Replay</w:t>
      </w:r>
      <w:r>
        <w:br/>
      </w:r>
      <w:r>
        <w:br/>
      </w:r>
      <w:r>
        <w:t>Available through October 20, 2015 at the URL above</w:t>
      </w:r>
      <w:r>
        <w:br/>
      </w:r>
      <w:r>
        <w:br/>
      </w:r>
      <w:r>
        <w:t>Domestic Toll Free Dial-In</w:t>
      </w:r>
      <w:r>
        <w:br/>
      </w:r>
      <w:r>
        <w:br/>
      </w:r>
      <w:r>
        <w:t>877-870-5176</w:t>
      </w:r>
      <w:r>
        <w:br/>
      </w:r>
      <w:r>
        <w:br/>
      </w:r>
      <w:r>
        <w:t>International Dial-In</w:t>
      </w:r>
      <w:r>
        <w:br/>
      </w:r>
      <w:r>
        <w:br/>
      </w:r>
      <w:r>
        <w:t>858-384-5517</w:t>
      </w:r>
      <w:r>
        <w:br/>
      </w:r>
      <w:r>
        <w:br/>
      </w:r>
      <w:r>
        <w:t>Conference Passcode</w:t>
      </w:r>
      <w:r>
        <w:br/>
      </w:r>
      <w:r>
        <w:br/>
      </w:r>
      <w:r>
        <w:t>7583498</w:t>
      </w:r>
      <w:r>
        <w:br/>
      </w:r>
      <w:r>
        <w:br/>
      </w:r>
      <w:r>
        <w:t>About Axalimogene Filolisbac Axalimogene filolisbac (ADXS-HPV) is Advaxis's lead Lm Technology immunotherapy candidate for the treatment of HPV-associated cancers and is in clinical trials for three potential indications: invasive cervical cancer, head and neck cancer, and anal cancer. In a completed randomized Phase 2 study in recurrent/refractory cervical cancer, axalimogene filolisbac showed apparent prolonged survival, objective tumor responses, and a manageable safety profile alone or in combination with chemotherapy, supporting further development of the company's Lm Technology.</w:t>
      </w:r>
      <w:r>
        <w:br/>
      </w:r>
      <w:r>
        <w:br/>
      </w:r>
      <w:r>
        <w:t>About Advaxis, Inc.Located in Princeton, N.J., Advaxis, Inc. is a clinical-stage biotechnology company developing multiple cancer immunotherapies based on its proprietary Lm Technology. The Lm Technology, using bioengineered live attenuated Listeria monocytogenes (Lm) bacteria, is the only known cancer immunotherapy agent shown in preclinical studies to both generate cancer fighting T-cells directed against a cancer antigen and neutralize Tregs and myeloid-derived suppressor cells (MDSCs) that protect the tumor microenvironment from immunologic attack and contribute to tumor growth. Advaxis's lead Lm Technology immunotherapy, axalimogene filolisbac, targets human papillomavirus (HPV)-associated cancers and is in clinical trials for three potential indications: Phase 2 in invasive cervical cancer, Phase 1/2 in head and neck cancer, and Phase 1/2 in anal cancer. The U.S. Food and Drug Administration (FDA) has granted axalimogene filolisbac orphan drug designation for each of these three clinical settings. Advaxis has two additional immunotherapy products, ADXS-PSA in prostate cancer and ADXS-HER2 in HER2 expressing solid tumors, in human clinical development. For additional information on Advaxis, visit www.advaxis.com and connect on Twitter, LinkedIn, Facebook, YouTube and Google+.</w:t>
      </w:r>
      <w:r>
        <w:br/>
      </w:r>
      <w:r>
        <w:br/>
      </w:r>
      <w:r>
        <w:t>Forward-Looking StatementsThis media statement contains forward-looking statements, including, but not limited to: statements regarding Advaxis's ability to develop the next generation of cancer immunotherapies; the safety and efficacy of Advaxis's proprietary immunotherapy, axalimogene filolisbac; and the impact of the FDA clinical hold on our axalimogene filolisbac clinical development program. These forward-looking statements are subject to a number of risks, including the risk factors set forth from time to time in Advaxis's SEC filings, including but not limited to its report on Form 10-K for the fiscal year ended October 31, 2014, which is available at http://www.sec.gov. Advaxis undertakes no obligation to publicly release the result of any revision to these forward-looking statements, which may be made to reflect the events or circumstances after the date hereof or to reflect the occurrence of unanticipated events, except as required by law. You are cautioned not to place undue reliance on any forward-looking statements.</w:t>
      </w:r>
      <w:r>
        <w:br/>
      </w:r>
      <w:r>
        <w:br/>
      </w:r>
      <w:r>
        <w:t>CONTACTS:</w:t>
      </w:r>
      <w:r>
        <w:br/>
      </w:r>
      <w:r>
        <w:br/>
      </w:r>
      <w:r>
        <w:t>Company:</w:t>
      </w:r>
      <w:r>
        <w:br/>
      </w:r>
      <w:r>
        <w:br/>
      </w:r>
      <w:r>
        <w:t>Advaxis, Inc.</w:t>
      </w:r>
      <w:r>
        <w:br/>
      </w:r>
      <w:r>
        <w:br/>
      </w:r>
      <w:r>
        <w:t>Greg Mayes, Executive Vice President and COO</w:t>
      </w:r>
      <w:r>
        <w:br/>
      </w:r>
      <w:r>
        <w:br/>
      </w:r>
      <w:r>
        <w:t>mayes@advaxis.com</w:t>
      </w:r>
      <w:r>
        <w:br/>
      </w:r>
      <w:r>
        <w:br/>
      </w:r>
      <w:r>
        <w:t>609.452.9813 ext. 102</w:t>
      </w:r>
      <w:r>
        <w:br/>
      </w:r>
      <w:r>
        <w:br/>
      </w:r>
      <w:r>
        <w:t>Media Contact:</w:t>
      </w:r>
      <w:r>
        <w:br/>
      </w:r>
      <w:r>
        <w:br/>
      </w:r>
      <w:r>
        <w:t>JPA Health Communications</w:t>
      </w:r>
      <w:r>
        <w:br/>
      </w:r>
      <w:r>
        <w:br/>
      </w:r>
      <w:r>
        <w:t>Carolyn Sobczyk</w:t>
      </w:r>
      <w:r>
        <w:br/>
      </w:r>
      <w:r>
        <w:br/>
      </w:r>
      <w:r>
        <w:t>carolyn@jpa.com</w:t>
      </w:r>
      <w:r>
        <w:br/>
      </w:r>
      <w:r>
        <w:br/>
      </w:r>
      <w:r>
        <w:t>402.718.3974</w:t>
      </w:r>
      <w:r>
        <w:br/>
      </w:r>
      <w:r>
        <w:br/>
      </w:r>
      <w:r>
        <w:t>For the original version on GlobeNewswire visit: http://globenewswire.com/news-release/2015/10/06/773963/0/en/Advaxis-Reports-Clinical-Hold-of-Investigational-Agent-Axalimogene-Filolisbac.html</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5C06423D" wp14:textId="77777777">
      <w:pPr>
        <w:pStyle w:val="Heading1"/>
      </w:pPr>
      <w:r>
        <w:t>Document ID DRIDY00020150520eb5k00006</w:t>
      </w:r>
    </w:p>
    <w:p xmlns:wp14="http://schemas.microsoft.com/office/word/2010/wordml" w14:paraId="3032E5ED" wp14:textId="77777777">
      <w:r>
        <w:t>Some 2,300 individual complaints were consolidated in the Philadelphia case, which claims manufacturers failed to warn of risks of tardive dyskinesia on the label of generic Reglan (metoclopramide).</w:t>
      </w:r>
      <w:r>
        <w:br/>
      </w:r>
      <w:r>
        <w:br/>
      </w:r>
      <w:r>
        <w:t>Previously, the court denied requests to review the Pennsylvania court's rulings in Teva Pharmaceuticals v. Dorothy Bennett, on April 27, and in Morton Grove Pharmaceuticals v. Adams, Sparkell, et al on March 23 (DID, April 16).</w:t>
      </w:r>
      <w:r>
        <w:br/>
      </w:r>
      <w:r>
        <w:br/>
      </w:r>
      <w:r>
        <w:t>This was Teva's fourth stab at getting the nation's highest court to consider failure-to-warn arguments. At the end of March, the Supreme Court rejected generics subsidiary Pliva's request to hear similar arguments in an Iowa Supreme Court decision, leaving the drugmaker vulnerable to lawsuits under state law.</w:t>
      </w:r>
      <w:r>
        <w:br/>
      </w:r>
      <w:r>
        <w:br/>
      </w:r>
      <w:r>
        <w:t>And in January, the Supreme Court turned down Teva's request to review a California appeals court ruling that would also make generics makers liable for failing to update labels to reflect new risks.</w:t>
      </w:r>
      <w:r>
        <w:br/>
      </w:r>
      <w:r>
        <w:br/>
      </w:r>
      <w:r>
        <w:t>Teva declined to comment on the decision. -- Jonathon Shacat</w:t>
      </w:r>
      <w:r>
        <w:br/>
      </w:r>
      <w:r>
        <w:br/>
      </w:r>
      <w:r>
        <w:t>Release date: 20150520</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rsidP="1F520937" w14:paraId="717A556A" wp14:textId="77777777" wp14:noSpellErr="1">
      <w:pPr>
        <w:pStyle w:val="Heading1"/>
        <w:rPr>
          <w:highlight w:val="yellow"/>
        </w:rPr>
      </w:pPr>
      <w:r w:rsidRPr="1F520937" w:rsidR="1F520937">
        <w:rPr>
          <w:highlight w:val="yellow"/>
        </w:rPr>
        <w:t>Document ID CHPR000020150904eb8v0000i</w:t>
      </w:r>
    </w:p>
    <w:p xmlns:wp14="http://schemas.microsoft.com/office/word/2010/wordml" w:rsidP="1F520937" w14:paraId="1D50E3B3" wp14:textId="77777777" wp14:noSpellErr="1">
      <w:pPr>
        <w:rPr>
          <w:highlight w:val="yellow"/>
        </w:rPr>
      </w:pPr>
      <w:r w:rsidRPr="1F520937" w:rsidR="1F520937">
        <w:rPr>
          <w:highlight w:val="yellow"/>
        </w:rPr>
        <w:t>Website: http://www.marketwired.com</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4C3F0A6D" wp14:textId="77777777">
      <w:pPr>
        <w:pStyle w:val="Heading1"/>
      </w:pPr>
      <w:r>
        <w:t>Document ID ALRAQNEG20151001eb9u0002u</w:t>
      </w:r>
    </w:p>
    <w:p xmlns:wp14="http://schemas.microsoft.com/office/word/2010/wordml" w14:paraId="06D0F207" wp14:textId="77777777">
      <w:r>
        <w:t>The company said it was "evaluating several marketing partners for commercialisation. However SPARC has now received a CRL (complete response letter) from the USFDA rescinding its earlier approval, citing that the compliance status of the manufacturing facility was not acceptable on the date of approval."</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2B37006C" wp14:textId="77777777">
      <w:pPr>
        <w:pStyle w:val="Heading1"/>
      </w:pPr>
      <w:r>
        <w:t>Document ID CTRW000020150102eb150002f</w:t>
      </w:r>
    </w:p>
    <w:p xmlns:wp14="http://schemas.microsoft.com/office/word/2010/wordml" w14:paraId="675FE3F8" wp14:textId="77777777">
      <w:r>
        <w:t>The news correspondents obtained a quote from the research from the Harvard School of Medicine, "To provide an overview of the patient, product and prescriber factors, which have been associated with the immunogenicity of anti-TNF therapy, and draw conclusions for clinical practice. Review of representative observational studies and clinical trials from the IBD and other literature, which report associations with ADA development, with a focus on infliximab and adalimumab. ADAs develop in 10-20% of patients receiving anti-TNF maintenance therapy, and these patients are three times more likely to lose response as ADA-negative patients. Patient genotype plays a role in ADA risk in a minority of patients, but age or disease type is not a major factor. Drug mishandling, such as agitation or freeze-thaw cycles, can induce protein aggregates, which are known to be immunogenic. Prescription of maintenance therapy with concomitant immunomodulators, and achieving suitable trough drug levels, reduces the risk of ADAs in patients with IBD. Patients and prescribers can take several steps to reduce the risk of development of anti-drug antibodies to anti-TNF antibodies."</w:t>
      </w:r>
      <w:r>
        <w:br/>
      </w:r>
      <w:r>
        <w:br/>
      </w:r>
      <w:r>
        <w:t>According to the news reporters, the research concluded: "Further research is required to determine if immunogenic factors identified in other situations apply to use of anti-TNFs in IBD."</w:t>
      </w:r>
      <w:r>
        <w:br/>
      </w:r>
      <w:r>
        <w:br/>
      </w:r>
      <w:r>
        <w:t>For more information on this research see: Review article: immunogenicity of anti-TNF biologics in IBD - the role of patient, product and prescriber factors. Alimentary Pharmacology &amp; Therapeutics, 2013;38(10):1188-97. (Wiley-Blackwell - www.wiley.com/; Alimentary Pharmacology &amp; Therapeutics - onlinelibrary.wiley.com/journal/10.1111/(ISSN)1365-2036)</w:t>
      </w:r>
      <w:r>
        <w:br/>
      </w:r>
      <w:r>
        <w:br/>
      </w:r>
      <w:r>
        <w:t>Our news journalists report that additional information may be obtained by contacting A.C. Moss, Beth Israel Deaconess Medical Center, Harvard Medical School, Boston, MA, United States. Additional authors for this research include V. Brinks and J.F Carpenter.</w:t>
      </w:r>
      <w:r>
        <w:br/>
      </w:r>
      <w:r>
        <w:br/>
      </w:r>
      <w:r>
        <w:t>Keywords for this news article include: Antibodies, Boston, Therapy, Immunology, Massachusetts, United States, Blood Proteins, Immunoglobulins, North and Central America, Clinical Trials and Studies, Inflammatory Bowel Diseases, Digestive System Diseases and Conditions.</w:t>
      </w:r>
      <w:r>
        <w:br/>
      </w:r>
      <w:r>
        <w:br/>
      </w:r>
      <w:r>
        <w:t>Our reports deliver fact-based news of research and discoveries from around the world. Copyright 2015, NewsRx LLC</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5209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efdac6d-ee2f-403d-9dfe-0ebc1a9b71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61B252-71D8-42D4-8972-15D9960E175C}"/>
</file>

<file path=customXml/itemProps3.xml><?xml version="1.0" encoding="utf-8"?>
<ds:datastoreItem xmlns:ds="http://schemas.openxmlformats.org/officeDocument/2006/customXml" ds:itemID="{FF4C5C46-DA03-4A63-8AA3-0DA98ECC7719}"/>
</file>

<file path=customXml/itemProps4.xml><?xml version="1.0" encoding="utf-8"?>
<ds:datastoreItem xmlns:ds="http://schemas.openxmlformats.org/officeDocument/2006/customXml" ds:itemID="{5AB8D70F-DF2C-4D99-ABD8-BDFC6B6BE7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Tobin, Eliza Nicole (ent4pn)</cp:lastModifiedBy>
  <cp:revision>2</cp:revision>
  <dcterms:created xsi:type="dcterms:W3CDTF">2013-12-23T23:15:00Z</dcterms:created>
  <dcterms:modified xsi:type="dcterms:W3CDTF">2019-07-24T15:58:27Z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