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7FFEFECC" wp14:textId="77777777">
      <w:pPr>
        <w:pStyle w:val="Heading1"/>
      </w:pPr>
      <w:r>
        <w:t>Document ID LFSW000020150213eb2h0034x</w:t>
      </w:r>
    </w:p>
    <w:p xmlns:wp14="http://schemas.microsoft.com/office/word/2010/wordml" w14:paraId="157FA9F0" wp14:textId="77777777">
      <w:r>
        <w:t>Reporters obtained the following quote from the background information supplied by the inventors: "Provided herein are crystal polymorphs of a factor Xa inhibitor and compositions and methods thereof.</w:t>
      </w:r>
      <w:r>
        <w:br/>
      </w:r>
      <w:r>
        <w:br/>
      </w:r>
      <w:r>
        <w:t>"Factor Xa is a serine protease, the activated form of its precursor factor X, and a member of the calcium ion binding, gamma carboxyglutamic acid (GLA)-containing, vitamin K dependent, blood coagulation factors. Factor Xa appears to have a single physiologic substrate, namely prothrombin. Since one molecule of factor Xa may be able to generate greater than 1000 molecules of thrombin (Mann, et al., J. Thrombosis. Haemostasis 1: 1504-1514, 2003), direct inhibition of factor Xa as a way of indirectly inhibiting the formation of thrombin has been considered an efficient anticoagulant strategy.</w:t>
      </w:r>
      <w:r>
        <w:br/>
      </w:r>
      <w:r>
        <w:br/>
      </w:r>
      <w:r>
        <w:t>"Several classes of small molecule factor Xa inhibitors have been reported, for example, in U.S. Pat. Nos. 7,521,470, 7,696,352, and 7,763,608, U.S. Patent Application Publication Nos. 2007/0066615, 2008/0293704, and 2008/0051578, all of which are incorporated by reference in their entirety.</w:t>
      </w:r>
      <w:r>
        <w:br/>
      </w:r>
      <w:r>
        <w:br/>
      </w:r>
      <w:r>
        <w:t>"U.S. Pat. No. 6,376,515 B2 discloses a specific factor Xa inhibitor compound identified in Example 206, which is also disclosed in U.S. Pat. No. 6,835,739 B2 as Example 206 and herein identified as betrixaban. The structure of betrixaban is represented by Formula I:</w:t>
      </w:r>
      <w:r>
        <w:br/>
      </w:r>
      <w:r>
        <w:br/>
      </w:r>
      <w:r>
        <w:t>"##STR00001##</w:t>
      </w:r>
      <w:r>
        <w:br/>
      </w:r>
      <w:r>
        <w:br/>
      </w:r>
      <w:r>
        <w:t>"In addition, U.S. Pat. No. 7,598,276 (the '276 patent) describes salts and a crystalline polymorph of a maleate salt of betrixaban (also referred to as Form I). U.S. Pat. Nos. 6,376,515, 6,835,739 and 7,598,276 are incorporated by reference in their entirety."</w:t>
      </w:r>
      <w:r>
        <w:br/>
      </w:r>
      <w:r>
        <w:br/>
      </w:r>
      <w:r>
        <w:t>In addition to obtaining background information on this patent, NewsRx editors also obtained the inventors' summary information for this patent: "In one aspect, there is provided crystalline polymorphs of the maleate salt of betrixaban, which salt is represented by Formula II:</w:t>
      </w:r>
      <w:r>
        <w:br/>
      </w:r>
      <w:r>
        <w:br/>
      </w:r>
      <w:r>
        <w:t>"##STR00002##</w:t>
      </w:r>
      <w:r>
        <w:br/>
      </w:r>
      <w:r>
        <w:br/>
      </w:r>
      <w:r>
        <w:t>"In one embodiment, there is provided Form II, a crystalline form which exhibits an X-ray powder diffraction pattern having at least the following approximate characteristic peak locations: 5.0, 9.7, 10.1, 15.3, 17.5, and 19.6 degrees 2.theta.. In another embodiment, the X-ray powder diffraction pattern has at least six, or eight, or ten, or all of the approximate characteristic peak locations selected from 5.0, 9.7, 10.1, 14.6, 15.3, 17.5, 18.0, 18.7, 19.6, 19.2, 22.0, 22.6, 23.0, 23.7, 24.5, 26.5, 26.9, 29.2, 29.5, 30.4, and 35.0 degrees 2.theta.. In one embodiment, the approximate characteristic peaks will have a deviation of up to about 0.05 degrees 2.theta.. In another embodiment, the X-ray powder diffraction pattern is approximate to the X-ray powder diffraction pattern shown in FIG. 2 or 3. In one embodiment, Form II is an anhydrate.</w:t>
      </w:r>
      <w:r>
        <w:br/>
      </w:r>
      <w:r>
        <w:br/>
      </w:r>
      <w:r>
        <w:t>"In another embodiment, there is provided Form III, another crystalline form of the maleate salt of Formula II which exhibits an X-ray powder diffraction pattern having at least the following approximate characteristic peak locations: 15.1, 2.2, 4.9, 17.4, 10.0, and 22.4 degrees 20. In another embodiment, the X-ray powder diffraction pattern has at least six, or eight, or ten, or all of the approximate characteristic peak locations selected from 15.1, 2.2, 4.9, 17.4, 10.0, 22.4, 26.5, 2.9, 24.6, 19.4, and 24.2 degrees 2.theta.. In one embodiment, Form III is a hemihydrate. 2.theta.. In one embodiment, the approximate characteristic peaks will have a deviation of up to about 0.05 degrees 2.theta.. In another embodiment, the X-ray powder diffraction pattern is approximate to the top X-ray powder diffraction pattern shown in FIG. 12.</w:t>
      </w:r>
      <w:r>
        <w:br/>
      </w:r>
      <w:r>
        <w:br/>
      </w:r>
      <w:r>
        <w:t>"In another aspect, there is provided a method for preparing Form II or Form III. In some embodiments, the method is for preparing Form II, which method comprises heating a composition comprising the salt of Formula II:</w:t>
      </w:r>
      <w:r>
        <w:br/>
      </w:r>
      <w:r>
        <w:br/>
      </w:r>
      <w:r>
        <w:t>"##STR00003## in a solvent comprising water and optionally ethanol to a temperature of at least about 50.degree. C. to obtain a solution, and cooling the solution to at or below about 20.degree. C. but above the freezing temperature of the solvent.</w:t>
      </w:r>
      <w:r>
        <w:br/>
      </w:r>
      <w:r>
        <w:br/>
      </w:r>
      <w:r>
        <w:t>"In some embodiments, the method is for preparing Form II, which method comprises heating a composition comprising betrixaban free base and at least one equivalent of maleic acid in a solvent comprising water and optionally ethanol to a temperature of about 45.degree. C. to about 60.degree. C., addition of a seed crystal of Form II, and cooling the solution to at or below about 30.degree. C. but above the freezing temperature of the solvent.</w:t>
      </w:r>
      <w:r>
        <w:br/>
      </w:r>
      <w:r>
        <w:br/>
      </w:r>
      <w:r>
        <w:t>"In another aspect, there is provided a method of preparing betrixaban, comprising reacting Compound C:</w:t>
      </w:r>
      <w:r>
        <w:br/>
      </w:r>
      <w:r>
        <w:br/>
      </w:r>
      <w:r>
        <w:t>"##STR00004## with dimethylamide lithium (LiN(CH.sub.3).sub.2) under reaction conditions wherein the dimethylamide lithium is added over a period of no less than 3 hours at a temperature of between about 8.degree. C. and about 12.degree. C.</w:t>
      </w:r>
      <w:r>
        <w:br/>
      </w:r>
      <w:r>
        <w:br/>
      </w:r>
      <w:r>
        <w:t>"In another aspect, there is provided a pharmaceutical composition for preventing or treating a condition characterized by undesired thrombosis in a subject comprising a pharmaceutically acceptable carrier and a therapeutically effective amount of one or more of the polymorphs of the maleate salt of betrixaban provided herein. In other embodiments, the pharmaceutical composition is suitable for oral delivery. In one embodiment, the pharmaceutical composition is in tablet form. In another embodiment, the pharmaceutical composition is in capsule form. In yet another embodiment, the pharmaceutical composition is in lozenge form. In other embodiments, the pharmaceutical composition is in a form suitable for infusion, injection, or transdermal delivery.</w:t>
      </w:r>
      <w:r>
        <w:br/>
      </w:r>
      <w:r>
        <w:br/>
      </w:r>
      <w:r>
        <w:t>"In yet another aspect, there is provided a method for preventing or treating a condition characterized by undesired thrombosis in a subject comprising administering to the subject a therapeutically effective amount of Form II or Form III.</w:t>
      </w:r>
      <w:r>
        <w:br/>
      </w:r>
      <w:r>
        <w:br/>
      </w:r>
      <w:r>
        <w:t>"In some embodiments, there is provided a method for preventing or treating thrombosis in a subject in need thereof, comprising administering to the subject a therapeutically effective amount of Form II or Form III.</w:t>
      </w:r>
      <w:r>
        <w:br/>
      </w:r>
      <w:r>
        <w:br/>
      </w:r>
      <w:r>
        <w:t>"In some embodiments, the condition is, or the thrombosis is associated with a condition selected from the group consisting of acute coronary syndrome, myocardial infarction, unstable angina, refractory angina, occlusive coronary thrombus occurring post-thrombolytic therapy or post-coronary angioplasty, a thrombotically mediated cerebrovascular syndrome, embolic stroke, thrombotic stroke, thromboembolic stroke, systemic embolism, ischemic stroke, venous thromboembolism, non-valvular atrial fibrillation, transient ischemic attacks, venous thrombosis, deep venous thrombosis, pulmonary embolus, coagulopathy, disseminated intravascular coagulation, thrombotic thrombocytopenic purpura, thromboanglitis obliterans, thrombotic disease associated with heparin-induced thrombocytopenia, thrombotic complications associated with extracorporeal circulation, thrombotic complications associated with instrumentation, and thrombotic complications associated with the fitting of prosthetic devices.</w:t>
      </w:r>
      <w:r>
        <w:br/>
      </w:r>
      <w:r>
        <w:br/>
      </w:r>
      <w:r>
        <w:t>"In some embodiments, the polymorphs are useful in: prevention of stroke in atrial fibrillation patients (Stroke Prevention in Atrial Fibrillation (SPAF)); prevention of thrombosis in medically ill patients, such as acute medically ill patients; prevention and treatment of deep vein thrombosis; prevention and treatment of thrombosis in patients with hip or knee surgery; prevention of arterial thrombosis in acute coronary syndrome patients; and/or secondary prevention of acute coronary syndrome, myocardial infarction, stroke or other thrombotic events in patients who have had a prior event (e.g., including but not limited to a myocardial infarction or a stroke event).</w:t>
      </w:r>
      <w:r>
        <w:br/>
      </w:r>
      <w:r>
        <w:br/>
      </w:r>
      <w:r>
        <w:t>"In still another aspect, there is provided a method for inhibiting the coagulation of a blood sample comprising the step of contacting the sample with the betrixaban maleate crystalline Form II or Form III."</w:t>
      </w:r>
      <w:r>
        <w:br/>
      </w:r>
      <w:r>
        <w:br/>
      </w:r>
      <w:r>
        <w:t>For more information, see this patent: Capodanno, Vincent R.; Corcoran, Liam; McNevin, Michael; Arroyo, Itzia Zoraida; Wenslow, Robert M.; Ball, Richard G.; Margelefsky, Eric L.; Maher, Timothy K.; Pandey, Anjali. Crystalline Forms of a Factor Xa Inhibitor. U.S. Patent Number 8946269, filed August 31, 2011, and published online on February 3, 2015. Patent URL: http://patft.uspto.gov/netacgi/nph-Parser?Sect1=PTO1&amp;Sect2=HITOFF&amp;d=PALL&amp;p=1&amp;u=%2Fnetahtml%2FPTO%2Fsrchnum.htm&amp;r=1&amp;f=G&amp;l=50&amp;s1=8946269.PN.&amp;OS=PN/8946269RS=PN/8946269</w:t>
      </w:r>
      <w:r>
        <w:br/>
      </w:r>
      <w:r>
        <w:br/>
      </w:r>
      <w:r>
        <w:t>Keywords for this news article include: Pharmaceutical Companies, Portola Pharmaceuticals Inc., Factor Xa, Blood Proteins, Peptide Hydrolases, Enzymes and Coenzymes, Serine Endopeptidases.</w:t>
      </w:r>
      <w:r>
        <w:br/>
      </w:r>
      <w:r>
        <w:br/>
      </w:r>
      <w:r>
        <w:t>Our reports deliver fact-based news of research and discoveries from around the world. Copyright 2015, NewsRx LLC</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2317C6EF" wp14:textId="77777777">
      <w:pPr>
        <w:pStyle w:val="Heading1"/>
      </w:pPr>
      <w:r>
        <w:t>Document ID GLOMCP0020151218ebci00i2y</w:t>
      </w:r>
    </w:p>
    <w:p xmlns:wp14="http://schemas.microsoft.com/office/word/2010/wordml" w14:paraId="183EFEF0" wp14:textId="77777777">
      <w:r>
        <w:t>U.S. Army Medical Materiel Development Activity (UAMMDA) is pharmaceutical and healthcare service provider. The company develops advanced medical products and drugs. It provides clinical services such as clinical study monitoring, nonclinical study design, biostatistical support, and adverse event reporting. UAMMDA's pharmaceutical system manages the development and acquisition of pharmaceutical and biological products. The company's administrative services include logistical support, human resources support, and information technology support. UAMMDA is headquartered in Fort Detrick, Maryland, the US.</w:t>
      </w:r>
      <w:r>
        <w:br/>
      </w:r>
      <w:r>
        <w:br/>
      </w:r>
      <w:r>
        <w:t>Note</w:t>
      </w:r>
      <w:r>
        <w:br/>
      </w:r>
      <w:r>
        <w:br/>
      </w:r>
      <w: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496B6E03" wp14:textId="77777777">
      <w:pPr>
        <w:pStyle w:val="Heading1"/>
      </w:pPr>
      <w:r>
        <w:t>Document ID GENT000020150206eb2c0000q</w:t>
      </w:r>
    </w:p>
    <w:p xmlns:wp14="http://schemas.microsoft.com/office/word/2010/wordml" w14:paraId="57565E17" wp14:textId="77777777">
      <w:r>
        <w:t>"Mitch has made tremendous contributions to bluebird bio, and his knowledge of gene therapy has been instrumental to the successful build-out of our platform capabilities over the last several years," stated Nick Leschly, chief bluebird. "We appreciate all of the insight and experience Mitch has brought to our team during our formative years. We would not be where we are today without his full-time participation, and we look forward to continuing to utilize his expertise and work closely with him as a member of our SAB."</w:t>
      </w:r>
      <w:r>
        <w:br/>
      </w:r>
      <w:r>
        <w:br/>
      </w:r>
      <w:r>
        <w:t>"Transitioning out of a full-time role at bluebird was a difficult decision for me, but on a personal level the timing was right," stated Dr. Finer. "bluebird is in a great position to continue to lead the gene therapy revolution, and I look forward to continuing to work closely with the team as an active member of the SAB. I am extremely proud of the advances we have made over the last five years that have moved the field several big steps closer to realizing the powerful promise that gene therapy holds for patients." About bluebird bio, Inc. With its lentiviral-based gene therapy and gene editing capabilities, bluebird bio has built an integrated product platform with broad potential application to severe genetic diseases and T cell-based immunotherapy. bluebird bio's clinical programs include Lenti-D(TM), currently in a Phase 2/3 study, the Starbeam Study, for the treatment of childhood cerebral adrenoleukodystrophy, and LentiGlobin(R), currently in three clinical studies: a global Phase 1/2 study, the Northstar Study, for the treatment of beta-thalassemia major; a single-center Phase 1/2 study in France (HGB-205) for the treatment of beta-thalassemia major and severe sickle cell disease; and, a separate U.S. Phase 1 study for the treatment of sickle cell disease (HGB-206). bluebird bio also has a preclinical CAR T cancer immunotherapy program in collaboration with Celgene Corporation, as well as discovery research programs utilizing megaTALs/homing endonuclease gene editing technologies.</w:t>
      </w:r>
      <w:r>
        <w:br/>
      </w:r>
      <w:r>
        <w:br/>
      </w:r>
      <w:r>
        <w:t>Keywords for this news article include: Biotechnology, Genetics, Gene Therapy, Bioengineering, bluebird bio Inc.</w:t>
      </w:r>
      <w:r>
        <w:br/>
      </w:r>
      <w:r>
        <w:br/>
      </w:r>
      <w:r>
        <w:t>Our reports deliver fact-based news of research and discoveries from around the world. Copyright 2015, NewsRx LLC</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7A3A7A61" wp14:textId="77777777">
      <w:pPr>
        <w:pStyle w:val="Heading1"/>
      </w:pPr>
      <w:r>
        <w:t>Document ID BIWK000020150417eb4m000ps</w:t>
      </w:r>
    </w:p>
    <w:p xmlns:wp14="http://schemas.microsoft.com/office/word/2010/wordml" w14:paraId="796455CA" wp14:textId="77777777">
      <w:r>
        <w:t>Our news journalists obtained a quote from the research from the State University of New York, "Medications being used concomitantly should be reviewed closely when the etiology of hypoglycemia is unclear. A fifty-six-year-old woman with a history of diabetes mellitus (on metformin monotherapy) was found unresponsive at home. Her fingerstick glucose was 15 mg/dL for which she received 50% dextrose intravenously. The patient never had any previous documented hypoglycemic episodes. She had recently been diagnosed with pneumonia and was prescribed oral levofloxacin therapy. The patient had taken 4 doses of levofloxacin before the onset of hypoglycemia. These episodes recurred over the next 2 days needing close intensive care unit monitoring, dextrose infusion, and glucagon administration. Basic blood/urine investigations, cortisol and thyroid profile were normal except for low blood glucose and renal insufficiency (serum creatinine 1.4 mg/dL and creatinine clearance 42 mL/min). HbA1c was 6.8% (4.4%-6.4%), insulin 51.3 U/mL (2.6-24.9 U/mL), IGF-1 301 ng/mL(27-223 ng/mL), and C peptide 9.3 ng/mL (0.8-3.5 ng/mL). These levels were elevated but were deemed nondiagnostic because of fluctuating glucose values after glucagon administration. A blood screen for sulfonylureas and metaglinides was negative. A seventy-two-hour fast was performed to rule out hyperinsulinemic hypoglycemic syndromes; however, blood glucose values remained consistently above 120 mg/dL during this period."</w:t>
      </w:r>
      <w:r>
        <w:br/>
      </w:r>
      <w:r>
        <w:br/>
      </w:r>
      <w:r>
        <w:t>According to the news editors, the research concluded: "Thus, after exclusion of other causes, we utilized the adverse drug reaction probability scale and concluded that hypoglycemia was probably related to recent use of levofloxacin."</w:t>
      </w:r>
      <w:r>
        <w:br/>
      </w:r>
      <w:r>
        <w:br/>
      </w:r>
      <w:r>
        <w:t>For more information on this research see: Life-Threatening Metabolic Coma Caused by Levofloxacin. American Journal of Therapeutics, 2015;22(2):E48-E51. American Journal of Therapeutics can be contacted at: Lippincott Williams &amp; Wilkins, Two Commerce Sq, 2001 Market St, Philadelphia, PA 19103, USA. (Lippincott Williams and Wilkins - www.lww.com; American Journal of Therapeutics - journals.lww.com/americantherapeutics/pages/default.aspx)</w:t>
      </w:r>
      <w:r>
        <w:br/>
      </w:r>
      <w:r>
        <w:br/>
      </w:r>
      <w:r>
        <w:t>The news correspondents report that additional information may be obtained from N. Bansal, State University of New York, Dept. of Gastroenterol, Syracuse, NY 13210, United States. Additional authors for this research include D. Manocha and B. Madhira.</w:t>
      </w:r>
      <w:r>
        <w:br/>
      </w:r>
      <w:r>
        <w:br/>
      </w:r>
      <w:r>
        <w:t>Keywords for this news article include: Drugs, Therapy, Syracuse, New York, Proglucagon, United States, Peptide Hormones, Peptide Proteins, North and Central America</w:t>
      </w:r>
      <w:r>
        <w:br/>
      </w:r>
      <w:r>
        <w:br/>
      </w:r>
      <w:r>
        <w:t>Our reports deliver fact-based news of research and discoveries from around the world. Copyright 2015, NewsRx LLC</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2997EDBA" wp14:textId="77777777">
      <w:pPr>
        <w:pStyle w:val="Heading1"/>
      </w:pPr>
      <w:r>
        <w:t>Document ID ATPHAB0020151019ebaj00036</w:t>
      </w:r>
    </w:p>
    <w:p xmlns:wp14="http://schemas.microsoft.com/office/word/2010/wordml" w14:paraId="1EEDA1E6" wp14:textId="77777777">
      <w:r>
        <w:t>Each partner will bring its respective world-leading expertise and technologies to the GHVCI and, collectively, the parties will collaborate with a wide range of other vaccine development organizations. Funding for the establishment, operation and growth of the GHVCI will come from Sanofi and the Gates Foundation, and additional funding will be sought to support collaborative research activities with respect to specific vaccines to be developed at the GHVCI.</w:t>
      </w:r>
      <w:r>
        <w:br/>
      </w:r>
      <w:r>
        <w:br/>
      </w:r>
      <w:r>
        <w:t>This distinctive collaboration leverages the potential power of the partners' collective expertise, combining IDRI's vaccine design, formulation and production technologies; Sanofi's position as a leading multi-national vaccine developer, manufacturer and seller; and the Gates Foundation's knowledge, influence and financial support regarding the discovery and development of global health interventions, including vaccines. A key component is the application of IDRI's vaccine adjuvant technologies and formulation expertise, which have been developed over the past few years with strong financial support from the Gates Foundation. These adjuvant technologies are uniquely designed to improve immune responses, broaden vaccine protection and significantly save costs by reducing the amount of vaccine needed.</w:t>
      </w:r>
      <w:r>
        <w:br/>
      </w:r>
      <w:r>
        <w:br/>
      </w:r>
      <w:r>
        <w:t>According to the World Health Organisation, vaccines have greatly reduced the burden of infectious diseases, including death tolls, disability and inequity, making "formerly fearsome" diseases a rarity in many parts of the world.</w:t>
      </w:r>
      <w:r>
        <w:br/>
      </w:r>
      <w:r>
        <w:br/>
      </w:r>
      <w:r>
        <w:t>"History has shown us that vaccines are one of the best ways to improve public health, but in today's world, we are faced with a newly emerging infectious diseases, as well as age-old threats, that either have no vaccines or vaccines that are not effective," said Steven G. Reed, Ph.D., founder, president and chief scientific officer for IDRI.</w:t>
      </w:r>
      <w:r>
        <w:br/>
      </w:r>
      <w:r>
        <w:br/>
      </w:r>
      <w:r>
        <w:t>"Combining that with the speed with which infectious diseases can travel the world, we need a new model for vaccine development, one that enables us to rapidly produce vaccines at a lower cost. The blend of the Gates Foundation's knowledge of global health and Sanofi's depth of vaccine development expertise is a perfect match for IDRI's unique technologies and research and development engine, allowing us to take a new approach to vaccine development."</w:t>
      </w:r>
      <w:r>
        <w:br/>
      </w:r>
      <w:r>
        <w:br/>
      </w:r>
      <w:r>
        <w:t>A Joint Steering Committee, comprised of representatives from each of the three partners, will mutually identify areas of research to discover, evaluate and develop novel human vaccines, as well as adjuvant/formulation platforms for the rapid response to emerging pathogens, that can prevent or treat infectious diseases.</w:t>
      </w:r>
      <w:r>
        <w:br/>
      </w:r>
      <w:r>
        <w:br/>
      </w:r>
      <w:r>
        <w:t>Initial funding will be used to establish and operate the GHVCI, build capacity as the collaboration grows, and provide management and scientific recruitment as well as training.</w:t>
      </w:r>
      <w:r>
        <w:br/>
      </w:r>
      <w:r>
        <w:br/>
      </w:r>
      <w:r>
        <w:t>"We are excited to be involved in this novel partnership and proud of the confidence shown in IDRI's technology and our science team's expertise by these two powerhouses, Sanofi and the Gates Foundation," said Erik Iverson, IDRI's president, business and operations.</w:t>
      </w:r>
      <w:r>
        <w:br/>
      </w:r>
      <w:r>
        <w:br/>
      </w:r>
      <w:r>
        <w:t>"IDRI has a proven history of developing global health products that have a positive impact. This alliance will significantly accelerate the development of a wide range of vaccines and other health interventions that will save the lives of millions of people globally."</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w:rsidR="1B25BB55" w:rsidP="1B25BB55" w:rsidRDefault="1B25BB55" w14:paraId="5C229F86" w14:textId="0046B580">
      <w:pPr>
        <w:pStyle w:val="Heading1"/>
      </w:pPr>
      <w:r w:rsidR="1B25BB55">
        <w:rPr/>
        <w:t>Document ID JORTI00020150921eb9i0008g</w:t>
      </w:r>
    </w:p>
    <w:p xmlns:wp14="http://schemas.microsoft.com/office/word/2010/wordml" w14:paraId="1640910B" wp14:textId="77777777">
      <w:r>
        <w:t>Full details of the Phase 3 clinical trial, called the UNITY-CLL trial, will be released at the launch of the study. The general study design is a randomized controlled clinical trial that includes two key objectives: first, to demonstrate contribution of each agent in the TG-1101 + TGR-1202 regimen (the combination sometimes referred to as "1303"), and second, to demonstrate superiority in Progression Free Survival (PFS) over the standard of care to support the submission for full approval of the combination. The study will randomize patients into four treatment arms: TG-1101 + TGR-1202, TG-1101 alone, TGR-1202 alone, and an active control arm of obinutuzumab + chlorambucil. An early interim analysis will assess contribution of each single agent in the TG-1101 + TGR-1202 combination regimen, which, if successful, will allow early termination of both single agent arms. A second interim analysis will be conducted following full enrollment into the study, which, if positive, the Company plans to utilize for accelerated approval. Assuming early termination of the TG-1101 and TGR-1202 single agent arms, the study will enroll approximately 450 patients.</w:t>
      </w:r>
      <w:r>
        <w:br/>
      </w:r>
      <w:r>
        <w:br/>
      </w:r>
      <w:r>
        <w:t>Dr. John Gribben, Professor of Medicine and the Gordon Hamilton Fairley Chair of Medical Oncology at St. Bartholomew's Hospital, Barts Cancer Institute in London, UK, will lead the UNITY-CLL Phase 3 as Study Chair. Dr. Gribben commented, "The recent introduction of novel targeted agents has already dramatically improved the standard of care for patients with relapsed or refractory CLL, and we have seen even greater activity when these agents are used in combination. Both ublituximab and TGR-1202 have demonstrated unique activity and tolerability as single agents, and in combination together. We are excited to lead this important and innovative trial, which has the potential to bring greater advances to patients in both the front-line and relapsed/refractory CLL setting."</w:t>
      </w:r>
      <w:r>
        <w:br/>
      </w:r>
      <w:r>
        <w:br/>
      </w:r>
      <w:r>
        <w:t>Michael S. Weiss, Executive Chairman and Interim Chief Executive Officer of TG Therapeutics, stated, "Our number one goal has always been to accelerate the development of novel non-chemotherapy-based combination treatments for patients with B-cell malignancies. The UNITY-CLL study and the related SPA marks a major milestone for the Company and, if successful, could lead to a very broad label in the treatment of CLL, providing patients and physicians a new treatment option, and the Company a platform to build additional proprietary combinations in our continued effort to drive towards a cure. Our path to achieving this SPA, which we believe is the first for two novel investigational agents in the oncology division, was the result of a true collaboration with the FDA, for which we would like to recognize and thank the agency for its invaluable guidance throughout this process." Mr. Weiss continued, "Our clinical team has been hard at work preparing for the launch of this study, and we look forward to enrolling our first patients as soon as possible. Lastly, we are thrilled to have Dr. Gribben, a world-renowned authority in CLL, lead this important international study and share in his excitement in bringing our novel, non-chemotherapy combination regimen to patients in need."</w:t>
      </w:r>
      <w:r>
        <w:br/>
      </w:r>
      <w:r>
        <w:br/>
      </w:r>
      <w:r>
        <w:t>ABOUT TG THERAPEUTICS, INC.</w:t>
      </w:r>
      <w:r>
        <w:br/>
      </w:r>
      <w:r>
        <w:br/>
      </w:r>
      <w:r>
        <w:t>TG Therapeutics is a biopharmaceutical company focused on the acquisition, development and commercialization of novel treatments for B-cell malignancies and autoimmune diseases. Currently, the Company is developing two therapies targeting hematological malignancies. TG-1101 (ublituximab) is a novel, glycoengineered monoclonal antibody that targets a specific and unique epitope on the CD20 antigen found on mature B-lymphocytes. TG Therapeutics is also developing TGR-1202, an orally available PI3K delta inhibitor. The delta isoform of PI3K is strongly expressed in cells of hematopoietic origin and is believed to be important in the proliferation and survival of B?lymphocytes. Both TG-1101 and TGR-1202 are in clinical development for patients with hematologic malignancies. The Company also has pre-clinical programs to develop IRAK4 inhibitors, and anti-PD-L1 and anti-GITR antibodies. TG Therapeutics is headquartered in New York City.</w:t>
      </w:r>
      <w:r>
        <w:br/>
      </w:r>
      <w:r>
        <w:br/>
      </w:r>
      <w:r>
        <w:t>About Special Protocol Assessments</w:t>
      </w:r>
      <w:r>
        <w:br/>
      </w:r>
      <w:r>
        <w:br/>
      </w:r>
      <w:r>
        <w:t>The Special Protocol Assessment (SPA) process is a procedure by which the FDA provides official evaluation and written guidance on the design and size of proposed protocols that are intended to form the basis for a new drug application.</w:t>
      </w:r>
      <w:r>
        <w:br/>
      </w:r>
      <w:r>
        <w:br/>
      </w:r>
      <w:r>
        <w:t>Final marketing approval depends on the results of efficacy, the adverse event profile and an evaluation of the benefit/risk of treatment demonstrated in the Phase 3 clinical program. The SPA agreement may only be changed through a written agreement between the sponsor and the FDA, or if the FDA becomes aware of a substantial scientific issue essential to product efficacy or safety. For more information on Special Protocol Assessment, please visit: http://www.fda.gov/downloads/Drugs/GuidanceComplianceRegulatoryInformation/Guidances/ucm080571.pdf.</w:t>
      </w:r>
      <w:r>
        <w:br/>
      </w:r>
      <w:r>
        <w:br/>
      </w:r>
      <w:r>
        <w:t>Cautionary Statement</w:t>
      </w:r>
      <w:r>
        <w:br/>
      </w:r>
      <w:r>
        <w:br/>
      </w:r>
      <w:r>
        <w:t>Some of the statements included in this press release, particularly those with respect to anticipating future clinical trials, the timing of commencing or completing such trials and business prospects for TG-1101, TGR-1202, the IRAK4 inhibitor program, and the anti-PD-L1 and anti-GITR antibodies may be forward-looking statements that involve a number of risks and uncertainties. For those statements, we claim the protection of the safe harbor for forward-looking statements contained in the Private Securities Litigation Reform Act of 1995. Among the factors that could cause our actual results to differ materially are the following: our ability to successfully and cost-effectively complete pre-clinical and clinical trials for TG-1101, TGR-1202, the IRAK4 inhibitor program and the anti-PD-L1 and anti-GITR antibodies; the risk that early pre-clinical and clinical results that supported our decision to move forward with TG-1101, TGR-1202, the IRAK4 inhibitor program and the anti-PD-L1 and anti-GITR antibodies will not be reproduced in additional patients or in future studies; the risk that trends observed which underlie certain assumptions of future performance of TGR-1202 will not continue, the risk that TGR-1202 will not produce satisfactory safety and efficacy results to warrant further development following the completion of the current Phase 1 study; the risk that the data (both safety and efficacy) from future clinical trials will not coincide with the data produced from prior pre-clinical and clinical trials; the risk that trials will take longer to enroll than expected; our ability to achieve the milestones we project over the next year; our ability to manage our cash in line with our projections, and other risk factors identified from time to time in our reports filed with the Securities and Exchange Commission. Any forward-looking statements set forth in this press release speak only as of the date of this press release. We do not undertake to update any of these forward-looking statements to reflect events or circumstances that occur after the date hereof. This press release and prior releases are available at www.tgtherapeutics.com. The information found on our website is not incorporated by reference into this press release and is included for reference purposes only.</w:t>
      </w:r>
      <w:r>
        <w:br/>
      </w:r>
      <w:r>
        <w:br/>
      </w:r>
      <w:r>
        <w:t>TGTX - G</w:t>
      </w:r>
      <w:r>
        <w:br/>
      </w:r>
      <w:r>
        <w:br/>
      </w:r>
      <w:r>
        <w:t>Jenna Bosco</w:t>
      </w:r>
      <w:r>
        <w:br/>
      </w:r>
      <w:r>
        <w:br/>
      </w:r>
      <w:r>
        <w:t>Director- Investor Relations</w:t>
      </w:r>
      <w:r>
        <w:br/>
      </w:r>
      <w:r>
        <w:br/>
      </w:r>
      <w:r>
        <w:t>TG Therapeutics, Inc.</w:t>
      </w:r>
      <w:r>
        <w:br/>
      </w:r>
      <w:r>
        <w:br/>
      </w:r>
      <w:r>
        <w:t>Telephone: 212.554.4351</w:t>
      </w:r>
      <w:r>
        <w:br/>
      </w:r>
      <w:r>
        <w:br/>
      </w:r>
      <w:r>
        <w:t>Email:</w:t>
      </w:r>
      <w:r>
        <w:br/>
      </w:r>
      <w:r>
        <w:br/>
      </w:r>
      <w:r>
        <w:t>For the original version on GlobeNewswire visit: http://globenewswire.com/news-release/2015/09/17/768962/10149718/en/TG-Therapeutics-Announces-Special-Protocol-Assessment-SPA-Agreement-With-the-FDA-for-the-First-Phase-3-Clinical-Trial-of-Its-Proprietary-Combination-Regimen-of-TG-1101-ublituximab-.html</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39F7DC32" wp14:textId="77777777">
      <w:pPr>
        <w:pStyle w:val="Heading1"/>
      </w:pPr>
      <w:r>
        <w:t>Document ID LBA0000020150722eb7m00eyx</w:t>
      </w:r>
    </w:p>
    <w:p xmlns:wp14="http://schemas.microsoft.com/office/word/2010/wordml" w14:paraId="06BC771D" wp14:textId="77777777">
      <w:r>
        <w:t>The company's fourth-quarter revenue forecast fell short of estimates and it missed some targets for iPhone sales. The forecast overshadowed Apple's strong sales in China, which more than doubled to $13.23 billion from a year earlier.</w:t>
      </w:r>
      <w:r>
        <w:br/>
      </w:r>
      <w:r>
        <w:br/>
      </w:r>
      <w:r>
        <w:t>** INTUITIVE SURGICAL INC, Tuesday close $505.09, +12.26 pct premarket</w:t>
      </w:r>
      <w:r>
        <w:br/>
      </w:r>
      <w:r>
        <w:br/>
      </w:r>
      <w:r>
        <w:t>The Robotic surgical equipment maker reported a better-than-expected quarterly profit and forecast surgical procedures to grow 11 to 13 percent this year, sending its shares up 13 percent.</w:t>
      </w:r>
      <w:r>
        <w:br/>
      </w:r>
      <w:r>
        <w:br/>
      </w:r>
      <w:r>
        <w:t>** BIOGEN, Tuesday close $409.5, -4.76 pct premarket</w:t>
      </w:r>
      <w:r>
        <w:br/>
      </w:r>
      <w:r>
        <w:br/>
      </w:r>
      <w:r>
        <w:t>A 6 mg dose of the drugmaker's experimental Alzheimer's disease drug significantly reduced beta amyloid plaque in the brain but failed to significantly slow mental decline, potentially tempering great enthusiasm that greeted data on two other doses of the treatment earlier this year.</w:t>
      </w:r>
      <w:r>
        <w:br/>
      </w:r>
      <w:r>
        <w:br/>
      </w:r>
      <w:r>
        <w:t>** MICROSOFT CORP, Tuesday close $47.28, -3.98 pct premarket</w:t>
      </w:r>
      <w:r>
        <w:br/>
      </w:r>
      <w:r>
        <w:br/>
      </w:r>
      <w:r>
        <w:t>The company reported a $3.2 billion quarterly net loss, its biggest ever, as the company wrote down its Nokia phone business and demand fell for its Windows operating system. The company took a charge of $7.5 billion in the fourth quarter related to the restructuring of its Nokia handset business, which it bought last year.</w:t>
      </w:r>
      <w:r>
        <w:br/>
      </w:r>
      <w:r>
        <w:br/>
      </w:r>
      <w:r>
        <w:t>** YAHOO INC, Tuesday close $39.73, -2.34 pct premarket</w:t>
      </w:r>
      <w:r>
        <w:br/>
      </w:r>
      <w:r>
        <w:br/>
      </w:r>
      <w:r>
        <w:t>The company forecast lower-than-expected revenue for the current quarter as it struggles to revive its core online advertising business and spends more to attract users to its websites.</w:t>
      </w:r>
      <w:r>
        <w:br/>
      </w:r>
      <w:r>
        <w:br/>
      </w:r>
      <w:r>
        <w:t>** CHIPOTLE MEXICAN GRILL INC, Tuesday close $673.07, +1.48 pct premarket</w:t>
      </w:r>
      <w:r>
        <w:br/>
      </w:r>
      <w:r>
        <w:br/>
      </w:r>
      <w:r>
        <w:t>The Burrito chain reported lower-than-expected quarterly revenue as the removal of pork products from some of its restaurants hurt sales for the second straight quarter.</w:t>
      </w:r>
      <w:r>
        <w:br/>
      </w:r>
      <w:r>
        <w:br/>
      </w:r>
      <w:r>
        <w:t>** THORATEC CORP, Tuesday close $57.58, +8.98 pct premarket</w:t>
      </w:r>
      <w:r>
        <w:br/>
      </w:r>
      <w:r>
        <w:br/>
      </w:r>
      <w:r>
        <w:t>** ST JUDE MEDICAL INC, Tuesday close $76.71</w:t>
      </w:r>
      <w:r>
        <w:br/>
      </w:r>
      <w:r>
        <w:br/>
      </w:r>
      <w:r>
        <w:t>Medical device maker St Jude Medical said it would buy smaller rival Thoratec Corp for $3.4 billion in cash. St. Jude said it would offer $63.50 per Thoratec share, which represents a premium of about 10 percent to the stock's Tuesday close.</w:t>
      </w:r>
      <w:r>
        <w:br/>
      </w:r>
      <w:r>
        <w:br/>
      </w:r>
      <w:r>
        <w:t>** GOPRO INC, Tuesday close $62.04, -0.61 pct premarket</w:t>
      </w:r>
      <w:r>
        <w:br/>
      </w:r>
      <w:r>
        <w:br/>
      </w:r>
      <w:r>
        <w:t>Action camera maker reported a better-than-expected quarterly profit and forecast current-quarter revenue above market estimates, helped by strong sales in Asia.</w:t>
      </w:r>
      <w:r>
        <w:br/>
      </w:r>
      <w:r>
        <w:br/>
      </w:r>
      <w:r>
        <w:t>** ASTRAZENECA PLC, Tuesday close $67.64, -0.35 pct premarket</w:t>
      </w:r>
      <w:r>
        <w:br/>
      </w:r>
      <w:r>
        <w:br/>
      </w:r>
      <w:r>
        <w:t>The company's much anticipated cancer drug pipeline suffered a modest blow on Wednesday when the experimental drug selumetinib failed to meet its goal in a late-stage trial for a rare cancer of the eye.</w:t>
      </w:r>
      <w:r>
        <w:br/>
      </w:r>
      <w:r>
        <w:br/>
      </w:r>
      <w:r>
        <w:t>** BHP BILLITON, Tuesday close $39.68, -1.97 pct premarket</w:t>
      </w:r>
      <w:r>
        <w:br/>
      </w:r>
      <w:r>
        <w:br/>
      </w:r>
      <w:r>
        <w:t>The company beat its own production guidance for iron ore in fiscal 2015 and said it was on track for additional growth in the current year following major expansion work.</w:t>
      </w:r>
      <w:r>
        <w:br/>
      </w:r>
      <w:r>
        <w:br/>
      </w:r>
      <w:r>
        <w:t>** PEABODY ENERGY CORP, Tuesday close $1.2, -5.83 pct premarket</w:t>
      </w:r>
      <w:r>
        <w:br/>
      </w:r>
      <w:r>
        <w:br/>
      </w:r>
      <w:r>
        <w:t>Analysts at J.P. Morgan Securities downgraded the coal miner's stock to "neutral" from "overweight", saying stock has come under "extreme pressure" from short-sellers.</w:t>
      </w:r>
      <w:r>
        <w:br/>
      </w:r>
      <w:r>
        <w:br/>
      </w:r>
      <w:r>
        <w:t>** THERMO FISHER SCIENTIFIC INC, Tuesday close $136.47</w:t>
      </w:r>
      <w:r>
        <w:br/>
      </w:r>
      <w:r>
        <w:br/>
      </w:r>
      <w:r>
        <w:t>The world's largest maker of scientific instruments, reported a better-than-expected quarterly profit, helped by lower costs and strength in its life sciences unit.</w:t>
      </w:r>
      <w:r>
        <w:br/>
      </w:r>
      <w:r>
        <w:br/>
      </w:r>
      <w:r>
        <w:t>** INTERPUBLIC GROUP OF COS INC, Tuesday close $19.8</w:t>
      </w:r>
      <w:r>
        <w:br/>
      </w:r>
      <w:r>
        <w:br/>
      </w:r>
      <w:r>
        <w:t>The Advertising company's second-quarter revenue inched up 1.3 percent as U.S. businesses spent more on advertising. (Compiled by Rosmi Shaji in Bengaluru; Edited by Don Sebastian)</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34C39189" wp14:textId="77777777">
      <w:pPr>
        <w:pStyle w:val="Heading1"/>
      </w:pPr>
      <w:r>
        <w:t>Document ID INVDAI0020150317eb3g00002</w:t>
      </w:r>
    </w:p>
    <w:p xmlns:wp14="http://schemas.microsoft.com/office/word/2010/wordml" w14:paraId="201808C8" wp14:textId="77777777">
      <w:r>
        <w:t>Stock Market Today</w:t>
      </w:r>
      <w:r>
        <w:br/>
      </w:r>
      <w:r>
        <w:br/>
      </w:r>
      <w:r>
        <w:t>Investors are looking for a bounce from the Nasdaq and S&amp;P 500 on the stock market today after a two-week decline. The S&amp;P 500 ended Friday in a test of support at its 50-day moving average and a shade more than 3% below its Feb. 25 high. The Nasdaq ended above its 50-day line, and less than 3% below its March 2 high. Recent pullbacks have tended to fall between 4% and 10%. Small caps bounced last week, with the S&amp;P small cap 600 ending ahead 1.4% and the Russell 2000 up 1.2% for the week.</w:t>
      </w:r>
      <w:r>
        <w:br/>
      </w:r>
      <w:r>
        <w:br/>
      </w:r>
      <w:r>
        <w:t>Stocks</w:t>
      </w:r>
      <w:r>
        <w:br/>
      </w:r>
      <w:r>
        <w:br/>
      </w:r>
      <w:r>
        <w:t>Mobile video game maker King Digital (NYSE:KING) jumped 7% ahead of the open after an upgrade, to overweight from neutral, from JPMorgan. The report placed a 20 price target on the stock. The volatile, Ireland-based stock is up 48% since October, climbing the right side of a correction, but still 51% below its March IPO price.</w:t>
      </w:r>
      <w:r>
        <w:br/>
      </w:r>
      <w:r>
        <w:br/>
      </w:r>
      <w:r>
        <w:t>Boston Scientific (NYSE:BSX) powered up 4%. The company said the Food &amp; Drug Administration had approved the company's Watchman atrial closure device, a stroke risk reduction alternative to pharmaceutical blood thinners. The stock has lodged a stair-step advance, rising 49% since October.</w:t>
      </w:r>
      <w:r>
        <w:br/>
      </w:r>
      <w:r>
        <w:br/>
      </w:r>
      <w:r>
        <w:t>Economic News</w:t>
      </w:r>
      <w:r>
        <w:br/>
      </w:r>
      <w:r>
        <w:br/>
      </w:r>
      <w:r>
        <w:t>New York region manufacturing slowed in March, according to the New York Federal Reserve, which reported the General Business Conditions portion of its Empire State Manufacturing Survey dipped to 6.9. The index read 7.8 in February, and economists had projected slowdown to 7.</w:t>
      </w:r>
      <w:r>
        <w:br/>
      </w:r>
      <w:r>
        <w:br/>
      </w:r>
      <w:r>
        <w:t>Up next, the Federal Reserve's February industrial production and factory capacity utilization numbers at 9:15 a.m. ET. At 10 a.m., the National Association of Home Builders turns in its March builders confidence index. The Treasury Department reports January international capital flows data at 2 p.m.</w:t>
      </w:r>
      <w:r>
        <w:br/>
      </w:r>
      <w:r>
        <w:br/>
      </w:r>
      <w:r>
        <w:t>Overseas</w:t>
      </w:r>
      <w:r>
        <w:br/>
      </w:r>
      <w:r>
        <w:br/>
      </w:r>
      <w:r>
        <w:t>Europe's markets showed mixed gains at midday, topped by Frankfurt's DAX, which was up 1.2%. China markets also ended unevenly higher, with Hong Kong's Hang Seng up 0.5%, while the Shanghai Composite ended with a 2.3% gain.</w:t>
      </w:r>
      <w:r>
        <w:br/>
      </w:r>
      <w:r>
        <w:br/>
      </w:r>
      <w:r>
        <w:t>Currencies/Commodities</w:t>
      </w:r>
      <w:r>
        <w:br/>
      </w:r>
      <w:r>
        <w:br/>
      </w:r>
      <w:r>
        <w:t>The dollar backtracked a bit vs. the euro and the yen. Oil prices were down about 1%, with the U.S. benchmark West Texas Intermediate crude holding above $44 a barrel and the spread between WTI and Europe's Brent crude holding at just about $10. Gold tacked on a fraction to trade at $1,155 an ounce.</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0EADF683" wp14:textId="77777777">
      <w:pPr>
        <w:pStyle w:val="Heading1"/>
      </w:pPr>
      <w:r>
        <w:t>Document ID SAUDPA0020150818eb8i0015r</w:t>
      </w:r>
    </w:p>
    <w:p xmlns:wp14="http://schemas.microsoft.com/office/word/2010/wordml" w14:paraId="07CA6327" wp14:textId="77777777">
      <w:r>
        <w:t>These submissions are proposed as a supplement to the Impella 2.5 PMA approval for high risk percutaneous coronary intervention (PCI) received on March 23, 2015, and include analysis on 415 patients from the FDA study RECOVER 1 and the U.S. Impella registry, and a relevant Impella literature review that references 692 patients in 17 clinical studies. Additionally, over 24,000 Impella patients supported by Impella devices were reviewed in a safety analysis provided using the FDA/Medical Device Reporting (MDR) database. Through its review of the supplemental submission, the FDA will ultimately render a decision concerning the safety and efficacy of the Impella CP and the Impella 5.0 in the applied-for patient populations.</w:t>
      </w:r>
      <w:r>
        <w:br/>
      </w:r>
      <w:r>
        <w:br/>
      </w:r>
      <w:r>
        <w:t>Important safety information concerning the Impella CP and the Impella 5.0, including the devices' cleared indications for use, contraindications and warnings, and links to the devices' Instructions for Use manuals can be found at www.abiomed.com/products.</w:t>
      </w:r>
      <w:r>
        <w:br/>
      </w:r>
      <w:r>
        <w:br/>
      </w:r>
      <w:r>
        <w:t>ABOUT ABIOMEDBased in Danvers, Massachusetts, Abiomed, Inc., is a leading provider of medical devices that provide circulatory support. Our products are designed to enable the heart to rest by improving blood flow and/or performing the pumping of the heart. For additional information please visit: www.abiomed.com.</w:t>
      </w:r>
      <w:r>
        <w:br/>
      </w:r>
      <w:r>
        <w:br/>
      </w:r>
      <w:r>
        <w:t>FORWARD-LOOKING STATEMENTSThis release contains forward-looking statements, including statements regarding development of Abiomed's existing and new products, the Company's progress toward commercial growth, and future opportunities and expected regulatory approvals. The Company's actual results may differ materially from those anticipated in these forward-looking statements based upon a number of factors, including uncertainties associated with development, testing and related regulatory approvals, including the potential for future losses, complex manufacturing, high quality requirements, dependence on limited sources of supply, competition, technological change, government regulation, litigation matters, future capital needs and uncertainty of additional financing, and other risks and challenges detailed in the Company's filings with the Securities and Exchange Commission, including the most recently filed Annual Report on Form 10-K. Readers are cautioned not to place undue reliance on any forward-looking statements, which speak only as of the date of this release. The Company undertakes no obligation to publicly release the results of any revisions to these forward-looking statements that may be made to reflect events or circumstances that occur after the date of this release or to reflect the occurrence of unanticipated events.</w:t>
      </w:r>
      <w:r>
        <w:br/>
      </w:r>
      <w:r>
        <w:br/>
      </w:r>
      <w:r>
        <w:t>For further information please contact:</w:t>
      </w:r>
      <w:r>
        <w:br/>
      </w:r>
      <w:r>
        <w:br/>
      </w:r>
      <w:r>
        <w:t>Aimee Genzler</w:t>
      </w:r>
      <w:r>
        <w:br/>
      </w:r>
      <w:r>
        <w:br/>
      </w:r>
      <w:r>
        <w:t>Director, Corporate Communications</w:t>
      </w:r>
      <w:r>
        <w:br/>
      </w:r>
      <w:r>
        <w:br/>
      </w:r>
      <w:r>
        <w:t>978-646-1553</w:t>
      </w:r>
      <w:r>
        <w:br/>
      </w:r>
      <w:r>
        <w:br/>
      </w:r>
      <w:r>
        <w:t>agenzler@abiomed.com</w:t>
      </w:r>
      <w:r>
        <w:br/>
      </w:r>
      <w:r>
        <w:br/>
      </w:r>
      <w:r>
        <w:t>Ingrid Goldberg</w:t>
      </w:r>
      <w:r>
        <w:br/>
      </w:r>
      <w:r>
        <w:br/>
      </w:r>
      <w:r>
        <w:t>Director, Investor Relations</w:t>
      </w:r>
      <w:r>
        <w:br/>
      </w:r>
      <w:r>
        <w:br/>
      </w:r>
      <w:r>
        <w:t>978-646-1590</w:t>
      </w:r>
      <w:r>
        <w:br/>
      </w:r>
      <w:r>
        <w:br/>
      </w:r>
      <w:r>
        <w:t>ir@abiomed.com</w:t>
      </w:r>
      <w:r>
        <w:br/>
      </w:r>
      <w:r>
        <w:br/>
      </w:r>
      <w:r>
        <w:t>For the original version on GlobeNewswire visit: http://globenewswire.com/news-release/2015/08/17/761091/0/en/Abiomed-Announces-FDA-Submission-of-Impella-2-5-Impella-CP-Impella-5-0-LD-Pre-Market-Approval-Supplements.htmlAll Rights Reversed for Saudi Press Agency Provided by SyndiGate Media Inc. (Syndigate.info</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52F0ED94" wp14:textId="77777777">
      <w:pPr>
        <w:pStyle w:val="Heading1"/>
      </w:pPr>
      <w:r>
        <w:t>Document ID CGAZ000020150130eb1u0000a</w:t>
      </w:r>
    </w:p>
    <w:p xmlns:wp14="http://schemas.microsoft.com/office/word/2010/wordml" w14:paraId="283AE6AA" wp14:textId="77777777">
      <w:r>
        <w:t>In eight of 13 science-oriented issues, there was a 20 percentage point or higher gap separating the opinions of the public and members of the American Association for the Advancement of Science, according to survey work by the Pew Research Center. The gaps didn't correlate to any liberal-conservative split; the scientists at times take more traditionally conservative views and at times more liberal.</w:t>
      </w:r>
      <w:r>
        <w:br/>
      </w:r>
      <w:r>
        <w:br/>
      </w:r>
      <w:r>
        <w:t>"These are big and notable gaps, said Lee Rainie, director of Pew's Internet, science and technology research. He said they are "pretty powerful indicators of the public and the scientific community seeing the world differently.</w:t>
      </w:r>
      <w:r>
        <w:br/>
      </w:r>
      <w:r>
        <w:br/>
      </w:r>
      <w:r>
        <w:t>In the most dramatic split, 88 percent of the scientists surveyed said it is safe to eat genetically modified foods, while only 37 percent of the public say it is safe and 57 percent say it is unsafe. And 68 percent of scientists said it is safe to eat foods grown with pesticides, compared with only 28 percent of the general public.</w:t>
      </w:r>
      <w:r>
        <w:br/>
      </w:r>
      <w:r>
        <w:br/>
      </w:r>
      <w:r>
        <w:t>Ninety-eight percent of scientists say humans evolved over time, compared with 65 percent of the public. The gap wasn't quite as large for vaccines, with 86 percent of the scientists favoring mandatory childhood shots while 68 percent of the public did.</w:t>
      </w:r>
      <w:r>
        <w:br/>
      </w:r>
      <w:r>
        <w:br/>
      </w:r>
      <w:r>
        <w:t>Eighty-seven percent of scientists said global warming is mostly due to human activity, while only half of the public did. What to do about climate change is another issue. Nearly two-thirds of scientists favored building more nuclear power plants, but only 45 percent of the public did. But more of the public favored offshore drilling for oil and fracking than scientists did.</w:t>
      </w:r>
      <w:r>
        <w:br/>
      </w:r>
      <w:r>
        <w:br/>
      </w:r>
      <w:r>
        <w:t>More than four out of five scientists thought the growing world population will be a major problem, but just less than three out of five members of the public did.</w:t>
      </w:r>
      <w:r>
        <w:br/>
      </w:r>
      <w:r>
        <w:br/>
      </w:r>
      <w:r>
        <w:t>Pew polled 2,002 adults in August and did an online survey of 3,748 AAAS members in the fall. The margin of error is plus or minus 3.1 percentage points for the public and 1.7 percentage points for the scientists.</w:t>
      </w:r>
      <w:r>
        <w:br/>
      </w:r>
      <w:r>
        <w:br/>
      </w:r>
      <w:r>
        <w:t>In 2009, Pew asked only a handful of questions like these to both scientists and the public and the gap hasn't changed much since, Funk said.</w:t>
      </w:r>
      <w:r>
        <w:br/>
      </w:r>
      <w:r>
        <w:br/>
      </w:r>
      <w:r>
        <w:t>"On the whole, as compared to most members of the public, scientists are likely drawing from a larger scientific knowledge base - and thinking more scientifically - about each of these issues, George Mason University communications professor Edward Maibach said in an email. "Therefore, their views appear to be more in line with a completely dispassionate reading of the risks versus the benefits.</w:t>
      </w:r>
      <w:r>
        <w:br/>
      </w:r>
      <w:r>
        <w:br/>
      </w:r>
      <w:r>
        <w:t>Alan Leshner, chief executive officer of AAAS, said the gap between the way the public and scientists look at issues is a cause for concern.</w:t>
      </w:r>
      <w:r>
        <w:br/>
      </w:r>
      <w:r>
        <w:br/>
      </w:r>
      <w:r>
        <w:t>"Science is about facts; science is not about values, Leshner said. "Policies are made on facts and values and we want to make sure that the accurate, non-distorted facts are brought in to any kind of discussion.</w:t>
      </w:r>
      <w:r>
        <w:br/>
      </w:r>
      <w:r>
        <w:br/>
      </w:r>
      <w:r>
        <w:t>The trouble is that scientists don't think the public knows the facts. The survey said that 84 percent of the scientists said it is a major problem that "the public does not know very much about science and another 14 percent said it is a minor problem.</w:t>
      </w:r>
      <w:r>
        <w:br/>
      </w:r>
      <w:r>
        <w:br/>
      </w:r>
      <w:r>
        <w:t>And 97 percent of the scientists criticized the educational system. Three-quarters of the scientists said not enough science and math education is a major problem and another 22 percent said it was a minor one.</w:t>
      </w:r>
      <w:r>
        <w:br/>
      </w:r>
      <w:r>
        <w:br/>
      </w:r>
      <w:r>
        <w:t>"It's not about being smart or dumb, Leshner said. "It's about whether, in fact, you understand the source of the fact and what the facts are.</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75F358BF" wp14:textId="77777777">
      <w:pPr>
        <w:pStyle w:val="Heading1"/>
      </w:pPr>
      <w:r>
        <w:t>Document ID DJDN000020150316eb3g000z4</w:t>
      </w:r>
    </w:p>
    <w:p xmlns:wp14="http://schemas.microsoft.com/office/word/2010/wordml" w14:paraId="0A0DD085" wp14:textId="77777777">
      <w:r>
        <w:t>6:13 EDT - Natural-gas producer Consol (CNX) hit a 6-year low Friday after cutting planned 2015 capital spending 8% and cutting anticipated 2016 output growth by 1/3 to 20%. Sterne Agee thinks, "Measured 2016 production growth likely reflects the company's decision to manage its [free-cash-flow] deficit in '15 amid weak natural-gas prices and weak regional gas prices." The investment bank remains bullish on CNX, which is also a coal miner, on valuation reasons and thinks that should normalize when natural-gas and coal prices improve. But some have been waiting years on that, and both remain soft. CNX is down 18% this month.</w:t>
      </w:r>
      <w:r>
        <w:br/>
      </w:r>
      <w:r>
        <w:br/>
      </w:r>
      <w:r>
        <w:t>6:00 EDT - After a third-straight week of declines for the Dow and S&amp;P, US stock-index futures start this week solidly in the green amid gains in Europe and Asia thanks to hopes that China will open the spigot if need be to further support that country's slowing economy. A potential hard landing there has long been a point of worry for investors, helped on by what some have thought is slow action thus far on the part of Chinese policy makers to buck up the economy. But comments over the weekend that despite what's happened help is available if need be soothes some concerns. S&amp;P 500 futures are up 9 points. (kevin.kingsbury@wsj.com; @kevinkingsbury)</w:t>
      </w:r>
      <w:r>
        <w:br/>
      </w:r>
      <w:r>
        <w:br/>
      </w:r>
      <w:r>
        <w:t>(END) Dow Jones Newswires</w:t>
      </w:r>
      <w:r>
        <w:br/>
      </w:r>
      <w:r>
        <w:br/>
      </w:r>
      <w:r>
        <w:t>March 16, 2015 06:24 ET (10:24 GMT)</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44336558" wp14:textId="77777777">
      <w:pPr>
        <w:pStyle w:val="Heading1"/>
      </w:pPr>
      <w:r>
        <w:t>Document ID BIOELSE020151007eb9u00011</w:t>
      </w:r>
    </w:p>
    <w:p xmlns:wp14="http://schemas.microsoft.com/office/word/2010/wordml" w14:paraId="266656A1" wp14:textId="77777777">
      <w:r>
        <w:t>Website: http://www.biospace.com</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1CC4250B" wp14:textId="77777777">
      <w:pPr>
        <w:pStyle w:val="Heading1"/>
      </w:pPr>
      <w:r>
        <w:t>Document ID DJDN000020150302eb32000y2</w:t>
      </w:r>
    </w:p>
    <w:p xmlns:wp14="http://schemas.microsoft.com/office/word/2010/wordml" w14:paraId="4D42BFA6" wp14:textId="77777777">
      <w:r>
        <w:t>-Write to Rory Gallivan at rory.gallivan@wsj.com; Twitter: @RoryGallivan</w:t>
      </w:r>
      <w:r>
        <w:br/>
      </w:r>
      <w:r>
        <w:br/>
      </w:r>
      <w:r>
        <w:t>(END) Dow Jones Newswires</w:t>
      </w:r>
      <w:r>
        <w:br/>
      </w:r>
      <w:r>
        <w:br/>
      </w:r>
      <w:r>
        <w:t>March 02, 2015 04:40 ET (09:40 GMT)</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2D79E2FE" wp14:textId="77777777">
      <w:pPr>
        <w:pStyle w:val="Heading1"/>
      </w:pPr>
      <w:r>
        <w:t>Document ID CHPR000020150302eb2p0000b</w:t>
      </w:r>
    </w:p>
    <w:p xmlns:wp14="http://schemas.microsoft.com/office/word/2010/wordml" w14:paraId="572C3318" wp14:textId="77777777">
      <w:r>
        <w:t xml:space="preserve"> Found on website: http://www.marketwired.com.</w:t>
      </w:r>
      <w:r>
        <w:br/>
      </w:r>
      <w:r>
        <w:br/>
      </w:r>
      <w:r>
        <w:t>Marketwired</w:t>
      </w:r>
      <w:r>
        <w:br/>
      </w:r>
      <w:r>
        <w:br/>
      </w:r>
      <w:r>
        <w:t>Website: http://www.marketwired.com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07C43A12" wp14:textId="77777777">
      <w:pPr>
        <w:pStyle w:val="Heading1"/>
      </w:pPr>
      <w:r>
        <w:t>Document ID DJDN000020151214ebce001wg</w:t>
      </w:r>
    </w:p>
    <w:p xmlns:wp14="http://schemas.microsoft.com/office/word/2010/wordml" w14:paraId="3E112BE0" wp14:textId="77777777">
      <w:r>
        <w:t>Bioanalytical Systems, Inc. ("BASi") (NASDAQ:BASI) today announced that its board of directors unanimously elected Ms. Wendy Perrow, President and Chief Executive Officer at Alba Therapeutics, as a director effective December 10, 2015. This action brings the number of directors to seven.</w:t>
      </w:r>
      <w:r>
        <w:br/>
      </w:r>
      <w:r>
        <w:br/>
      </w:r>
      <w:r>
        <w:t>Dr. John B. Landis, BASI's chairman of the board, commented, "We are delighted that Ms. Perrow has joined our board. Her strong background in both the biotech and pharmaceutical industries will prove particularly valuable as we continue to focus on strategies that drive our top-line growth."</w:t>
      </w:r>
      <w:r>
        <w:br/>
      </w:r>
      <w:r>
        <w:br/>
      </w:r>
      <w:r>
        <w:t>Ms. Perrow joined Alba Therapeutics in 2008 as Vice President, Business Development, Marketing and Alliance Management. She was appointed President and Chief Operating Officer in 2011 and named Chief Executive Officer in 2013. Prior to joining Alba Therapeutics, Ms. Perrow held senior executive marketing positions with private and public pharmaceutical companies. From 2004 to 2007, she was Vice President of Marketing for Sigma-Tau Pharmaceuticals, Inc. From 1989 to 2003, Ms. Perrow held positions at Merck and Co., Inc. in marketing promotion, international business research analysis, training, and sales. Ms. Perrow began her career in a division of Johnson &amp; Johnson.</w:t>
      </w:r>
      <w:r>
        <w:br/>
      </w:r>
      <w:r>
        <w:br/>
      </w:r>
      <w:r>
        <w:t>Ms. Perrow holds a bachelor's degree from Eastern Illinois University and a Masters of Business Administration degree in finance and marketing from Duke University - The Fuqua School of Business.</w:t>
      </w:r>
      <w:r>
        <w:br/>
      </w:r>
      <w:r>
        <w:br/>
      </w:r>
      <w:r>
        <w:t>About Bioanalytical Systems, Inc.</w:t>
      </w:r>
      <w:r>
        <w:br/>
      </w:r>
      <w:r>
        <w:br/>
      </w:r>
      <w:r>
        <w:t>BASi is a pharmaceutical development company providing contract research services and monitoring instruments to the world's leading drug development companies and medical research organizations. BASi focuses on developing innovative services and products that increase efficiency and reduce the cost of taking new drugs to market. Visit www.BASinc.com for more information about BASi.</w:t>
      </w:r>
      <w:r>
        <w:br/>
      </w:r>
      <w:r>
        <w:br/>
      </w:r>
      <w:r>
        <w:t xml:space="preserve">View source version on businesswire.com: http://www.businesswire.com/news/home/20151214005800/en/ </w:t>
      </w:r>
      <w:r>
        <w:br/>
      </w:r>
      <w:r>
        <w:br/>
      </w:r>
      <w:r>
        <w:br/>
      </w:r>
      <w:r>
        <w:t xml:space="preserve"> </w:t>
      </w:r>
      <w:r>
        <w:br/>
      </w:r>
      <w:r>
        <w:t xml:space="preserve">    CONTACT:    Bioanalytical Systems, Inc. </w:t>
      </w:r>
      <w:r>
        <w:br/>
      </w:r>
      <w:r>
        <w:br/>
      </w:r>
      <w:r>
        <w:t>Jeffrey Potrzebowski, 765-497-8409</w:t>
      </w:r>
      <w:r>
        <w:br/>
      </w:r>
      <w:r>
        <w:br/>
      </w:r>
      <w:r>
        <w:t>Chief Financial Officer &amp; Vice President of Finance</w:t>
      </w:r>
      <w:r>
        <w:br/>
      </w:r>
      <w:r>
        <w:br/>
      </w:r>
      <w:r>
        <w:t>jpotrzebowski@BASinc.com</w:t>
      </w:r>
      <w:r>
        <w:br/>
      </w:r>
      <w:r>
        <w:br/>
      </w:r>
      <w:r>
        <w:t>14 Dec 2015 10:30 ET *BASi Names Wendy Perrow To Bd Of Directors</w:t>
      </w:r>
      <w:r>
        <w:br/>
      </w:r>
      <w:r>
        <w:br/>
      </w:r>
      <w:r>
        <w:t>(MORE TO FOLLOW) Dow Jones Newswires (212-416-2800)</w:t>
      </w:r>
      <w:r>
        <w:br/>
      </w:r>
      <w:r>
        <w:br/>
      </w:r>
      <w:r>
        <w:t>December 14, 2015 10:30 ET (15:30 GMT)</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184D2E03" wp14:textId="77777777">
      <w:pPr>
        <w:pStyle w:val="Heading1"/>
      </w:pPr>
      <w:r>
        <w:t>Document ID DJDN000020150701eb710019l</w:t>
      </w:r>
    </w:p>
    <w:p xmlns:wp14="http://schemas.microsoft.com/office/word/2010/wordml" w14:paraId="22ACD947" wp14:textId="77777777">
      <w:r>
        <w:t>Baxalta Incorporated (NYSE: BXLT) launches today as a global biopharmaceutical company dedicated to delivering transformative therapies to patients with orphan diseases and underserved conditions. The company continues to advance its well-established leadership position in hematology and immunology and seeks to expand its oncology portfolio for patients with limited treatment options. Baxalta plans to launch 20 new products by 2020, leveraging the company's experienced leadership team, existing global capabilities and footprint in more than 100 countries. As of today, Baxalta begins trading on the New York Stock Exchange under the ticker symbol "BXLT".</w:t>
      </w:r>
      <w:r>
        <w:br/>
      </w:r>
      <w:r>
        <w:br/>
      </w:r>
      <w:r>
        <w:t>"Baxalta launches with a rich heritage in pioneering innovations and strategic partnerships, which positions us well to continue to develop transformative therapies. What sets us apart is our uncompromising focus on understanding patients' needs and experiences every step of the way," said Ludwig Hantson, chief executive officer and president, Baxalta Incorporated. "We are leveraging science and external innovation to spark discovery and work with all stakeholders -- patients, healthcare professionals and policymakers - to ensure access and improve standards of care."</w:t>
      </w:r>
      <w:r>
        <w:br/>
      </w:r>
      <w:r>
        <w:br/>
      </w:r>
      <w:r>
        <w:t>Robust Portfolio of Differentiated Brands to Treat Complex Diseases</w:t>
      </w:r>
      <w:r>
        <w:br/>
      </w:r>
      <w:r>
        <w:br/>
      </w:r>
      <w:r>
        <w:t>Baxalta offers a diverse and differentiated portfolio of trusted brands. The company has pioneered several innovations in recombinant protein therapies for hemophilia and other rare blood disorders, and was the first to make human plasma available for treatment. Over the past two years, Baxalta has received seven new approvals and currently has four products under regulatory review across its three areas of focus.</w:t>
      </w:r>
      <w:r>
        <w:br/>
      </w:r>
      <w:r>
        <w:br/>
      </w:r>
      <w:r>
        <w:t>In hematology, the company is advancing its leadership position with sustainable growth of on-market products, including ADVATE [Antihemophilic Factor (Recombinant)] and FEIBA [Anti-Inhibitor Coagulant Complex (Human)]. Baxalta is also bringing next-generation products, including BAX 855, an investigational extended half-life recombinant factor VIII (rFVIII) treatment for hemophilia A to be marketed in the United States under the brand name ADYNOVATE [Antihemophilic Factor (Recombinant), Pegylated].</w:t>
      </w:r>
      <w:r>
        <w:br/>
      </w:r>
      <w:r>
        <w:br/>
      </w:r>
      <w:r>
        <w:t>In immunology, Baxalta expects to capitalize on its broad and differentiated immune globulin portfolio with the successful launch of HYQVIA [Immune Globulin Infusion 10% (human) with Recombinant Human Hyaluronidase], an innovative therapy for the treatment of adults with primary immunodeficiency.</w:t>
      </w:r>
      <w:r>
        <w:br/>
      </w:r>
      <w:r>
        <w:br/>
      </w:r>
      <w:r>
        <w:t>In oncology, the company's late-stage pipeline capitalizes on its expertise and capabilities in rare diseases and complex therapeutics to address patients with high unmet need and difficult-to-treat cancers including myelofibrosis, a rare blood cancer, and metastatic pancreatic cancer. In addition, Baxalta recently announced the acquisition of the ONCASPAR(R) (pegaspargase) product portfolio for acute lymphoblastic leukemia (ALL), which is expected to close in the second half of 2015.</w:t>
      </w:r>
      <w:r>
        <w:br/>
      </w:r>
      <w:r>
        <w:br/>
      </w:r>
      <w:r>
        <w:t>Growth through Patient-Focused Innovation Strategy</w:t>
      </w:r>
      <w:r>
        <w:br/>
      </w:r>
      <w:r>
        <w:br/>
      </w:r>
      <w:r>
        <w:t>Baxalta continues to transform its innovation strategy and has shifted its investments toward new external partnerships and flexible models to accelerate drug discovery and development. World-class scientists, advanced technology platforms and a patient-focused model that examines the underlying biology of disease to define novel mechanisms of actions are at the core of Baxalta's R&amp;D model. The company has more than 40 programs in development, 13 of which are in late-stage development.</w:t>
      </w:r>
      <w:r>
        <w:br/>
      </w:r>
      <w:r>
        <w:br/>
      </w:r>
      <w:r>
        <w:t>Baxalta is advancing several breakthrough innovations that have the potential to transform the way hemophilia patients are treated. The company is currently advancing a Phase 1/2 open-label clinical trial assessing the safety and optimal dosing level of an investigational factor IX (FIX) gene therapy treatment for hemophilia B that has the potential to redefine the treatment of hemophilia by providing a mechanism for the patient's own liver to begin producing FIX over an extended period.</w:t>
      </w:r>
      <w:r>
        <w:br/>
      </w:r>
      <w:r>
        <w:br/>
      </w:r>
      <w:r>
        <w:t>The company also recently acquired novel technology platforms in the fields of immunology and hematology, including the acquisition of SuppreMol for autoimmune and allergic diseases and AesRx for sickle cell disease. Baxalta continues to expand its oncology pipeline through strategic partnerships, such as its partnership with Merrimack Pharmaceuticals, Inc. Merrimack's New Drug Application for MM-398 (irinotecan liposome injection) or "nal-IRI" for the treatment of patients with metastatic adenocarcinoma of the pancreas who have been previously treated with gemcitabine-based therapy was recently accepted for review by the U.S. Food and Drug Administration (FDA) and granted Priority Review status, and in parallel, an application for European approval is under review by the European Medicines Agency.</w:t>
      </w:r>
      <w:r>
        <w:br/>
      </w:r>
      <w:r>
        <w:br/>
      </w:r>
      <w:r>
        <w:t>The Promise of the Baxalta Spark</w:t>
      </w:r>
      <w:r>
        <w:br/>
      </w:r>
      <w:r>
        <w:br/>
      </w:r>
      <w:r>
        <w:t>Baxalta has embarked on a transformational journey to build an organization and culture where improving patients' lives is at the center of the company strategy, values and behaviors.</w:t>
      </w:r>
      <w:r>
        <w:br/>
      </w:r>
      <w:r>
        <w:br/>
      </w:r>
      <w:r>
        <w:t>"Baxalta has a renewed energy, as individuals and teams focus on accelerating innovation and access to our therapies while listening to and understanding our patients and the people who serve them on their journey," said Hantson. "We are building a purpose-driven culture, one where employees and partners are empowered to contribute new ideas that will deliver strong performance for shareholders, breakthrough therapies and personalized services for patients, and meaningful and sustained value for all stakeholders."</w:t>
      </w:r>
      <w:r>
        <w:br/>
      </w:r>
      <w:r>
        <w:br/>
      </w:r>
      <w:r>
        <w:t>For more information, please visit www.baxalta.com/newsroom.</w:t>
      </w:r>
      <w:r>
        <w:br/>
      </w:r>
      <w:r>
        <w:br/>
      </w:r>
      <w:r>
        <w:t>About Baxalta</w:t>
      </w:r>
      <w:r>
        <w:br/>
      </w:r>
      <w:r>
        <w:br/>
      </w:r>
      <w:r>
        <w:t>Baxalta Incorporated (NYSE: BXLT) is a $6 billion global biopharmaceutical leader developing, manufacturing and commercializing therapies for orphan diseases and underserved conditions in hematology, oncology and immunology. Driven by passion to make a meaningful impact on patients' lives, Baxalta's broad and diverse pipeline includes biologics with novel mechanisms and advanced technology platforms such as gene therapy. The Baxalta Global Innovation and R&amp;D Center is located in Cambridge, Massachusetts. Launched in 2015 following separation from Baxter International Inc., Baxalta's heritage in biopharmaceuticals spans decades. Baxalta's therapies are available in more than 100 countries and it has advanced biological manufacturing operations across 12 facilities, including state-of-the-art recombinant production and plasma fractionation. Headquartered in Northern Illinois, Baxalta employs 16,000 employees worldwide.</w:t>
      </w:r>
      <w:r>
        <w:br/>
      </w:r>
      <w:r>
        <w:br/>
      </w:r>
      <w:r>
        <w:t>Forward-Looking Statements</w:t>
      </w:r>
      <w:r>
        <w:br/>
      </w:r>
      <w:r>
        <w:br/>
      </w:r>
      <w:r>
        <w:t>This release includes forward-looking statements concerning Baxalta's business as a stand-alone company, including plans with regard to expected business prospects, long range plan, R&amp;D pipeline including regulatory actions and commercial launch events, business development activities and other growth strategies. The statements are based on assumptions about many important factors, including the following, which could cause actual results to differ materially from those in the forward-looking statements: demand for and market acceptance of risks for new and existing products; product development risks; product quality or patient safety concerns; future actions of regulatory bodies and other governmental authorities, including the FDA and foreign counterparts; failures with respect to compliance programs; future actions of third-parties, including payers; U.S. healthcare reform and other global austerity measures; pricing, reimbursement, taxation and rebate policies of government agencies and private payers; the impact of competitive products and pricing, including generic competition, drug reimportation and disruptive technologies; global, trade and tax policies; accurate identification of and execution on business development and R&amp;D opportunities and realization of anticipated benefits; fluctuations in supply and demand and the pricing of plasma-based therapies; the availability of acceptable raw materials and component supply; the inability to create timely production capacity or other manufacturing or supply difficulties; the ability to successfully achieve the intended results of the spin-off from Baxter International Inc.; the ability to enforce owned or in-licensed patents, or the patents of third parties preventing or restricting manufacture, sale or use of affected products or technology; the impact of global economic conditions; fluctuations in foreign exchange and interest rates; any changes in law concerning the taxation of income, including income earned outside the United States; actions by tax authorities in connection with ongoing tax audits; breaches or failures of Baxalta's information technology systems; loss of key employees or inability to identify and recruit new employees; the outcome of pending or future litigation; the adequacy of Baxalta's cash flows from operations to meet its ongoing cash obligations and fund its investment program; and other risks identified in Baxalta's registration statement on Form 10 and other Securities and Exchange Commission filings, all of which are available on Baxalta's website. Baxalta does not undertake to update its forward-looking statements.</w:t>
      </w:r>
      <w:r>
        <w:br/>
      </w:r>
      <w:r>
        <w:br/>
      </w:r>
      <w:r>
        <w:t xml:space="preserve">View source version on businesswire.com: http://www.businesswire.com/news/home/20150701005350/en/  </w:t>
      </w:r>
      <w:r>
        <w:br/>
      </w:r>
      <w:r>
        <w:br/>
      </w:r>
      <w:r>
        <w:br/>
      </w:r>
      <w:r>
        <w:t xml:space="preserve"> </w:t>
      </w:r>
      <w:r>
        <w:br/>
      </w:r>
      <w:r>
        <w:t xml:space="preserve">    CONTACT:    Baxalta Media Relations </w:t>
      </w:r>
      <w:r>
        <w:br/>
      </w:r>
      <w:r>
        <w:br/>
      </w:r>
      <w:r>
        <w:t>Lauren Denz</w:t>
      </w:r>
      <w:r>
        <w:br/>
      </w:r>
      <w:r>
        <w:br/>
      </w:r>
      <w:r>
        <w:t>Phone (office): +1-224-948-3259</w:t>
      </w:r>
      <w:r>
        <w:br/>
      </w:r>
      <w:r>
        <w:br/>
      </w:r>
      <w:r>
        <w:t>Email: lauren.denz@baxalta.com</w:t>
      </w:r>
      <w:r>
        <w:br/>
      </w:r>
      <w:r>
        <w:br/>
      </w:r>
      <w:r>
        <w:t>or</w:t>
      </w:r>
      <w:r>
        <w:br/>
      </w:r>
      <w:r>
        <w:br/>
      </w:r>
      <w:r>
        <w:t xml:space="preserve">1 Jul 2015 07:00 ET </w:t>
      </w:r>
      <w:r>
        <w:br/>
      </w:r>
      <w:r>
        <w:t>Press Release: Baxalta Launches as a Global -2-</w:t>
      </w:r>
      <w:r>
        <w:br/>
      </w:r>
      <w:r>
        <w:br/>
      </w:r>
      <w:r>
        <w:t>European Inquiries:</w:t>
      </w:r>
      <w:r>
        <w:br/>
      </w:r>
      <w:r>
        <w:br/>
      </w:r>
      <w:r>
        <w:t>Emma Morton</w:t>
      </w:r>
      <w:r>
        <w:br/>
      </w:r>
      <w:r>
        <w:br/>
      </w:r>
      <w:r>
        <w:t>Phone: +44 (0) 20 7438 3084</w:t>
      </w:r>
      <w:r>
        <w:br/>
      </w:r>
      <w:r>
        <w:br/>
      </w:r>
      <w:r>
        <w:t>Email: emorton@ruderfinn.co.uk</w:t>
      </w:r>
      <w:r>
        <w:br/>
      </w:r>
      <w:r>
        <w:br/>
      </w:r>
      <w:r>
        <w:t>or</w:t>
      </w:r>
      <w:r>
        <w:br/>
      </w:r>
      <w:r>
        <w:br/>
      </w:r>
      <w:r>
        <w:t>APAC Inquiries:</w:t>
      </w:r>
      <w:r>
        <w:br/>
      </w:r>
      <w:r>
        <w:br/>
      </w:r>
      <w:r>
        <w:t>Irene Yong</w:t>
      </w:r>
      <w:r>
        <w:br/>
      </w:r>
      <w:r>
        <w:br/>
      </w:r>
      <w:r>
        <w:t>Phone: +65 63369410</w:t>
      </w:r>
      <w:r>
        <w:br/>
      </w:r>
      <w:r>
        <w:br/>
      </w:r>
      <w:r>
        <w:t>Email: yongi@RuderFinnAsia.com</w:t>
      </w:r>
      <w:r>
        <w:br/>
      </w:r>
      <w:r>
        <w:br/>
      </w:r>
      <w:r>
        <w:t>or</w:t>
      </w:r>
      <w:r>
        <w:br/>
      </w:r>
      <w:r>
        <w:br/>
      </w:r>
      <w:r>
        <w:t>Baxalta Investor Relations</w:t>
      </w:r>
      <w:r>
        <w:br/>
      </w:r>
      <w:r>
        <w:br/>
      </w:r>
      <w:r>
        <w:t>Mary Kay Ladone</w:t>
      </w:r>
      <w:r>
        <w:br/>
      </w:r>
      <w:r>
        <w:br/>
      </w:r>
      <w:r>
        <w:t>Phone: +1-224-948-3371</w:t>
      </w:r>
      <w:r>
        <w:br/>
      </w:r>
      <w:r>
        <w:br/>
      </w:r>
      <w:r>
        <w:t>Lorna Williams</w:t>
      </w:r>
      <w:r>
        <w:br/>
      </w:r>
      <w:r>
        <w:br/>
      </w:r>
      <w:r>
        <w:t>Phone: +1-224-948-3511</w:t>
      </w:r>
      <w:r>
        <w:br/>
      </w:r>
      <w:r>
        <w:br/>
      </w:r>
      <w:r>
        <w:t>1 Jul 2015 07:00 ET *Baxalta Launches</w:t>
      </w:r>
      <w:r>
        <w:br/>
      </w:r>
      <w:r>
        <w:br/>
      </w:r>
      <w:r>
        <w:t>1 Jul 2015 07:05 ET *Baxalta Launches as a Global Biopharmaceutical Company &gt;BXLT</w:t>
      </w:r>
      <w:r>
        <w:br/>
      </w:r>
      <w:r>
        <w:br/>
      </w:r>
      <w:r>
        <w:t>1 Jul 2015 07:05 ET *Baxalta Plans to Launch 20 New Products By 2020 &gt;BXLT</w:t>
      </w:r>
      <w:r>
        <w:br/>
      </w:r>
      <w:r>
        <w:br/>
      </w:r>
      <w:r>
        <w:t>1 Jul 2015 07:06 ET *Baxalta Begins Trading on NYSE Under 'BXLT'</w:t>
      </w:r>
      <w:r>
        <w:br/>
      </w:r>
      <w:r>
        <w:br/>
      </w:r>
      <w:r>
        <w:t>(MORE TO FOLLOW) Dow Jones Newswires (212-416-2800)</w:t>
      </w:r>
      <w:r>
        <w:br/>
      </w:r>
      <w:r>
        <w:br/>
      </w:r>
      <w:r>
        <w:t>July 01, 2015 07:06 ET (11:06 GMT)</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4C93F58D" wp14:textId="77777777">
      <w:pPr>
        <w:pStyle w:val="Heading1"/>
      </w:pPr>
      <w:r>
        <w:t>Document ID IDAHOSJ020150503eb530001f</w:t>
      </w:r>
    </w:p>
    <w:p xmlns:wp14="http://schemas.microsoft.com/office/word/2010/wordml" w14:paraId="652B3FDD" wp14:textId="77777777">
      <w:r>
        <w:t>Massage therapists are trained to provide pain relief, increased joint flexibility, improvement of overall circulation, and reduction of post-surgery adhesions or swelling. More physicians are referring their patients to massage therapists, and, as a result, there is an increasing demand for therapists who can work hand-in-hand with the medical community.</w:t>
      </w:r>
      <w:r>
        <w:br/>
      </w:r>
      <w:r>
        <w:br/>
      </w:r>
      <w:r>
        <w:t>The College of Massage Therapy is the only institutionally accredited program in Idaho that offers training in a hospital setting where students complete an internship at Bingham Memorial Hospital in Blackfoot. The college provides a valuable education that qualifies graduates to become certified massage therapists, and opens the door to a variety of career opportunities in the health- and wellness-related industries.</w:t>
      </w:r>
      <w:r>
        <w:br/>
      </w:r>
      <w:r>
        <w:br/>
      </w:r>
      <w:r>
        <w:t>"Massage therapy enhances healing, reduces stress and generally contributes to a feeling of health and wellness," says Gail King, owner of the College of Massage Therapy. "Our continued accreditation enables us to move forward with confidence in our endeavor to provide the highest quality education to our students and to extend greater opportunities to more students in this growing sector of the healthcare industry."</w:t>
      </w:r>
      <w:r>
        <w:br/>
      </w:r>
      <w:r>
        <w:br/>
      </w:r>
      <w:r>
        <w:t>Their massage therapy program runs for 10 months, 2 days a week - with the choice of day or night classes - and financial aid is available for qualified students.</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1B8C53C4" wp14:textId="77777777">
      <w:pPr>
        <w:pStyle w:val="Heading1"/>
      </w:pPr>
      <w:r>
        <w:t>Document ID WDAN000020150126eb1q0001l</w:t>
      </w:r>
    </w:p>
    <w:p xmlns:wp14="http://schemas.microsoft.com/office/word/2010/wordml" w14:paraId="3636971F" wp14:textId="77777777">
      <w:r>
        <w:t>Significance: After the FDA's marketing approval Bexsero is the only meningitis B vaccine approved in the United States with a two-dose regimen and a flexible dosing schedule, according to Novartis. Before granting the marketing authorisation, the FDA approved on two occasions the supply of Bexsero in response to some outbreaks under a treatment Investigational New Drug designation, according to which a medication that is not licensed in the country may be used under certain circumstances (see United States - Switzerland: 24 February 2014:  and Switzerland: 11 December 2013: ). Bexsero has already been approved for marketing in Australia, Canada, and the European Union (see Australia: 16 August 2013:  and Europe: 19 November 2012: ).</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77AC9ED0" wp14:textId="77777777">
      <w:pPr>
        <w:pStyle w:val="Heading1"/>
      </w:pPr>
      <w:r>
        <w:t>Document ID RTTNEW0020150224eb2o004v3</w:t>
      </w:r>
    </w:p>
    <w:p xmlns:wp14="http://schemas.microsoft.com/office/word/2010/wordml" w14:paraId="0D6B9F61" wp14:textId="77777777">
      <w:r>
        <w:t>For comments and feedback: contact editorial@rttnews.com</w:t>
      </w:r>
      <w:r>
        <w:br/>
      </w:r>
      <w:r>
        <w:br/>
      </w:r>
      <w:r>
        <w:t>Copyright(c) 2015 RTTNews.com. All Rights Reserved</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478EA0AB" wp14:textId="77777777">
      <w:pPr>
        <w:pStyle w:val="Heading1"/>
      </w:pPr>
      <w:r>
        <w:t>Document ID ATPHAM0020151215ebce0000h</w:t>
      </w:r>
    </w:p>
    <w:p xmlns:wp14="http://schemas.microsoft.com/office/word/2010/wordml" w14:paraId="5BB091C3" wp14:textId="77777777">
      <w:r>
        <w:t>"The clearance of our IND application for I.V. Pyridorin represents a significant milestone for our AKI program," said Dr. Jaikrishna Patel, Chief Medical Officer. "We look forward to further investigating intravenous Pyridorin, which we believe has the potential to be an important treatment option for patients suffering from hospital-acquired AKI."</w:t>
      </w:r>
      <w:r>
        <w:br/>
      </w:r>
      <w:r>
        <w:br/>
      </w:r>
      <w:r>
        <w:t>Source: NephroGenex</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36DEB859" wp14:textId="77777777">
      <w:pPr>
        <w:pStyle w:val="Heading1"/>
      </w:pPr>
      <w:r>
        <w:t>Document ID ATPHAM0020150725eb7o0005u</w:t>
      </w:r>
    </w:p>
    <w:p xmlns:wp14="http://schemas.microsoft.com/office/word/2010/wordml" w14:paraId="4E0D401C" wp14:textId="77777777">
      <w:r>
        <w:t>SAA is a blood disorder where the bone marrow fails to make enough red blood cells, white blood cells and platelets3. Two out of every one million people in Europe and North America are diagnosed with aplastic anemia per year, a portion of which are severe cases4,5. The exact cause of the disease is still unknown, but most cases of SAA are believed to be triggered by an autoimmune reaction where the body attacks blood-forming stem cells located in the bone marrow3,6. As a result, patients with SAA are at risk for life-threatening infections or bleeding6.</w:t>
      </w:r>
      <w:r>
        <w:br/>
      </w:r>
      <w:r>
        <w:br/>
      </w:r>
      <w:r>
        <w:t>Treatment of SAA is focused on increasing a patient's blood cell count. The current standard of care includes IST or hematopoietic stem cell transplantation6. Of patients treated with IST, one-quarter to one-third will not respond and 30-40% of responders will relapse, causing symptoms to return6. Approximately 40% of SAA patients who don't respond to initial IST die from infection or bleeding within five years of their diagnosis1.</w:t>
      </w:r>
      <w:r>
        <w:br/>
      </w:r>
      <w:r>
        <w:br/>
      </w:r>
      <w:r>
        <w:t>The CHMP positive opinion is based on the results of a pivotal open-label Phase 2 study (ELT112523) and two supporting Phase 2 studies (ELT116826 and ELT116643) conducted by the National Heart, Lung and Blood Institute (NHLBI) at the National Institutes of Health (NIH). The pivotal study demonstrated a hematologic response (40%) in SAA patients treated with Revolade who had an insufficient response to IST. The most common adverse reactions (20%) in the pivotal single-arm study of 43 patients were nausea (33%), fatigue (28%), cough (23%), diarrhea (21%), and headache (21%)7.</w:t>
      </w:r>
      <w:r>
        <w:br/>
      </w:r>
      <w:r>
        <w:br/>
      </w:r>
      <w:r>
        <w:t>The European Commission will review the CHMP recommendation and is expected to deliver its final decision within three months. The decision will be applicable to all 28 EU member states plus Iceland, Norway and Liechtenstein. In August of 2014, eltrombopag (marketed as Promacta in the USA), was approved by the US Food and Drug Administration for once-daily use in patients with SAA who have had an insufficient response to IST. Eltrombopag is also approved for SAA in Canada.</w:t>
      </w:r>
      <w:r>
        <w:br/>
      </w:r>
      <w:r>
        <w:br/>
      </w:r>
      <w:r>
        <w:t>Source: Ligand Pharmaceuticals</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6DD496CE" wp14:textId="77777777">
      <w:pPr>
        <w:pStyle w:val="Heading1"/>
      </w:pPr>
      <w:r>
        <w:t>Document ID INDFED0020150116eb1g001nx</w:t>
      </w:r>
    </w:p>
    <w:p xmlns:wp14="http://schemas.microsoft.com/office/word/2010/wordml" w14:paraId="3FFBCF04" wp14:textId="77777777">
      <w:r>
        <w:t>Study Start Date: January 2015</w:t>
      </w:r>
      <w:r>
        <w:br/>
      </w:r>
      <w:r>
        <w:br/>
      </w:r>
      <w:r>
        <w:t>Study Type: Interventional</w:t>
      </w:r>
      <w:r>
        <w:br/>
      </w:r>
      <w:r>
        <w:br/>
      </w:r>
      <w:r>
        <w:t>Condition: Cataract</w:t>
      </w:r>
      <w:r>
        <w:br/>
      </w:r>
      <w:r>
        <w:br/>
      </w:r>
      <w:r>
        <w:t>Intervention: Device: Bi flex M multifocal intraocular lens Multifocal intraocular lens Device: Bi flex 1.8 monofocal intraocular lens Standard monofocal intraocular lens</w:t>
      </w:r>
      <w:r>
        <w:br/>
      </w:r>
      <w:r>
        <w:br/>
      </w:r>
      <w:r>
        <w:t>Recruitment Status: Not yet recruiting</w:t>
      </w:r>
      <w:r>
        <w:br/>
      </w:r>
      <w:r>
        <w:br/>
      </w:r>
      <w:r>
        <w:t>Sponsor: Dr Phillip J Buckhurst</w:t>
      </w:r>
      <w:r>
        <w:br/>
      </w:r>
      <w:r>
        <w:br/>
      </w:r>
      <w:r>
        <w:t>Information provided by (Responsible Party): Dr Phillip J Buckhurst, University of Plymouth</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49C8CEC7" wp14:textId="77777777">
      <w:pPr>
        <w:pStyle w:val="Heading1"/>
      </w:pPr>
      <w:r>
        <w:t>Document ID DJDN000020150311eb3b004c0</w:t>
      </w:r>
    </w:p>
    <w:p xmlns:wp14="http://schemas.microsoft.com/office/word/2010/wordml" w14:paraId="7FD8A81A" wp14:textId="77777777">
      <w:r>
        <w:t>The announcement came as the San Diego biopharmaceutical company, which focuses on treatment of central nervous system disorders, said longtime Chief Executive Uli Hacksell has resigned from his post, effective immediately.</w:t>
      </w:r>
      <w:r>
        <w:br/>
      </w:r>
      <w:r>
        <w:br/>
      </w:r>
      <w:r>
        <w:t>No reason was specified in a filing with the Securities and Exchange Commission. The company said in a news release Mr. Hacksell had retired. Executive Vice President Stephen R. Davis, who has also serves as chief financial officer and chief business officer, has taken over on an interim basis.</w:t>
      </w:r>
      <w:r>
        <w:br/>
      </w:r>
      <w:r>
        <w:br/>
      </w:r>
      <w:r>
        <w:t>Shares plunged nearly 22% to $35 in recent after-hours trading.</w:t>
      </w:r>
      <w:r>
        <w:br/>
      </w:r>
      <w:r>
        <w:br/>
      </w:r>
      <w:r>
        <w:t>Acadia said additional time to seek regulatory approval was needed to make sure it is ready to support production and supply of its candidate treatment pimavanserin, which would be commercialized as Nuplazid. The Food and Drug Administration granted the drug breakthrough therapy designation last year, which means the FDA will act on the application within 60 days of receipt.</w:t>
      </w:r>
      <w:r>
        <w:br/>
      </w:r>
      <w:r>
        <w:br/>
      </w:r>
      <w:r>
        <w:t>Acadia had planned to file a new drug application in the first quarter.</w:t>
      </w:r>
      <w:r>
        <w:br/>
      </w:r>
      <w:r>
        <w:br/>
      </w:r>
      <w:r>
        <w:t>"The change in submission timing is not a result of any change to Nuplazid's clinical or safety profile, nor is it a result of any interaction with or request for information from the FDA," the company said in a statement.</w:t>
      </w:r>
      <w:r>
        <w:br/>
      </w:r>
      <w:r>
        <w:br/>
      </w:r>
      <w:r>
        <w:t>Under the terms of an agreement with Mr. Hacksell, the former chief executive will receive a $36,000 lump sum payment and an additional $580,000, broken down in monthly installments, for consulting work over the next 1 1/2 years.</w:t>
      </w:r>
      <w:r>
        <w:br/>
      </w:r>
      <w:r>
        <w:br/>
      </w:r>
      <w:r>
        <w:t>Write to Maria Armental at maria.armental@wsj.com</w:t>
      </w:r>
      <w:r>
        <w:br/>
      </w:r>
      <w:r>
        <w:br/>
      </w:r>
      <w:r>
        <w:t>(END) Dow Jones Newswires</w:t>
      </w:r>
      <w:r>
        <w:br/>
      </w:r>
      <w:r>
        <w:br/>
      </w:r>
      <w:r>
        <w:t>March 11, 2015 17:31 ET (21:31 GMT)</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219F36BA" wp14:textId="77777777">
      <w:pPr>
        <w:pStyle w:val="Heading1"/>
      </w:pPr>
      <w:r>
        <w:t>Document ID DJDN000020150401eb41003up</w:t>
      </w:r>
    </w:p>
    <w:p xmlns:wp14="http://schemas.microsoft.com/office/word/2010/wordml" w14:paraId="18CB7768" wp14:textId="77777777">
      <w:r>
        <w:br/>
      </w:r>
      <w:r>
        <w:t xml:space="preserve">____________________________________________________________________________ </w:t>
      </w:r>
      <w:r>
        <w:br/>
      </w:r>
      <w:r>
        <w:t xml:space="preserve"> </w:t>
      </w:r>
      <w:r>
        <w:br/>
      </w:r>
      <w:r>
        <w:t xml:space="preserve">     The following is a list of insider sales with a total value of at </w:t>
      </w:r>
      <w:r>
        <w:br/>
      </w:r>
      <w:r>
        <w:t xml:space="preserve">least $250,000 reported to the Securities and Exchange Commission and </w:t>
      </w:r>
      <w:r>
        <w:br/>
      </w:r>
      <w:r>
        <w:t xml:space="preserve">compiled after 8:30 a.m. EDT Wednesday. </w:t>
      </w:r>
      <w:r>
        <w:br/>
      </w:r>
      <w:r>
        <w:t xml:space="preserve"> </w:t>
      </w:r>
      <w:r>
        <w:br/>
      </w:r>
      <w:r>
        <w:t xml:space="preserve"> </w:t>
      </w:r>
      <w:r>
        <w:br/>
      </w:r>
      <w:r>
        <w:t xml:space="preserve">Company - (Symbol) Security </w:t>
      </w:r>
      <w:r>
        <w:br/>
      </w:r>
      <w:r>
        <w:t xml:space="preserve"> Insider                        Date(s)          Shares   Price     Holdings </w:t>
      </w:r>
      <w:r>
        <w:br/>
      </w:r>
      <w:r>
        <w:t xml:space="preserve">____________________________________________________________________________ </w:t>
      </w:r>
      <w:r>
        <w:br/>
      </w:r>
      <w:r>
        <w:t xml:space="preserve"> </w:t>
      </w:r>
      <w:r>
        <w:br/>
      </w:r>
      <w:r>
        <w:t xml:space="preserve">ALLEGHANY CORP (Y) </w:t>
      </w:r>
      <w:r>
        <w:br/>
      </w:r>
      <w:r>
        <w:t xml:space="preserve"> Lavin William K (D)           3/31/15              563  $488.43       2,313 </w:t>
      </w:r>
      <w:r>
        <w:br/>
      </w:r>
      <w:r>
        <w:t xml:space="preserve"> </w:t>
      </w:r>
      <w:r>
        <w:br/>
      </w:r>
      <w:r>
        <w:t xml:space="preserve">AMERIPRISE FINANCIAL INC (AMP) </w:t>
      </w:r>
      <w:r>
        <w:br/>
      </w:r>
      <w:r>
        <w:t xml:space="preserve"> Froude Donald E (O)           3/30/15            8,500  $131.46      20,125 </w:t>
      </w:r>
      <w:r>
        <w:br/>
      </w:r>
      <w:r>
        <w:t xml:space="preserve"> </w:t>
      </w:r>
      <w:r>
        <w:br/>
      </w:r>
      <w:r>
        <w:t xml:space="preserve">ANALOG DEVICES INC (ADI) </w:t>
      </w:r>
      <w:r>
        <w:br/>
      </w:r>
      <w:r>
        <w:t xml:space="preserve"> Stata Ray (CB)                3/30/15           75,000   $64.23   1,241,650 </w:t>
      </w:r>
      <w:r>
        <w:br/>
      </w:r>
      <w:r>
        <w:t xml:space="preserve"> </w:t>
      </w:r>
      <w:r>
        <w:br/>
      </w:r>
      <w:r>
        <w:t xml:space="preserve">BEACON ROOFING SUPPLY INC (BECN) </w:t>
      </w:r>
      <w:r>
        <w:br/>
      </w:r>
      <w:r>
        <w:t xml:space="preserve"> Randle Stuart A (D)           3/31/15           10,000   $31.26           0 </w:t>
      </w:r>
      <w:r>
        <w:br/>
      </w:r>
      <w:r>
        <w:t xml:space="preserve"> </w:t>
      </w:r>
      <w:r>
        <w:br/>
      </w:r>
      <w:r>
        <w:t xml:space="preserve">CENTRAL PACIFIC FINANCIAL CORP (CPF) </w:t>
      </w:r>
      <w:r>
        <w:br/>
      </w:r>
      <w:r>
        <w:t xml:space="preserve"> Carlyle Financial Se (SH)      4/1/15        3,802,694   $23.01   4,269,312 </w:t>
      </w:r>
      <w:r>
        <w:br/>
      </w:r>
      <w:r>
        <w:t xml:space="preserve"> Carlyle Financial Se (SH)      4/7/14        1,391,089   $20.20   8,072,006 </w:t>
      </w:r>
      <w:r>
        <w:br/>
      </w:r>
      <w:r>
        <w:t xml:space="preserve"> </w:t>
      </w:r>
      <w:r>
        <w:br/>
      </w:r>
      <w:r>
        <w:t xml:space="preserve">DREW INDUSTRIES INC (DW) </w:t>
      </w:r>
      <w:r>
        <w:br/>
      </w:r>
      <w:r>
        <w:t xml:space="preserve"> Abrams Leigh J (D)            3/30/15           10,000   $62.00      69,013 </w:t>
      </w:r>
      <w:r>
        <w:br/>
      </w:r>
      <w:r>
        <w:t xml:space="preserve"> </w:t>
      </w:r>
      <w:r>
        <w:br/>
      </w:r>
      <w:r>
        <w:t xml:space="preserve">ENERGEN CORP (EGN) </w:t>
      </w:r>
      <w:r>
        <w:br/>
      </w:r>
      <w:r>
        <w:t xml:space="preserve"> Porter Charles W (CFO)        3/30/15            8,156   $66.05      16,499 </w:t>
      </w:r>
      <w:r>
        <w:br/>
      </w:r>
      <w:r>
        <w:t xml:space="preserve"> </w:t>
      </w:r>
      <w:r>
        <w:br/>
      </w:r>
      <w:r>
        <w:t xml:space="preserve">FOUNDATION MEDICINE INC (FMI) </w:t>
      </w:r>
      <w:r>
        <w:br/>
      </w:r>
      <w:r>
        <w:t xml:space="preserve"> Pellini Michael J (CEO)       3/30/15           17,500   $48.48     517,760 </w:t>
      </w:r>
      <w:r>
        <w:br/>
      </w:r>
      <w:r>
        <w:t xml:space="preserve"> </w:t>
      </w:r>
      <w:r>
        <w:br/>
      </w:r>
      <w:r>
        <w:t xml:space="preserve">G-III APPAREL GROUP LTD (GIII) </w:t>
      </w:r>
      <w:r>
        <w:br/>
      </w:r>
      <w:r>
        <w:t xml:space="preserve">*Brosig Thomas J (D)       9/24/12-9/25/12        8,800   $36.55       3,600 </w:t>
      </w:r>
      <w:r>
        <w:br/>
      </w:r>
      <w:r>
        <w:t xml:space="preserve"> </w:t>
      </w:r>
      <w:r>
        <w:br/>
      </w:r>
      <w:r>
        <w:t xml:space="preserve">INTERCEPT PHARMACEUTICALS INC (ICPT) </w:t>
      </w:r>
      <w:r>
        <w:br/>
      </w:r>
      <w:r>
        <w:t xml:space="preserve"> Duncan Barbara Gayle (CFO     3/27/15            1,000  $289.82      16,264 </w:t>
      </w:r>
      <w:r>
        <w:br/>
      </w:r>
      <w:r>
        <w:t xml:space="preserve"> </w:t>
      </w:r>
      <w:r>
        <w:br/>
      </w:r>
      <w:r>
        <w:t xml:space="preserve">KIRKLAND'S INC (KIRK) </w:t>
      </w:r>
      <w:r>
        <w:br/>
      </w:r>
      <w:r>
        <w:t xml:space="preserve"> Alderson Robert E (D)     3/30/15-3/31/15       30,000   $23.86     740,143 </w:t>
      </w:r>
      <w:r>
        <w:br/>
      </w:r>
      <w:r>
        <w:t xml:space="preserve"> Kirkland Carl (D)         3/30/15-3/31/15       91,960   $23.33   1,039,187 </w:t>
      </w:r>
      <w:r>
        <w:br/>
      </w:r>
      <w:r>
        <w:t xml:space="preserve"> </w:t>
      </w:r>
      <w:r>
        <w:br/>
      </w:r>
      <w:r>
        <w:t xml:space="preserve">MAGELLAN HEALTH INC (MGLN) </w:t>
      </w:r>
      <w:r>
        <w:br/>
      </w:r>
      <w:r>
        <w:t xml:space="preserve"> Blasi Tina (O)                3/30/15           10,527   $70.02      11,090 </w:t>
      </w:r>
      <w:r>
        <w:br/>
      </w:r>
      <w:r>
        <w:t xml:space="preserve"> </w:t>
      </w:r>
      <w:r>
        <w:br/>
      </w:r>
      <w:r>
        <w:t xml:space="preserve">MARRIOTT INTERNATIONAL INC (MAR) CL A </w:t>
      </w:r>
      <w:r>
        <w:br/>
      </w:r>
      <w:r>
        <w:t xml:space="preserve"> Marriott Richard E (SH)       3/19/15          240,419   $83.19  31,665,580 </w:t>
      </w:r>
      <w:r>
        <w:br/>
      </w:r>
      <w:r>
        <w:t xml:space="preserve"> </w:t>
      </w:r>
      <w:r>
        <w:br/>
      </w:r>
      <w:r>
        <w:t xml:space="preserve">MASIMO CORP (MASI) </w:t>
      </w:r>
      <w:r>
        <w:br/>
      </w:r>
      <w:r>
        <w:t xml:space="preserve"> Fishel Rick (O)               3/30/15           12,500   $32.85      52,000 </w:t>
      </w:r>
      <w:r>
        <w:br/>
      </w:r>
      <w:r>
        <w:t xml:space="preserve"> </w:t>
      </w:r>
      <w:r>
        <w:br/>
      </w:r>
      <w:r>
        <w:t xml:space="preserve">MEMORIAL RESOURCE DEVELOPMENT CORP (MRD) </w:t>
      </w:r>
      <w:r>
        <w:br/>
      </w:r>
      <w:r>
        <w:t xml:space="preserve"> Cole Herbert W (SH)           3/31/15           20,000   $17.25      81,772 </w:t>
      </w:r>
      <w:r>
        <w:br/>
      </w:r>
      <w:r>
        <w:t xml:space="preserve"> Eckerman Steven W (SH)        3/31/15          100,000   $17.44   1,199,055 </w:t>
      </w:r>
      <w:r>
        <w:br/>
      </w:r>
      <w:r>
        <w:t xml:space="preserve"> </w:t>
      </w:r>
      <w:r>
        <w:br/>
      </w:r>
      <w:r>
        <w:t xml:space="preserve">NORDSTROM INC (JWN) </w:t>
      </w:r>
      <w:r>
        <w:br/>
      </w:r>
      <w:r>
        <w:t xml:space="preserve"> Koppel Michael G (CFO)        3/30/15           53,878   $80.07      74,651 </w:t>
      </w:r>
      <w:r>
        <w:br/>
      </w:r>
      <w:r>
        <w:t xml:space="preserve"> </w:t>
      </w:r>
      <w:r>
        <w:br/>
      </w:r>
      <w:r>
        <w:t xml:space="preserve">PACIFIC SUNWEAR OF CALIFORNIA INC (PSUN) </w:t>
      </w:r>
      <w:r>
        <w:br/>
      </w:r>
      <w:r>
        <w:t xml:space="preserve"> Gi2 Ltd (SH)              3/27/15-3/30/15      122,958    $2.79  20,042,269 </w:t>
      </w:r>
      <w:r>
        <w:br/>
      </w:r>
      <w:r>
        <w:t xml:space="preserve"> </w:t>
      </w:r>
      <w:r>
        <w:br/>
      </w:r>
      <w:r>
        <w:t xml:space="preserve">PALO ALTO NETWORKS INC (PANW) </w:t>
      </w:r>
      <w:r>
        <w:br/>
      </w:r>
      <w:r>
        <w:t xml:space="preserve"> Bonvanie Rene (O)             3/30/15           16,865  $150.00     130,337 </w:t>
      </w:r>
      <w:r>
        <w:br/>
      </w:r>
      <w:r>
        <w:t xml:space="preserve"> </w:t>
      </w:r>
      <w:r>
        <w:br/>
      </w:r>
      <w:r>
        <w:t xml:space="preserve">PROGRESSIVE CORP-OHIO (PGR) </w:t>
      </w:r>
      <w:r>
        <w:br/>
      </w:r>
      <w:r>
        <w:t xml:space="preserve"> Cody William M (O)            3/30/15           45,000   $27.34     134,453 </w:t>
      </w:r>
      <w:r>
        <w:br/>
      </w:r>
      <w:r>
        <w:t xml:space="preserve"> </w:t>
      </w:r>
      <w:r>
        <w:br/>
      </w:r>
      <w:r>
        <w:t xml:space="preserve">ROSS STORES INC (ROST) </w:t>
      </w:r>
      <w:r>
        <w:br/>
      </w:r>
      <w:r>
        <w:t xml:space="preserve"> O'Sullivan Michael B (P)      3/30/15            4,207  $105.46     211,232 </w:t>
      </w:r>
      <w:r>
        <w:br/>
      </w:r>
      <w:r>
        <w:t xml:space="preserve"> Rentler Barbara (CEO)         3/30/15           30,000  $106.01     326,472 </w:t>
      </w:r>
      <w:r>
        <w:br/>
      </w:r>
      <w:r>
        <w:t xml:space="preserve"> </w:t>
      </w:r>
      <w:r>
        <w:br/>
      </w:r>
      <w:r>
        <w:t xml:space="preserve">RYMAN HOSPITALITY PROPERTIES INC (RHP) </w:t>
      </w:r>
      <w:r>
        <w:br/>
      </w:r>
      <w:r>
        <w:t xml:space="preserve"> Bender Michael J (D)          3/30/15            6,098   $61.02       3,395 </w:t>
      </w:r>
      <w:r>
        <w:br/>
      </w:r>
      <w:r>
        <w:t xml:space="preserve"> </w:t>
      </w:r>
      <w:r>
        <w:br/>
      </w:r>
      <w:r>
        <w:t xml:space="preserve">TELEPHONE &amp; DATA SYSTEMS INC (TDS) </w:t>
      </w:r>
      <w:r>
        <w:br/>
      </w:r>
      <w:r>
        <w:t xml:space="preserve"> Nebergall Donald C (SH)       3/31/15           14,000   $24.81      11,763 </w:t>
      </w:r>
      <w:r>
        <w:br/>
      </w:r>
      <w:r>
        <w:t xml:space="preserve"> </w:t>
      </w:r>
      <w:r>
        <w:br/>
      </w:r>
      <w:r>
        <w:t xml:space="preserve">TOLL BROTHERS INC (TOL) </w:t>
      </w:r>
      <w:r>
        <w:br/>
      </w:r>
      <w:r>
        <w:t xml:space="preserve"> Toll Bruce E (OD)             3/31/15          172,000   $39.24   3,491,280 </w:t>
      </w:r>
      <w:r>
        <w:br/>
      </w:r>
      <w:r>
        <w:t xml:space="preserve"> </w:t>
      </w:r>
      <w:r>
        <w:br/>
      </w:r>
      <w:r>
        <w:t xml:space="preserve">TUCOWS INC (TCX) CL A </w:t>
      </w:r>
      <w:r>
        <w:br/>
      </w:r>
      <w:r>
        <w:t xml:space="preserve"> Ralls Rawleigh Hazen (CB) 3/27/15-3/31/15       25,000   $19.04     463,750 </w:t>
      </w:r>
      <w:r>
        <w:br/>
      </w:r>
      <w:r>
        <w:t xml:space="preserve"> </w:t>
      </w:r>
      <w:r>
        <w:br/>
      </w:r>
      <w:r>
        <w:t xml:space="preserve">WILLIAMS COMPANIES INC (WMB) </w:t>
      </w:r>
      <w:r>
        <w:br/>
      </w:r>
      <w:r>
        <w:t xml:space="preserve"> Ewing Robyn L (VP)            3/30/15           10,521   $50.25     114,312 </w:t>
      </w:r>
      <w:r>
        <w:br/>
      </w:r>
      <w:r>
        <w:t xml:space="preserve"> </w:t>
      </w:r>
      <w:r>
        <w:br/>
      </w:r>
      <w:r>
        <w:t xml:space="preserve">* = Amended Filing </w:t>
      </w:r>
      <w:r>
        <w:br/>
      </w:r>
      <w:r>
        <w:t xml:space="preserve">____________________________________________________________________________ </w:t>
      </w:r>
      <w:r>
        <w:br/>
      </w:r>
      <w:r>
        <w:t xml:space="preserve">     KEY TO INSIDERS' TITLES </w:t>
      </w:r>
      <w:r>
        <w:br/>
      </w:r>
      <w:r>
        <w:t xml:space="preserve">CB   Chairman of the Board      O   Officer </w:t>
      </w:r>
      <w:r>
        <w:br/>
      </w:r>
      <w:r>
        <w:t xml:space="preserve">P    President                  OS  Officer of Subsidiary </w:t>
      </w:r>
      <w:r>
        <w:br/>
      </w:r>
      <w:r>
        <w:t xml:space="preserve">CEO  Chief Executive Officer    D   Director </w:t>
      </w:r>
      <w:r>
        <w:br/>
      </w:r>
      <w:r>
        <w:t xml:space="preserve">CFO  Chief Financial Officer    T   Treasurer </w:t>
      </w:r>
      <w:r>
        <w:br/>
      </w:r>
      <w:r>
        <w:t xml:space="preserve">COO  Chief Operating Officer    VP  Vice President </w:t>
      </w:r>
      <w:r>
        <w:br/>
      </w:r>
      <w:r>
        <w:t xml:space="preserve">OD   Officer and Director       SH  Shareholder/Beneficial Owner/Other </w:t>
      </w:r>
      <w:r>
        <w:br/>
      </w:r>
      <w:r>
        <w:t xml:space="preserve">DO   Divisional Officer </w:t>
      </w:r>
      <w:r>
        <w:br/>
      </w:r>
      <w:r>
        <w:t xml:space="preserve">____________________________________________________________________________ </w:t>
      </w:r>
      <w:r>
        <w:br/>
      </w:r>
      <w:r>
        <w:t xml:space="preserve"> </w:t>
      </w:r>
      <w:r>
        <w:br/>
      </w:r>
      <w:r>
        <w:t xml:space="preserve">Data Provided By The Washington Service (301) 913-5100. </w:t>
      </w:r>
      <w:r>
        <w:br/>
      </w:r>
      <w:r>
        <w:t xml:space="preserve"> </w:t>
      </w:r>
      <w:r>
        <w:br/>
      </w:r>
      <w:r>
        <w:t xml:space="preserve"> </w:t>
      </w:r>
      <w:r>
        <w:br/>
      </w:r>
      <w:r>
        <w:t xml:space="preserve"> </w:t>
      </w:r>
      <w:r>
        <w:br/>
      </w:r>
      <w:r>
        <w:br/>
      </w:r>
      <w:r>
        <w:t>(END) Dow Jones Newswires</w:t>
      </w:r>
      <w:r>
        <w:br/>
      </w:r>
      <w:r>
        <w:br/>
      </w:r>
      <w:r>
        <w:t>April 01, 2015 16:44 ET (20:44 GMT)</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21029B25" wp14:textId="77777777">
      <w:pPr>
        <w:pStyle w:val="Heading1"/>
      </w:pPr>
      <w:r>
        <w:t>Document ID ATPHAM0020151215ebce0000h</w:t>
      </w:r>
    </w:p>
    <w:p xmlns:wp14="http://schemas.microsoft.com/office/word/2010/wordml" w14:paraId="5B2067EE" wp14:textId="77777777">
      <w:r>
        <w:t>"The clearance of our IND application for I.V. Pyridorin represents a significant milestone for our AKI program," said Dr. Jaikrishna Patel, Chief Medical Officer. "We look forward to further investigating intravenous Pyridorin, which we believe has the potential to be an important treatment option for patients suffering from hospital-acquired AKI."</w:t>
      </w:r>
      <w:r>
        <w:br/>
      </w:r>
      <w:r>
        <w:br/>
      </w:r>
      <w:r>
        <w:t>Source: NephroGenex</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25BB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4cb249-8476-4354-b1b0-23465531d6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CEEA34-6673-492B-9E8F-C26AC276CB06}"/>
</file>

<file path=customXml/itemProps3.xml><?xml version="1.0" encoding="utf-8"?>
<ds:datastoreItem xmlns:ds="http://schemas.openxmlformats.org/officeDocument/2006/customXml" ds:itemID="{47ACA81A-535F-48C8-AC1C-2DDEF9A9C9DE}"/>
</file>

<file path=customXml/itemProps4.xml><?xml version="1.0" encoding="utf-8"?>
<ds:datastoreItem xmlns:ds="http://schemas.openxmlformats.org/officeDocument/2006/customXml" ds:itemID="{16139BED-C866-4252-8D23-4E826D8D09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Thurston, Joel (jt9sz)</cp:lastModifiedBy>
  <cp:revision>2</cp:revision>
  <dcterms:created xsi:type="dcterms:W3CDTF">2013-12-23T23:15:00Z</dcterms:created>
  <dcterms:modified xsi:type="dcterms:W3CDTF">2019-07-24T15:57:39Z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